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333-296516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Pre-Effective Amendment No. 1</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dxL_c20260101"/>
      <w:bookmarkEnd w:id="2"/>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4_edei--EntityRegistrantName_c2026"/>
      <w:bookmarkEnd w:id="3"/>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2720"/>
        <w:gridCol w:w="60"/>
        <w:gridCol w:w="2525"/>
        <w:gridCol w:w="6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6_edei--EntityIncorporationStateCo"/>
            <w:bookmarkEnd w:id="4"/>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PrimarySicNumber_c20"/>
            <w:bookmarkEnd w:id="5"/>
            <w:r>
              <w:rPr>
                <w:rFonts w:ascii="Times New Roman;Times;Serif" w:hAnsi="Times New Roman;Times;Serif"/>
                <w:b/>
                <w:i w:val="false"/>
                <w:caps w:val="false"/>
                <w:smallCaps w:val="false"/>
                <w:sz w:val="20"/>
              </w:rPr>
              <w:t>7372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TaxIdentificationNum"/>
            <w:bookmarkEnd w:id="6"/>
            <w:r>
              <w:rPr>
                <w:rFonts w:ascii="Times New Roman;Times;Serif" w:hAnsi="Times New Roman;Times;Serif"/>
                <w:b/>
                <w:i w:val="false"/>
                <w:caps w:val="false"/>
                <w:smallCaps w:val="false"/>
                <w:sz w:val="20"/>
              </w:rPr>
              <w:t>85-3118980</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D_edei--EntityAddressAddressLine1_"/>
      <w:bookmarkEnd w:id="7"/>
      <w:r>
        <w:rPr>
          <w:rFonts w:ascii="Times New Roman;Times;Serif" w:hAnsi="Times New Roman;Times;Serif"/>
          <w:b/>
          <w:i w:val="false"/>
          <w:caps w:val="false"/>
          <w:smallCaps w:val="false"/>
          <w:sz w:val="20"/>
        </w:rPr>
        <w:t xml:space="preserve">435 Ericksen Ave, </w:t>
      </w:r>
      <w:bookmarkStart w:id="8" w:name="xdx_907_edei--EntityAddressAddressLine2_"/>
      <w:bookmarkEnd w:id="8"/>
      <w:r>
        <w:rPr>
          <w:rFonts w:ascii="Times New Roman;Times;Serif" w:hAnsi="Times New Roman;Times;Serif"/>
          <w:b/>
          <w:i w:val="false"/>
          <w:caps w:val="false"/>
          <w:smallCaps w:val="false"/>
          <w:sz w:val="20"/>
        </w:rPr>
        <w:t>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Bainbridge Island, </w:t>
      </w:r>
      <w:bookmarkStart w:id="10" w:name="xdx_90F_edei--EntityAddressStateOrProvin"/>
      <w:bookmarkEnd w:id="10"/>
      <w:r>
        <w:rPr>
          <w:rFonts w:ascii="Times New Roman;Times;Serif" w:hAnsi="Times New Roman;Times;Serif"/>
          <w:b/>
          <w:i w:val="false"/>
          <w:caps w:val="false"/>
          <w:smallCaps w:val="false"/>
          <w:sz w:val="20"/>
        </w:rPr>
        <w:t xml:space="preserve">Washington </w:t>
      </w:r>
      <w:bookmarkStart w:id="11" w:name="xdx_90B_edei--EntityAddressPostalZipCode"/>
      <w:bookmarkEnd w:id="11"/>
      <w:r>
        <w:rPr>
          <w:rFonts w:ascii="Times New Roman;Times;Serif" w:hAnsi="Times New Roman;Times;Serif"/>
          <w:b/>
          <w:i w:val="false"/>
          <w:caps w:val="false"/>
          <w:smallCaps w:val="false"/>
          <w:sz w:val="20"/>
        </w:rPr>
        <w:t>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12" w:name="xdx_906_edei--CityAreaCode_c20260101__20"/>
      <w:bookmarkEnd w:id="12"/>
      <w:r>
        <w:rPr>
          <w:rFonts w:ascii="Times New Roman;Times;Serif" w:hAnsi="Times New Roman;Times;Serif"/>
          <w:b/>
          <w:i w:val="false"/>
          <w:caps w:val="false"/>
          <w:smallCaps w:val="false"/>
          <w:sz w:val="20"/>
        </w:rPr>
        <w:t xml:space="preserve">(206) </w:t>
      </w:r>
      <w:bookmarkStart w:id="13" w:name="xdx_902_edei--LocalPhoneNumber_c20260101"/>
      <w:bookmarkEnd w:id="13"/>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2_edei--ContactPersonnelName_c2026"/>
      <w:bookmarkEnd w:id="14"/>
      <w:r>
        <w:rPr>
          <w:rFonts w:ascii="Times New Roman;Times;Serif" w:hAnsi="Times New Roman;Times;Serif"/>
          <w:b/>
          <w:i w:val="false"/>
          <w:caps w:val="false"/>
          <w:smallCaps w:val="false"/>
          <w:sz w:val="20"/>
        </w:rPr>
        <w:t>Joseph Davy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B_edei--EntityAddressAddressLine1_"/>
      <w:bookmarkEnd w:id="15"/>
      <w:r>
        <w:rPr>
          <w:rFonts w:ascii="Times New Roman;Times;Serif" w:hAnsi="Times New Roman;Times;Serif"/>
          <w:b/>
          <w:i w:val="false"/>
          <w:caps w:val="false"/>
          <w:smallCaps w:val="false"/>
          <w:sz w:val="20"/>
        </w:rPr>
        <w:t xml:space="preserve">435 Ericksen Ave, </w:t>
      </w:r>
      <w:bookmarkStart w:id="16" w:name="xdx_903_edei--EntityAddressAddressLine2_"/>
      <w:bookmarkEnd w:id="16"/>
      <w:r>
        <w:rPr>
          <w:rFonts w:ascii="Times New Roman;Times;Serif" w:hAnsi="Times New Roman;Times;Serif"/>
          <w:b/>
          <w:i w:val="false"/>
          <w:caps w:val="false"/>
          <w:smallCaps w:val="false"/>
          <w:sz w:val="20"/>
        </w:rPr>
        <w:t>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8_edei--EntityAddressCityOrTown_c2"/>
      <w:bookmarkEnd w:id="17"/>
      <w:r>
        <w:rPr>
          <w:rFonts w:ascii="Times New Roman;Times;Serif" w:hAnsi="Times New Roman;Times;Serif"/>
          <w:b/>
          <w:i w:val="false"/>
          <w:caps w:val="false"/>
          <w:smallCaps w:val="false"/>
          <w:sz w:val="20"/>
        </w:rPr>
        <w:t xml:space="preserve">Bainbridge Island, </w:t>
      </w:r>
      <w:bookmarkStart w:id="18" w:name="xdx_901_edei--EntityAddressStateOrProvin"/>
      <w:bookmarkEnd w:id="18"/>
      <w:r>
        <w:rPr>
          <w:rFonts w:ascii="Times New Roman;Times;Serif" w:hAnsi="Times New Roman;Times;Serif"/>
          <w:b/>
          <w:i w:val="false"/>
          <w:caps w:val="false"/>
          <w:smallCaps w:val="false"/>
          <w:sz w:val="20"/>
        </w:rPr>
        <w:t xml:space="preserve">Washington </w:t>
      </w:r>
      <w:bookmarkStart w:id="19" w:name="xdx_904_edei--EntityAddressPostalZipCode"/>
      <w:bookmarkEnd w:id="19"/>
      <w:r>
        <w:rPr>
          <w:rFonts w:ascii="Times New Roman;Times;Serif" w:hAnsi="Times New Roman;Times;Serif"/>
          <w:b/>
          <w:i w:val="false"/>
          <w:caps w:val="false"/>
          <w:smallCaps w:val="false"/>
          <w:sz w:val="20"/>
        </w:rPr>
        <w:t>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20" w:name="xdx_904_edei--CityAreaCode_c20260101__20"/>
      <w:bookmarkEnd w:id="20"/>
      <w:r>
        <w:rPr>
          <w:rFonts w:ascii="Times New Roman;Times;Serif" w:hAnsi="Times New Roman;Times;Serif"/>
          <w:b/>
          <w:i w:val="false"/>
          <w:caps w:val="false"/>
          <w:smallCaps w:val="false"/>
          <w:sz w:val="20"/>
        </w:rPr>
        <w:t xml:space="preserve">(206) </w:t>
      </w:r>
      <w:bookmarkStart w:id="21" w:name="xdx_906_edei--LocalPhoneNumber_c20260101"/>
      <w:bookmarkEnd w:id="21"/>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(917) 512-0827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5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F_edei--EntitySmallBusiness_c20260"/>
            <w:bookmarkEnd w:id="23"/>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4" w:name="xdx_903_edei--EntityEmergingGrowthCompan"/>
            <w:bookmarkEnd w:id="24"/>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Neither we nor the selling securityholder named herein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450" w:type="dxa"/>
        <w:jc w:val="left"/>
        <w:tblInd w:w="0" w:type="dxa"/>
        <w:tblLayout w:type="fixed"/>
        <w:tblCellMar>
          <w:top w:w="0" w:type="dxa"/>
          <w:left w:w="0" w:type="dxa"/>
          <w:bottom w:w="0" w:type="dxa"/>
          <w:right w:w="0" w:type="dxa"/>
        </w:tblCellMar>
      </w:tblPr>
      <w:tblGrid>
        <w:gridCol w:w="2750"/>
        <w:gridCol w:w="4700"/>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470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COMPLETION-DATED JULY 17,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667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619125"/>
                    </a:xfrm>
                    <a:prstGeom prst="rect">
                      <a:avLst/>
                    </a:prstGeom>
                  </pic:spPr>
                </pic:pic>
              </a:graphicData>
            </a:graphic>
          </wp:inline>
        </w:drawing>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shd w:fill="FFFFFF" w:val="clear"/>
        <w:bidi w:val="0"/>
        <w:spacing w:before="0" w:after="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Up to 2,309,107 shares of Class A Common Stock underlying the Notes; and Up to 1,647,861 shares of Class A Common Stock underlying the Common Warrants</w:t>
      </w:r>
    </w:p>
    <w:p>
      <w:pPr>
        <w:pStyle w:val="TextBody"/>
        <w:shd w:fill="FFFFFF" w:val="clear"/>
        <w:bidi w:val="0"/>
        <w:spacing w:before="0" w:after="0"/>
        <w:ind w:left="0" w:right="0" w:hanging="0"/>
        <w:jc w:val="center"/>
        <w:rPr>
          <w:caps w:val="false"/>
          <w:smallCaps w:val="false"/>
          <w:spacing w:val="0"/>
        </w:rPr>
      </w:pPr>
      <w:r>
        <w:rPr>
          <w:caps w:val="false"/>
          <w:smallCaps w:val="false"/>
          <w:spacing w:val="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Banzai International, Inc.</w:t>
      </w:r>
    </w:p>
    <w:p>
      <w:pPr>
        <w:pStyle w:val="TextBody"/>
        <w:shd w:fill="FFFFFF" w:val="clear"/>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This prospectus relates to the offer and sale, from time to time, by the selling stockholders named herein (collectively, the “Selling Stockholders”) of up to an aggregate of 3,956,968 shares of Class A common stock, par value $0.0001 per share (the “Class A Common Stock” or “Common Stock”), of Banzai International, Inc., a Delaware corporation (the “Company”) consisting of (i) 2,309,107 shares of Class A Common Stock issuable upon the conversion of a senior secured convertible note (the “Note”) in the original principal amount of $11,000,000 plus accrued interest issued pursuant to a securities purchase agreement, dated June 27, 2025, by and between the Company and an institutional investor (the “Purchase Agreement”) (the shares of Common Stock issuable pursuant to the terms of the Notes, including, without limitation, upon conversion or otherwise, collectively, the “Conversion Shares”) and (ii) shares of Class A Common Stock issuable upon the exercise of a warrant (the “Buyer Warrant”) to purchase up to 1,647,861 shares of Class A Common Stock (the “Warrant Shares”), also issued pursuant to the Purchase Agreement.</w:t>
      </w:r>
    </w:p>
    <w:p>
      <w:pPr>
        <w:pStyle w:val="TextBody"/>
        <w:bidi w:val="0"/>
        <w:spacing w:before="0" w:after="0"/>
        <w:ind w:left="0" w:right="0" w:firstLine="36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We previously registered an aggregate of 9,004,003 shares of Class A Common Stock issuable pursuant to the Purchase Agreement through conversion of the Note and exercise of the Buyer Warrant, to the Selling Stockholders, which shares consisted of (i) 8,332,759 shares of Class A Common Stock issuable upon conversion of the Note and (ii) shares of Class A Common Stock issuable upon the exercise of a warrant to purchase up to 671,244 shares of Class A Common Stock, in the Registration Statement on Form S-3 (File No. 333-289099) (the “Prior Registration Statement”), which the U.S. Securities and Exchange Commission (the “SEC”) declared effective on August 8, 2024. However, the Prior Registration Statement does not include enough shares of Class A Common Stock now issuable under the Note and Buyer Warrant due to the adjustment terms of the Note and Buyer Warrant, as further explained herein (See, “Recent Developments - Private Placement Offering (3i, LP).</w:t>
      </w:r>
    </w:p>
    <w:p>
      <w:pPr>
        <w:pStyle w:val="TextBody"/>
        <w:bidi w:val="0"/>
        <w:spacing w:before="0" w:after="0"/>
        <w:ind w:left="0" w:right="0" w:firstLine="36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The Selling Stockholders may, from time to time, sell, transfer, or otherwise dispose of any or all of their Class A Common Stock on any stock exchange, market, or trading facility on which the Class A Common Stock is traded or in private transactions. These dispositions may be at fixed prices, at prevailing market prices at the time of sale, at prices related to the prevailing market price, at varying prices determined at the time of sale, at negotiated prices.</w:t>
      </w:r>
    </w:p>
    <w:p>
      <w:pPr>
        <w:pStyle w:val="TextBody"/>
        <w:bidi w:val="0"/>
        <w:spacing w:before="0" w:after="0"/>
        <w:ind w:left="0" w:right="0" w:firstLine="36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We will not receive any of the proceeds from the sale or other disposition of the Class A Common Stock by the Selling Stockholders, but we will bear all costs, fees, and expenses in connection with the registration of the Class A Common Stock offered by the Selling Stockholders. The Selling Stockholders will bear all commissions or discounts, if any, attributable to the sale of the Class A Common Stock offered for resale through this prospectus. All net proceeds from the sale of the shares of common stock covered by this prospectus will go to the selling stockholders. However, we may receive the proceeds from any exercise of the Buyer Warrants if the holders do not exercise the Buyer Warrants on a cashless basis, of which there is no guarantee. See “Use of Proceeds.” For information regarding the Selling Stockholders and the times and manner in which they may offer or sell the Class A Common Stock, see “Selling Stockholders” and “Plan of Distribution.”</w:t>
      </w:r>
    </w:p>
    <w:p>
      <w:pPr>
        <w:pStyle w:val="TextBody"/>
        <w:bidi w:val="0"/>
        <w:spacing w:before="0" w:after="0"/>
        <w:ind w:left="0" w:right="0" w:hanging="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Our Class A Common Stock is listed on the Nasdaq Capital Market under the symbol “BNZI.” On July 16, 2026, the last reported sale price of our Class A Common Stock on Nasdaq was $2.41 per share. Our warrants, each exercisable for one share of Common Stock at a price of $115,000.00 per share, originally issued in our initial public offering (the “Public Warrants”), are currently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10 of this prospectus to read about factors you should consider before buying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17,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bookmarkStart w:id="25" w:name="xdx_98F_edei--AmendmentDescription_c2026"/>
      <w:bookmarkEnd w:id="25"/>
      <w:r>
        <w:rPr>
          <w:rFonts w:ascii="Times New Roman;Times;Serif" w:hAnsi="Times New Roman;Times;Serif"/>
          <w:b w:val="false"/>
          <w:i w:val="false"/>
          <w:caps w:val="false"/>
          <w:smallCaps w:val="false"/>
          <w:sz w:val="20"/>
        </w:rPr>
        <w:t xml:space="preserve">This Pre-Effective Amendment No. 1 (this “Post-Effective Amendment No. 3”) to the Registration Statement on </w:t>
      </w:r>
      <w:hyperlink r:id="rId3">
        <w:r>
          <w:rPr>
            <w:rStyle w:val="InternetLink"/>
            <w:rFonts w:ascii="Times New Roman;Times;Serif" w:hAnsi="Times New Roman;Times;Serif"/>
            <w:b w:val="false"/>
            <w:i w:val="false"/>
            <w:caps w:val="false"/>
            <w:smallCaps w:val="false"/>
            <w:sz w:val="20"/>
          </w:rPr>
          <w:t>Form S-1</w:t>
        </w:r>
      </w:hyperlink>
      <w:r>
        <w:rPr>
          <w:rFonts w:ascii="Times New Roman;Times;Serif" w:hAnsi="Times New Roman;Times;Serif"/>
          <w:b w:val="false"/>
          <w:i w:val="false"/>
          <w:caps w:val="false"/>
          <w:smallCaps w:val="false"/>
          <w:sz w:val="20"/>
        </w:rPr>
        <w:t xml:space="preserve"> (File No. 333-296516), initially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June 5, 2026 (the “Registration Statement”), is being filed to include information about a recent significant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 w:name="xdx_C02_gBFAD-XHG_zQYffrJQ8iac"/>
      <w:bookmarkEnd w:id="26"/>
      <w:r>
        <w:rPr>
          <w:rFonts w:ascii="Times New Roman;Times;Serif" w:hAnsi="Times New Roman;Times;Serif"/>
          <w:b w:val="false"/>
          <w:i w:val="false"/>
          <w:caps w:val="false"/>
          <w:smallCaps w:val="false"/>
          <w:sz w:val="20"/>
        </w:rPr>
        <w:t>No additional securities are being registered under this Pre-Effective Amendment No. 1. All applicable registration fees were previously paid.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vb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vb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vb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vb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FFFF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70" w:type="dxa"/>
            <w:tcBorders/>
            <w:shd w:fill="FFFF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47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MANAGEMENT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470" w:type="dxa"/>
            <w:tcBorders/>
            <w:shd w:fill="FFFF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EXECUTIVE AND DIRECTOR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470" w:type="dxa"/>
            <w:tcBorders/>
            <w:shd w:fill="CCEE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470" w:type="dxa"/>
            <w:tcBorders/>
            <w:shd w:fill="FFFF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PRINCIPAL SECURITYHOLDERS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470" w:type="dxa"/>
            <w:tcBorders/>
            <w:shd w:fill="CCEE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SELLING SECURITYHOLDER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470" w:type="dxa"/>
            <w:tcBorders/>
            <w:shd w:fill="FFFF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47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FFFFFF" w:val="clear"/>
            <w:vAlign w:val="center"/>
          </w:tcPr>
          <w:p>
            <w:pPr>
              <w:pStyle w:val="TableContents"/>
              <w:bidi w:val="0"/>
              <w:spacing w:before="0" w:after="283"/>
              <w:jc w:val="both"/>
              <w:rPr/>
            </w:pPr>
            <w:hyperlink w:anchor="ta_009">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470" w:type="dxa"/>
            <w:tcBorders/>
            <w:shd w:fill="CCEEFF" w:val="clear"/>
            <w:vAlign w:val="center"/>
          </w:tcPr>
          <w:p>
            <w:pPr>
              <w:pStyle w:val="TableContents"/>
              <w:bidi w:val="0"/>
              <w:spacing w:before="0" w:after="283"/>
              <w:jc w:val="both"/>
              <w:rPr/>
            </w:pPr>
            <w:hyperlink w:anchor="ta_010">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both"/>
              <w:rPr/>
            </w:pPr>
            <w:hyperlink w:anchor="ta_011">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CCEEFF" w:val="clear"/>
            <w:vAlign w:val="center"/>
          </w:tcPr>
          <w:p>
            <w:pPr>
              <w:pStyle w:val="TableContents"/>
              <w:bidi w:val="0"/>
              <w:spacing w:before="0" w:after="283"/>
              <w:jc w:val="both"/>
              <w:rPr/>
            </w:pPr>
            <w:hyperlink w:anchor="t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both"/>
              <w:rPr/>
            </w:pPr>
            <w:hyperlink w:anchor="sj_001">
              <w:r>
                <w:rPr>
                  <w:rStyle w:val="InternetLink"/>
                  <w:rFonts w:ascii="Times New Roman;Times;Serif" w:hAnsi="Times New Roman;Times;Serif"/>
                  <w:b w:val="false"/>
                  <w:i w:val="false"/>
                  <w:caps w:val="false"/>
                  <w:smallCaps w:val="false"/>
                  <w:sz w:val="20"/>
                </w:rPr>
                <w:t>UNAUDITED PRO FORMA CONDENSED COMBINED FINANCIAL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CCEEFF" w:val="clear"/>
            <w:vAlign w:val="center"/>
          </w:tcPr>
          <w:p>
            <w:pPr>
              <w:pStyle w:val="TableContents"/>
              <w:bidi w:val="0"/>
              <w:spacing w:before="0" w:after="283"/>
              <w:jc w:val="both"/>
              <w:rPr/>
            </w:pPr>
            <w:hyperlink w:anchor="ta_013">
              <w:r>
                <w:rPr>
                  <w:rStyle w:val="InternetLink"/>
                  <w:rFonts w:ascii="Times New Roman;Times;Serif" w:hAnsi="Times New Roman;Times;Serif"/>
                  <w:b w:val="false"/>
                  <w:i w:val="false"/>
                  <w:caps w:val="false"/>
                  <w:smallCaps w:val="false"/>
                  <w:sz w:val="20"/>
                </w:rPr>
                <w:t>INDEX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vb_001"/>
      <w:bookmarkEnd w:id="2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vb_002"/>
      <w:bookmarkEnd w:id="28"/>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vb_003"/>
      <w:bookmarkEnd w:id="29"/>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w:t>
      </w:r>
      <w:r>
        <w:rPr>
          <w:rFonts w:ascii="Times New Roman;Times;Serif" w:hAnsi="Times New Roman;Times;Serif"/>
          <w:b w:val="false"/>
          <w:i w:val="false"/>
          <w:caps w:val="false"/>
          <w:smallCaps w:val="false"/>
          <w:sz w:val="20"/>
          <w:shd w:fill="FFFFFF" w:val="clear"/>
        </w:rPr>
        <w:t>platform currently includes several products, ranging across demand generation, webinar hosting, video creation and email newsletters.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For more information regarding this transaction,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The Nasdaq Capital Market on May 8, 2026, under the symbol “BNZI,” and the reverse stock split reduced the number of outstanding shares of Class A and Class B common stock from 22,910,282 and 677,118 shares to 1,145,515 and 33,856 shares, respectively (the “May 2026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11,640 shares of Common Stock, valued at $24.40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twelve additional exchange agreements on substantially similar terms between January 2026 and June 2026 (each, a “Subsequent Exchange Agreement”), pursuant to which the Company issued an aggregate of 303,451 additional shares of Common Stock to Agile at prices ranging from $2.95 to $23.60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fully extinguished.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 Offering (3i, LP)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originally entered into in June 2025. The Company issued an additional note in the original principal amount of $2,333,333, with an initial conversion price equal to $22.20 per share and issuance date of February 13, 2026 (the “February 3i Note,” together with the August Note, the October Note, and the first Note issued in June 2025, are collectively referred to herein as the “Notes”), and additional warrants to purchase up to 21,021 shares of Common Stock, at an initial exercise price equal to $50.00 per share (the “February Warrants,” together with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 The shares of Common Stock being registered for resale in this prospectus (as described on the cover page hereof) include shares issuable upon conversion of the Notes and exercise of the Buyer Warrants issued pursuant to the Purchase Agreement, including shares issuable as a result of the adjustment provision described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Agile Exchanges that took place in late 2025 and 2026, the number of shares of Class A Common Stock issuable upon exercise of the Buyer Warrants was adjusted from 1,666,386 to 560,005 and the Exercise Price of the Buyer Warrant was adjusted from $1.11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Exercise Price and Conversion Price of the Buyer Warrants and Notes were adjusted to $3.303 and $3.303, respectively. Following the July 2026 Aegis Public Offering, the Buyer Warrants and Notes have a current Exercise Price and Conversion Price of $2.75 and $2.75,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thousand and received net proceeds of approximately $150 thousand, after discount and transaction fees. The note has a maturity date of January 30, 2027, and bears interest at 14%.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Venture Issuance and Payoff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TVT Capital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Loan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(the “Floor Price”);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2.3(a)(i) of the Note, the Conversion Price was proportionately adjusted to reflect the May 2026 Reverse Stock Split. As of May 14, 2026, there was an aggregate of $5,361,910 outstanding under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$142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was approximately $1.5 million as of March 31, 2026. The aggregate market value of the shares of Class A Common Stock eligible for sale under the ATM Prospectus Supplement was approximately $0.1 million as of July 14,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The prior SEPA registration statements have been fully utilized. We previously registered shares of Class A Common Stock issuable under the SEPA on a registration statement on Form S-1 (File No. 333-290241), which became effective on September 19, 2025; as of the date hereof, 328,400 shares remain available for issuance thereunder. Since inception through the date of this prospectus, the Company has issued Advance Notices to Yorkville pursuant to the SEPA pursuant to which Yorkville has purchased an aggregate of approximately 1,046,731 shares of the Company’s Class A Common Stock for aggregate gross proceeds of approximately $23.4 million, approximately $5.8 million of which were applied against outstanding balances under the Yorkville Convertible Notes.  As of the date of this prospectus, the Yorkville Convertible Notes are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bl>
    <w:p>
      <w:pPr>
        <w:pStyle w:val="TextBody"/>
        <w:bidi w:val="0"/>
        <w:spacing w:before="0" w:after="0"/>
        <w:jc w:val="center"/>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bl>
    <w:p>
      <w:pPr>
        <w:pStyle w:val="TextBody"/>
        <w:bidi w:val="0"/>
        <w:spacing w:before="0" w:after="0"/>
        <w:ind w:left="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bl>
    <w:p>
      <w:pPr>
        <w:pStyle w:val="TextBody"/>
        <w:bidi w:val="0"/>
        <w:spacing w:before="0" w:after="0"/>
        <w:ind w:left="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bl>
    <w:p>
      <w:pPr>
        <w:pStyle w:val="TextBody"/>
        <w:bidi w:val="0"/>
        <w:spacing w:before="0" w:after="0"/>
        <w:ind w:left="0" w:right="0" w:hanging="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firstLine="45"/>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Offering and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bl>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10.5% of the voting power of our outstanding Common Stock and may have significant influence over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rPr>
        <w:t>www.banzai.io</w:t>
      </w:r>
      <w:r>
        <w:rPr>
          <w:rFonts w:ascii="Times New Roman;Times;Serif" w:hAnsi="Times New Roman;Times;Serif"/>
          <w:b w:val="false"/>
          <w:i w:val="false"/>
          <w:caps w:val="false"/>
          <w:smallCaps w:val="false"/>
          <w:sz w:val="20"/>
        </w:rPr>
        <w:t>.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Implications of Being a Smaller Reporting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6"/>
        <w:gridCol w:w="60"/>
        <w:gridCol w:w="7459"/>
      </w:tblGrid>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3,956,968 shares of Class A Common Stock issuable upon the conversion of the Note and upon the exercise of the Buyer Warrants, issued pursuant to the Purchase Agreement originally entered in June 2025.</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July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3,280,551</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Securityholders.</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3,280,551 shares of our Class A Common Stock outstanding as of July 14, 2026, which excludes: </w:t>
      </w:r>
    </w:p>
    <w:p>
      <w:pPr>
        <w:pStyle w:val="TextBody"/>
        <w:bidi w:val="0"/>
        <w:spacing w:before="0" w:after="0"/>
        <w:ind w:left="0" w:right="0" w:firstLine="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 shares issuable within 60 days from the report date upon exercise of outstanding stock options with a weighted average exercise price of $9,207.73 granted through September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55,385 shares issuable within 60 days from the report date upon vesting of outstanding restricted stock units granted through September 15, 2026;</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161,100 shares issuable upon exercise of common stock purchase of 3i, LP warrants issued on June 30,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63,938 shares issuable upon exercise of warrants issued to the financial advisor of the transaction that closed on June 30,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 shares issuable upon exercise of common stock purchase of 3i, LP warrants issued on August 19,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63,617 shares issuable upon exercise of warrants issued to the financial advisor of 3i, LP of the transaction that closed on August 19,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181,819 shares issuable upon exercise of common stock purchase of 3i, LP warrants issued on October 8,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72,430 shares issuable upon exercise of warrants issued to the financial advisor of 3i, LP of the transaction that closed on October 8,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169,697 shares issuable upon exercise of common stock purchase of 3i, LP warrants issued on February 13, 2026, with an exercise price of $2.75 as per exercise price adjustment and reset as of July 14, 2026;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67,616 shares issuable upon exercise of warrants issued to the financial advisor of 3i, LP of the transaction that closed on February 13, 2026 with an exercise price of $2.75 as per exercise price adjustment and reset as of July 14, 2026.</w:t>
            </w:r>
          </w:p>
        </w:tc>
      </w:tr>
    </w:tbl>
    <w:p>
      <w:pPr>
        <w:pStyle w:val="TextBody"/>
        <w:bidi w:val="0"/>
        <w:spacing w:before="0" w:after="0"/>
        <w:ind w:left="72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vb_004"/>
      <w:bookmarkEnd w:id="3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For the three months ended March 31, 2026 and 2025, we incurred operating losses of $5.8 million and $4.9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Vidello in 2025 and ConnectAndSell in 2026.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three months ended March 31, 2026 and 2025, our net cash used in operating activities was $5.5 million and $5.0 million, respectively. For  the years ended December 31, 2025 and 2024, our net cash used in operating activities was $15.7 million and $9.6 million, respectively. As of March 31, 2026, December 31, 2025, and December 31, 2024, we had $0.1 million, $0.3 million, and $1.1 million of cash, respectively, which were held for working capital purposes, and as of March 31, 2026, December 31, 2025, and December 31, 2024, we had borrowings totaling $9.8 million,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the July Reverse Stock Split on July 8, 2025, and the May 2026 Reverse Stock Split on May 8, 2026. Following the May 2026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31, 2024, our Class A Common Stock trades on The Nasdaq Capital Market, under the same symbol, BNZI.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9.4% of our outstanding voting power as of July 14,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9.6%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9.6% of the voting power of our outstanding shares of Common Stock as of the date of this prospectus, based on the number of shares outstanding as of July 14,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in our Annual Report for additional information regarding the Warrants, including the number of shares underlying the Warrants, exercise prices and expiration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sa_001"/>
      <w:bookmarkEnd w:id="31"/>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sa_002"/>
      <w:bookmarkEnd w:id="32"/>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16, 2026, our Class A Common Stock is listed on The Nasdaq Capital Market under the symbol “BNZI”. Our Public Warrants are currently listed on The Nasdaq Capital Market under the symbol “BNZIW.” As of July 16, 2026, there were 55 holders of record of our Class A Common Stock and one holder of record of our Public Warrants. These numbers do not include beneficial owners whose securities were held in street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following receipt of the necessary shareholder and Nasdaq approval, we implemented a reverse stock split of our Class A and Class B Common Stock at a 1:20 ratio, which went effective on May 8, 2026. Following the split, we have a new CUSIP number 06682J605.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31"/>
        <w:gridCol w:w="2110"/>
        <w:gridCol w:w="60"/>
        <w:gridCol w:w="60"/>
        <w:gridCol w:w="277"/>
        <w:gridCol w:w="1945"/>
        <w:gridCol w:w="60"/>
        <w:gridCol w:w="60"/>
        <w:gridCol w:w="317"/>
        <w:gridCol w:w="2968"/>
        <w:gridCol w:w="80"/>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80"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2110"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w:t>
            </w:r>
          </w:p>
        </w:tc>
        <w:tc>
          <w:tcPr>
            <w:tcW w:w="1945" w:type="dxa"/>
            <w:tcBorders/>
            <w:shd w:fill="CCEEFF" w:val="clear"/>
            <w:tcMar>
              <w:bottom w:w="0" w:type="dxa"/>
            </w:tcM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2968" w:type="dxa"/>
            <w:tcBorders/>
            <w:shd w:fill="CCEEFF" w:val="clear"/>
            <w:tcMar>
              <w:bottom w:w="0" w:type="dxa"/>
            </w:tcM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 </w:t>
            </w:r>
          </w:p>
        </w:tc>
        <w:tc>
          <w:tcPr>
            <w:tcW w:w="211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bottom w:val="single" w:sz="8" w:space="0" w:color="000000"/>
            </w:tcBorders>
            <w:shd w:fill="FFFFFF" w:val="clear"/>
            <w:vAlign w:val="center"/>
          </w:tcPr>
          <w:p>
            <w:pPr>
              <w:pStyle w:val="TableContents"/>
              <w:bidi w:val="0"/>
              <w:spacing w:before="0" w:after="283"/>
              <w:jc w:val="left"/>
              <w:rPr/>
            </w:pPr>
            <w:r>
              <w:rPr/>
              <w:t> </w:t>
            </w:r>
          </w:p>
        </w:tc>
        <w:tc>
          <w:tcPr>
            <w:tcW w:w="19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bottom w:val="single" w:sz="8" w:space="0" w:color="000000"/>
            </w:tcBorders>
            <w:shd w:fill="FFFFFF" w:val="clear"/>
            <w:vAlign w:val="center"/>
          </w:tcPr>
          <w:p>
            <w:pPr>
              <w:pStyle w:val="TableContents"/>
              <w:bidi w:val="0"/>
              <w:spacing w:before="0" w:after="283"/>
              <w:jc w:val="left"/>
              <w:rPr/>
            </w:pPr>
            <w:r>
              <w:rPr/>
              <w:t> </w:t>
            </w:r>
          </w:p>
        </w:tc>
        <w:tc>
          <w:tcPr>
            <w:tcW w:w="2968"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pPr>
            <w:r>
              <w:rPr/>
              <w:t> </w:t>
            </w:r>
          </w:p>
        </w:tc>
        <w:tc>
          <w:tcPr>
            <w:tcW w:w="2110" w:type="dxa"/>
            <w:tcBorders>
              <w:bottom w:val="double" w:sz="6" w:space="0" w:color="000000"/>
            </w:tcBorders>
            <w:shd w:fill="CCEEFF" w:val="cle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bottom w:val="double" w:sz="6" w:space="0" w:color="000000"/>
            </w:tcBorders>
            <w:shd w:fill="CCEEFF" w:val="clear"/>
            <w:vAlign w:val="center"/>
          </w:tcPr>
          <w:p>
            <w:pPr>
              <w:pStyle w:val="TableContents"/>
              <w:bidi w:val="0"/>
              <w:spacing w:before="0" w:after="283"/>
              <w:jc w:val="left"/>
              <w:rPr/>
            </w:pPr>
            <w:r>
              <w:rPr/>
              <w:t>$</w:t>
            </w:r>
          </w:p>
        </w:tc>
        <w:tc>
          <w:tcPr>
            <w:tcW w:w="1945" w:type="dxa"/>
            <w:tcBorders>
              <w:bottom w:val="double" w:sz="6" w:space="0" w:color="000000"/>
            </w:tcBorders>
            <w:shd w:fill="CCEEFF" w:val="cle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vAlign w:val="center"/>
          </w:tcPr>
          <w:p>
            <w:pPr>
              <w:pStyle w:val="TableContents"/>
              <w:bidi w:val="0"/>
              <w:spacing w:before="0" w:after="283"/>
              <w:jc w:val="left"/>
              <w:rPr/>
            </w:pPr>
            <w:r>
              <w:rPr/>
              <w:t> </w:t>
            </w:r>
          </w:p>
        </w:tc>
        <w:tc>
          <w:tcPr>
            <w:tcW w:w="2968" w:type="dxa"/>
            <w:tcBorders>
              <w:bottom w:val="double" w:sz="6" w:space="0" w:color="000000"/>
            </w:tcBorders>
            <w:shd w:fill="CCEEFF" w:val="cle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24,319 shares available pursuant to our 2023 Equity Incentive Plan and 58 shares available pursuant to our Employee Stock Purchase Plan. The total number of securities remaining available for future issuance indicated above reflects the expansion of shares available under the 2023 EIP Plan, to 50,000 shares, which Banzai’s shareholders approved on February 28, 2025.</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sa_003"/>
      <w:bookmarkEnd w:id="33"/>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Quarter 2026 Financial and Operational Highlights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20.2% to $2.7 million for first quarter 2026 compared to first quarter 2025. Total cost of revenue decreased by 14.0%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$2.2 million for first quarter 2026, compared to $2.8 million in first quarter 2025. Gross profit was 80.7% in first quarter 2026 compared to 82.1% in first quarter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to $8.4 million for first quarter 2026, compared to $3.6 million in first quarter 2025, which represents a $4.8 million decline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remained at $8.1 million as of March 31, 2026; we converted $3.8 million of debt to equity, and raised an additional $3.3 million from the SEPA and ATM during first quarter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an additional tranche of $2.3 million debt in February 2026 as part of our $11 million debt facility with an institutional investor to support ongoing operations and solidify the foundation for future growth.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Banzai International, Inc. (the “Company”) entered into an underwriting agreement (the “Underwriting Agreement”) with Aegis Capital Corp. (“Aegis” or the “Underwriter”), relating to the Company’s public offering (the “Offering”) of 327,273 shares of the Company’s common stock, par value $0.0001 per share (the “Common Stock”), at a public offering price of $2.75. Pursuant to the Underwriting Agreement, the Company also granted the Underwriter a 45-day option (“Option”) to purchase an additional 36,364 shares of Common Stock (the “Option Securities”, and together with the Shares,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closed the Offering and received gross proceeds of approximately $0.9 million before deducting underwriting discounts and commissions and estimated offering expenses payable by the Company. The Company intends to use the net proceeds of the Offering for general corporate purposes, which may include increasing its working capital, reducing indebtedness as applicable, products or technologies that are complementary to its own, and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issued, and sold pursuant to a prospectus supplement and accompanying prospectus filed with the Securities and Exchange Commission (the “SEC”) pursuant to an effective shelf registration statement filed with the SEC on Form S-3 (File No. 333-288908) (the “Registration Statement”) under the Securities Act of 1933, as amended (the “Securities Act”), as supplemented by the final prospectus, dated July 13, 2026, relating to the Securities (together with the accompanying base prospectus, dated August 8, 2025, the “Prospectus Supplement”), filed with the SEC pursuant to Rule 424(b) of the Securities Act on 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Underwriting Agreement, the Underwriter received an underwriting discount of 7.0% to the public offering price for the Common Stock. In addition, the Company agreed to (a) pay a non-accountable expense allowance to the Underwriter received in the Offering and (b) to reimburse the Underwriter for certain out-of-pocket expenses, including, but not limited to, up to $50,000 for reasonable legal fees and disbursements for the Underwriter’s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the Underwriting Agreement and as of the specific applicable dates contained in the Underwriting Agreement, were solely for the benefit of the parties to the Underwriting Agreement and were subject to limitations agreed upon by the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 The foregoing is only a brief description of the terms of the Underwriting Agreement and does not purport to be a complete statement of the rights and obligations of the parties thereto and the transactions contemplated thereby, and is qualified in its entirety by reference to the full text of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Asset Purchase Agreement (“APA”), total consideration was $13.2 million, comprised of: closing consideration of $750 thousand in cash, 294,917 shares of Banzai’s Class A Common Stock and 1,685,175 Pre-Funded Warrants (together valued at $5.9 million), and a one year promissory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with an aggregate value of $1,340,000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believes the addition of ConnectAndSell strengthens its position as a provider of integrated marketing and sales technology solutions while creating meaningful cross-sell opportunities across the combined company’s customer base. The transaction also furthers Banzai’s strategy of building a powerful platform of revenue-generating software solutions. The majority of ConnectAndSell’s thirty-eight team members will join Banzai as part of the transaction, bringing their substantial AI experience to Banzai. Banzai expects to recognize additional financial synergies through cost consolidation by the end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prospectus do not reflect ConnectAndSell’s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with 7GC in 2023,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60"/>
        <w:gridCol w:w="241"/>
        <w:gridCol w:w="1095"/>
        <w:gridCol w:w="163"/>
        <w:gridCol w:w="103"/>
        <w:gridCol w:w="241"/>
        <w:gridCol w:w="1095"/>
        <w:gridCol w:w="95"/>
        <w:gridCol w:w="60"/>
        <w:gridCol w:w="161"/>
        <w:gridCol w:w="734"/>
        <w:gridCol w:w="109"/>
        <w:gridCol w:w="69"/>
        <w:gridCol w:w="69"/>
        <w:gridCol w:w="738"/>
        <w:gridCol w:w="294"/>
      </w:tblGrid>
      <w:tr>
        <w:trPr/>
        <w:tc>
          <w:tcPr>
            <w:tcW w:w="4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4" w:type="dxa"/>
            <w:tcBorders/>
            <w:vAlign w:val="center"/>
          </w:tcPr>
          <w:p>
            <w:pPr>
              <w:pStyle w:val="TableContents"/>
              <w:bidi w:val="0"/>
              <w:spacing w:before="0" w:after="283"/>
              <w:jc w:val="left"/>
              <w:rPr/>
            </w:pPr>
            <w:r>
              <w:rPr/>
              <w:t> </w:t>
            </w:r>
          </w:p>
        </w:tc>
      </w:tr>
      <w:tr>
        <w:trPr/>
        <w:tc>
          <w:tcPr>
            <w:tcW w:w="487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4" w:type="dxa"/>
            <w:tcBorders/>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2,696</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3,379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(683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(20.2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7,650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(217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(2.9</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(23.5</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7,955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NM</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194</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45.8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(540.0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2,689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(4,026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(301.1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(8,469</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(3,570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(4,899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170.3</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(8,417</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(4,773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9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present favorable period-over-period amounts and percentages as positive and unfavorable as negative, and percentages not considered meaningful as “NM.”</w:t>
      </w:r>
    </w:p>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2,696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(683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(20.2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Banzai Operating, OpenReel and Vidello decreased by approximately $134, $65, and $484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1640"/>
        <w:gridCol w:w="60"/>
        <w:gridCol w:w="386"/>
        <w:gridCol w:w="1048"/>
        <w:gridCol w:w="165"/>
        <w:gridCol w:w="165"/>
        <w:gridCol w:w="386"/>
        <w:gridCol w:w="1048"/>
        <w:gridCol w:w="60"/>
        <w:gridCol w:w="60"/>
        <w:gridCol w:w="258"/>
        <w:gridCol w:w="479"/>
        <w:gridCol w:w="110"/>
        <w:gridCol w:w="110"/>
        <w:gridCol w:w="110"/>
        <w:gridCol w:w="81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521</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14.0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OpenReel and Vidello decreased by approximately $10, and $88, respectively, partially offset by Banzai Operating, which increased by approximately $13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firstLine="51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2,175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(598</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Banzai Operating, OpenReel and Vidello decreased by approximately $147, $55 and $396,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 Analysis </w:t>
      </w:r>
    </w:p>
    <w:p>
      <w:pPr>
        <w:pStyle w:val="TextBody"/>
        <w:bidi w:val="0"/>
        <w:spacing w:before="0" w:after="0"/>
        <w:ind w:left="0" w:right="0" w:firstLine="510"/>
        <w:jc w:val="both"/>
        <w:rPr>
          <w:caps w:val="false"/>
          <w:smallCaps w:val="false"/>
        </w:rPr>
      </w:pPr>
      <w:r>
        <w:rPr>
          <w:caps w:val="false"/>
          <w:smallCaps w:val="false"/>
        </w:rPr>
        <w:t> </w:t>
      </w:r>
    </w:p>
    <w:tbl>
      <w:tblPr>
        <w:tblW w:w="7951" w:type="dxa"/>
        <w:jc w:val="left"/>
        <w:tblInd w:w="0" w:type="dxa"/>
        <w:tblLayout w:type="fixed"/>
        <w:tblCellMar>
          <w:top w:w="0" w:type="dxa"/>
          <w:left w:w="0" w:type="dxa"/>
          <w:bottom w:w="0" w:type="dxa"/>
          <w:right w:w="0" w:type="dxa"/>
        </w:tblCellMar>
      </w:tblPr>
      <w:tblGrid>
        <w:gridCol w:w="2390"/>
        <w:gridCol w:w="60"/>
        <w:gridCol w:w="294"/>
        <w:gridCol w:w="1178"/>
        <w:gridCol w:w="126"/>
        <w:gridCol w:w="126"/>
        <w:gridCol w:w="294"/>
        <w:gridCol w:w="1178"/>
        <w:gridCol w:w="60"/>
        <w:gridCol w:w="60"/>
        <w:gridCol w:w="218"/>
        <w:gridCol w:w="709"/>
        <w:gridCol w:w="148"/>
        <w:gridCol w:w="93"/>
        <w:gridCol w:w="93"/>
        <w:gridCol w:w="619"/>
        <w:gridCol w:w="30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7,955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(275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Analysis</w:t>
      </w:r>
    </w:p>
    <w:p>
      <w:pPr>
        <w:pStyle w:val="TextBody"/>
        <w:bidi w:val="0"/>
        <w:spacing w:before="0" w:after="0"/>
        <w:ind w:left="0" w:right="0" w:firstLine="51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2750"/>
        <w:gridCol w:w="60"/>
        <w:gridCol w:w="237"/>
        <w:gridCol w:w="921"/>
        <w:gridCol w:w="114"/>
        <w:gridCol w:w="114"/>
        <w:gridCol w:w="237"/>
        <w:gridCol w:w="1035"/>
        <w:gridCol w:w="80"/>
        <w:gridCol w:w="60"/>
        <w:gridCol w:w="142"/>
        <w:gridCol w:w="620"/>
        <w:gridCol w:w="91"/>
        <w:gridCol w:w="68"/>
        <w:gridCol w:w="68"/>
        <w:gridCol w:w="621"/>
        <w:gridCol w:w="260"/>
      </w:tblGrid>
      <w:tr>
        <w:trPr/>
        <w:tc>
          <w:tcPr>
            <w:tcW w:w="27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5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Period-over-Period</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91"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w:t>
            </w:r>
          </w:p>
        </w:tc>
        <w:tc>
          <w:tcPr>
            <w:tcW w:w="2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reported total other income of approximately $2.7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$0.2 million recognized during the three months ended March 31, 2026 compared to $0.4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$4.3 million recognized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$49 during the three months ended March 31, 2026 compared to $0.3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$1.6 million during the three months ended 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$6 during the three months ended March 31, 2026 compared to $1.8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$28 during the three months ended March 31, 2026 compared to $0.4 million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approximately $550 expense during the three months ended March 31, 2026 compared to approximately $125 income during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510"/>
        <w:jc w:val="both"/>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2765"/>
        <w:gridCol w:w="60"/>
        <w:gridCol w:w="434"/>
        <w:gridCol w:w="1040"/>
        <w:gridCol w:w="295"/>
        <w:gridCol w:w="186"/>
        <w:gridCol w:w="434"/>
        <w:gridCol w:w="807"/>
        <w:gridCol w:w="60"/>
        <w:gridCol w:w="60"/>
        <w:gridCol w:w="182"/>
        <w:gridCol w:w="591"/>
        <w:gridCol w:w="123"/>
        <w:gridCol w:w="78"/>
        <w:gridCol w:w="78"/>
        <w:gridCol w:w="828"/>
        <w:gridCol w:w="30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29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(52</w:t>
            </w:r>
          </w:p>
        </w:tc>
        <w:tc>
          <w:tcPr>
            <w:tcW w:w="295"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(126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(170.3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we had no unrecognized tax benefits that would impact our effective tax rate if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8106" w:type="dxa"/>
        <w:jc w:val="left"/>
        <w:tblInd w:w="0" w:type="dxa"/>
        <w:tblLayout w:type="fixed"/>
        <w:tblCellMar>
          <w:top w:w="0" w:type="dxa"/>
          <w:left w:w="0" w:type="dxa"/>
          <w:bottom w:w="0" w:type="dxa"/>
          <w:right w:w="0" w:type="dxa"/>
        </w:tblCellMar>
      </w:tblPr>
      <w:tblGrid>
        <w:gridCol w:w="2510"/>
        <w:gridCol w:w="60"/>
        <w:gridCol w:w="262"/>
        <w:gridCol w:w="1191"/>
        <w:gridCol w:w="178"/>
        <w:gridCol w:w="112"/>
        <w:gridCol w:w="262"/>
        <w:gridCol w:w="1191"/>
        <w:gridCol w:w="95"/>
        <w:gridCol w:w="60"/>
        <w:gridCol w:w="218"/>
        <w:gridCol w:w="709"/>
        <w:gridCol w:w="148"/>
        <w:gridCol w:w="93"/>
        <w:gridCol w:w="93"/>
        <w:gridCol w:w="619"/>
        <w:gridCol w:w="30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(1,908</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(167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(9.6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43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8"/>
        <w:gridCol w:w="60"/>
        <w:gridCol w:w="240"/>
        <w:gridCol w:w="1091"/>
        <w:gridCol w:w="163"/>
        <w:gridCol w:w="102"/>
        <w:gridCol w:w="240"/>
        <w:gridCol w:w="1091"/>
        <w:gridCol w:w="95"/>
        <w:gridCol w:w="60"/>
        <w:gridCol w:w="161"/>
        <w:gridCol w:w="734"/>
        <w:gridCol w:w="109"/>
        <w:gridCol w:w="69"/>
        <w:gridCol w:w="69"/>
        <w:gridCol w:w="738"/>
        <w:gridCol w:w="295"/>
      </w:tblGrid>
      <w:tr>
        <w:trPr/>
        <w:tc>
          <w:tcPr>
            <w:tcW w:w="4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5" w:type="dxa"/>
            <w:tcBorders/>
            <w:vAlign w:val="center"/>
          </w:tcPr>
          <w:p>
            <w:pPr>
              <w:pStyle w:val="TableContents"/>
              <w:bidi w:val="0"/>
              <w:spacing w:before="0" w:after="283"/>
              <w:jc w:val="left"/>
              <w:rPr/>
            </w:pPr>
            <w:r>
              <w:rPr/>
              <w:t> </w:t>
            </w:r>
          </w:p>
        </w:tc>
      </w:tr>
      <w:tr>
        <w:trPr/>
        <w:tc>
          <w:tcPr>
            <w:tcW w:w="488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5"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(8,417</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CCEEFF" w:val="clear"/>
            <w:vAlign w:val="center"/>
          </w:tcPr>
          <w:p>
            <w:pPr>
              <w:pStyle w:val="TableContents"/>
              <w:bidi w:val="0"/>
              <w:spacing w:before="0" w:after="283"/>
              <w:jc w:val="left"/>
              <w:rPr/>
            </w:pPr>
            <w:r>
              <w:rPr/>
              <w:t> </w:t>
            </w:r>
          </w:p>
        </w:tc>
      </w:tr>
      <w:tr>
        <w:trPr/>
        <w:tc>
          <w:tcPr>
            <w:tcW w:w="4888"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194</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164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45.8</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170.3</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305</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(23.5</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1,308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(971</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(288.1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2,259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29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2750"/>
        <w:gridCol w:w="60"/>
        <w:gridCol w:w="294"/>
        <w:gridCol w:w="1178"/>
        <w:gridCol w:w="126"/>
        <w:gridCol w:w="126"/>
        <w:gridCol w:w="294"/>
        <w:gridCol w:w="1178"/>
        <w:gridCol w:w="60"/>
        <w:gridCol w:w="60"/>
        <w:gridCol w:w="198"/>
        <w:gridCol w:w="645"/>
        <w:gridCol w:w="134"/>
        <w:gridCol w:w="85"/>
        <w:gridCol w:w="85"/>
        <w:gridCol w:w="733"/>
        <w:gridCol w:w="30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367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27.0</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106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(93</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(46.7</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197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(141</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(41.7</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1,589</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2,259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(323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condensed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to our condensed consolidated financial statements in this Report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spacing w:before="0" w:after="0"/>
        <w:ind w:left="0" w:right="0" w:firstLine="510"/>
        <w:jc w:val="both"/>
        <w:rPr>
          <w:caps w:val="false"/>
          <w:smallCaps w:val="false"/>
        </w:rPr>
      </w:pPr>
      <w:r>
        <w:rPr>
          <w:caps w:val="false"/>
          <w:smallCaps w:val="false"/>
        </w:rPr>
        <w:t> </w:t>
      </w:r>
    </w:p>
    <w:tbl>
      <w:tblPr>
        <w:tblW w:w="9486" w:type="dxa"/>
        <w:jc w:val="left"/>
        <w:tblInd w:w="0" w:type="dxa"/>
        <w:tblLayout w:type="fixed"/>
        <w:tblCellMar>
          <w:top w:w="0" w:type="dxa"/>
          <w:left w:w="0" w:type="dxa"/>
          <w:bottom w:w="0" w:type="dxa"/>
          <w:right w:w="0" w:type="dxa"/>
        </w:tblCellMar>
      </w:tblPr>
      <w:tblGrid>
        <w:gridCol w:w="3890"/>
        <w:gridCol w:w="60"/>
        <w:gridCol w:w="262"/>
        <w:gridCol w:w="1191"/>
        <w:gridCol w:w="178"/>
        <w:gridCol w:w="112"/>
        <w:gridCol w:w="262"/>
        <w:gridCol w:w="1191"/>
        <w:gridCol w:w="95"/>
        <w:gridCol w:w="60"/>
        <w:gridCol w:w="161"/>
        <w:gridCol w:w="734"/>
        <w:gridCol w:w="109"/>
        <w:gridCol w:w="69"/>
        <w:gridCol w:w="69"/>
        <w:gridCol w:w="738"/>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(8,417</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(5,501</w:t>
            </w:r>
          </w:p>
        </w:tc>
        <w:tc>
          <w:tcPr>
            <w:tcW w:w="178"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(527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(10.6</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2,677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5,347</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(2,000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(122</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182</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59.9</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259</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(828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(76.2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137</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(646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spacing w:before="0" w:after="0"/>
        <w:ind w:left="0" w:right="0" w:firstLine="5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$2.7 million for the three months ended March 31, 2025 and was related to the net cash paid in the acquisition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spacing w:before="0" w:after="0"/>
        <w:ind w:left="0" w:right="0" w:firstLine="5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8"/>
        <w:gridCol w:w="60"/>
        <w:gridCol w:w="184"/>
        <w:gridCol w:w="736"/>
        <w:gridCol w:w="60"/>
        <w:gridCol w:w="60"/>
        <w:gridCol w:w="227"/>
        <w:gridCol w:w="911"/>
        <w:gridCol w:w="60"/>
        <w:gridCol w:w="60"/>
        <w:gridCol w:w="382"/>
        <w:gridCol w:w="1530"/>
        <w:gridCol w:w="60"/>
        <w:gridCol w:w="60"/>
        <w:gridCol w:w="208"/>
        <w:gridCol w:w="833"/>
        <w:gridCol w:w="60"/>
        <w:gridCol w:w="60"/>
        <w:gridCol w:w="264"/>
        <w:gridCol w:w="492"/>
        <w:gridCol w:w="80"/>
      </w:tblGrid>
      <w:tr>
        <w:trPr/>
        <w:tc>
          <w:tcPr>
            <w:tcW w:w="3818"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2" w:type="dxa"/>
            <w:gridSpan w:val="2"/>
            <w:tcBorders>
              <w:bottom w:val="single" w:sz="8" w:space="0" w:color="000000"/>
            </w:tcBorders>
            <w:vAlign w:val="center"/>
          </w:tcPr>
          <w:p>
            <w:pPr>
              <w:pStyle w:val="TableContents"/>
              <w:bidi w:val="0"/>
              <w:spacing w:before="0" w:after="283"/>
              <w:jc w:val="center"/>
              <w:rPr>
                <w:b/>
                <w:i/>
              </w:rPr>
            </w:pPr>
            <w:r>
              <w:rPr>
                <w:b/>
                <w:i/>
              </w:rPr>
              <w:t>Total Principal and 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1"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911" w:type="dxa"/>
            <w:tcBorders/>
            <w:shd w:fill="CCEEFF" w:val="clear"/>
            <w:tcMar>
              <w:bottom w:w="0" w:type="dxa"/>
            </w:tcMar>
            <w:vAlign w:val="center"/>
          </w:tcPr>
          <w:p>
            <w:pPr>
              <w:pStyle w:val="TableContents"/>
              <w:bidi w:val="0"/>
              <w:spacing w:before="0" w:after="283"/>
              <w:jc w:val="right"/>
              <w:rPr/>
            </w:pPr>
            <w:r>
              <w:rPr/>
              <w:t>1,752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3"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91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30"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833" w:type="dxa"/>
            <w:tcBorders>
              <w:bottom w:val="single" w:sz="8" w:space="0" w:color="000000"/>
            </w:tcBorders>
            <w:shd w:fill="CCEEFF" w:val="cle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bottom w:val="single" w:sz="8" w:space="0" w:color="000000"/>
            </w:tcBorders>
            <w:shd w:fill="CCEEFF" w:val="clear"/>
            <w:vAlign w:val="center"/>
          </w:tcPr>
          <w:p>
            <w:pPr>
              <w:pStyle w:val="TableContents"/>
              <w:bidi w:val="0"/>
              <w:spacing w:before="0" w:after="283"/>
              <w:jc w:val="left"/>
              <w:rPr/>
            </w:pPr>
            <w:r>
              <w:rPr/>
              <w:t> </w:t>
            </w:r>
          </w:p>
        </w:tc>
        <w:tc>
          <w:tcPr>
            <w:tcW w:w="492" w:type="dxa"/>
            <w:tcBorders>
              <w:bottom w:val="single" w:sz="8" w:space="0" w:color="000000"/>
            </w:tcBorders>
            <w:shd w:fill="CCEEFF" w:val="clear"/>
            <w:vAlign w:val="center"/>
          </w:tcPr>
          <w:p>
            <w:pPr>
              <w:pStyle w:val="TableContents"/>
              <w:bidi w:val="0"/>
              <w:spacing w:before="0" w:after="283"/>
              <w:jc w:val="right"/>
              <w:rPr/>
            </w:pPr>
            <w:r>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7,353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911" w:type="dxa"/>
            <w:tcBorders>
              <w:bottom w:val="double" w:sz="6" w:space="0" w:color="000000"/>
            </w:tcBorders>
            <w:shd w:fill="FFFFFF" w:val="clear"/>
            <w:vAlign w:val="center"/>
          </w:tcPr>
          <w:p>
            <w:pPr>
              <w:pStyle w:val="TableContents"/>
              <w:bidi w:val="0"/>
              <w:spacing w:before="0" w:after="283"/>
              <w:jc w:val="right"/>
              <w:rPr/>
            </w:pPr>
            <w:r>
              <w:rPr/>
              <w:t>2,253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vAlign w:val="center"/>
          </w:tcPr>
          <w:p>
            <w:pPr>
              <w:pStyle w:val="TableContents"/>
              <w:bidi w:val="0"/>
              <w:spacing w:before="0" w:after="283"/>
              <w:jc w:val="left"/>
              <w:rPr/>
            </w:pPr>
            <w:r>
              <w:rPr/>
              <w:t>$</w:t>
            </w:r>
          </w:p>
        </w:tc>
        <w:tc>
          <w:tcPr>
            <w:tcW w:w="1530" w:type="dxa"/>
            <w:tcBorders>
              <w:bottom w:val="double" w:sz="6" w:space="0" w:color="000000"/>
            </w:tcBorders>
            <w:shd w:fill="FFFFFF" w:val="clear"/>
            <w:vAlign w:val="center"/>
          </w:tcPr>
          <w:p>
            <w:pPr>
              <w:pStyle w:val="TableContents"/>
              <w:bidi w:val="0"/>
              <w:spacing w:before="0" w:after="283"/>
              <w:jc w:val="right"/>
              <w:rPr/>
            </w:pPr>
            <w:r>
              <w:rPr/>
              <w:t>9,606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w:t>
            </w:r>
          </w:p>
        </w:tc>
        <w:tc>
          <w:tcPr>
            <w:tcW w:w="833" w:type="dxa"/>
            <w:tcBorders>
              <w:bottom w:val="double" w:sz="6" w:space="0" w:color="000000"/>
            </w:tcBorders>
            <w:shd w:fill="FFFFFF" w:val="clear"/>
            <w:vAlign w:val="center"/>
          </w:tcPr>
          <w:p>
            <w:pPr>
              <w:pStyle w:val="TableContents"/>
              <w:bidi w:val="0"/>
              <w:spacing w:before="0" w:after="283"/>
              <w:jc w:val="right"/>
              <w:rPr/>
            </w:pPr>
            <w:r>
              <w:rPr/>
              <w:t>9,587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vAlign w:val="center"/>
          </w:tcPr>
          <w:p>
            <w:pPr>
              <w:pStyle w:val="TableContents"/>
              <w:bidi w:val="0"/>
              <w:spacing w:before="0" w:after="283"/>
              <w:jc w:val="left"/>
              <w:rPr/>
            </w:pPr>
            <w:r>
              <w:rPr/>
              <w:t>$</w:t>
            </w:r>
          </w:p>
        </w:tc>
        <w:tc>
          <w:tcPr>
            <w:tcW w:w="492" w:type="dxa"/>
            <w:tcBorders>
              <w:bottom w:val="double" w:sz="6" w:space="0" w:color="000000"/>
            </w:tcBorders>
            <w:shd w:fill="FFFFFF" w:val="clear"/>
            <w:vAlign w:val="center"/>
          </w:tcPr>
          <w:p>
            <w:pPr>
              <w:pStyle w:val="TableContents"/>
              <w:bidi w:val="0"/>
              <w:spacing w:before="0" w:after="283"/>
              <w:jc w:val="right"/>
              <w:rPr/>
            </w:pPr>
            <w:r>
              <w:rPr/>
              <w:t>19</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Years Ended December 31, 2025 and 2024</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46"/>
        <w:gridCol w:w="60"/>
        <w:gridCol w:w="184"/>
        <w:gridCol w:w="736"/>
        <w:gridCol w:w="60"/>
        <w:gridCol w:w="60"/>
        <w:gridCol w:w="240"/>
        <w:gridCol w:w="963"/>
        <w:gridCol w:w="60"/>
        <w:gridCol w:w="60"/>
        <w:gridCol w:w="159"/>
        <w:gridCol w:w="773"/>
        <w:gridCol w:w="60"/>
        <w:gridCol w:w="60"/>
        <w:gridCol w:w="223"/>
        <w:gridCol w:w="894"/>
        <w:gridCol w:w="60"/>
        <w:gridCol w:w="60"/>
        <w:gridCol w:w="173"/>
        <w:gridCol w:w="693"/>
        <w:gridCol w:w="81"/>
      </w:tblGrid>
      <w:tr>
        <w:trPr/>
        <w:tc>
          <w:tcPr>
            <w:tcW w:w="4546"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1" w:type="dxa"/>
            <w:tcBorders/>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w:t>
            </w:r>
          </w:p>
        </w:tc>
        <w:tc>
          <w:tcPr>
            <w:tcW w:w="96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4,923</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96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4"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28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pPr>
            <w:r>
              <w:rPr/>
              <w:t>$</w:t>
            </w:r>
          </w:p>
        </w:tc>
        <w:tc>
          <w:tcPr>
            <w:tcW w:w="96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pPr>
            <w:r>
              <w:rPr/>
              <w:t>$</w:t>
            </w:r>
          </w:p>
        </w:tc>
        <w:tc>
          <w:tcPr>
            <w:tcW w:w="77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vAlign w:val="center"/>
          </w:tcPr>
          <w:p>
            <w:pPr>
              <w:pStyle w:val="TableContents"/>
              <w:bidi w:val="0"/>
              <w:spacing w:before="0" w:after="283"/>
              <w:jc w:val="left"/>
              <w:rPr/>
            </w:pPr>
            <w:r>
              <w:rPr/>
              <w:t>$</w:t>
            </w:r>
          </w:p>
        </w:tc>
        <w:tc>
          <w:tcPr>
            <w:tcW w:w="894"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vAlign w:val="center"/>
          </w:tcPr>
          <w:p>
            <w:pPr>
              <w:pStyle w:val="TableContents"/>
              <w:bidi w:val="0"/>
              <w:spacing w:before="0" w:after="283"/>
              <w:jc w:val="left"/>
              <w:rPr/>
            </w:pPr>
            <w:r>
              <w:rPr/>
              <w:t>$</w:t>
            </w:r>
          </w:p>
        </w:tc>
        <w:tc>
          <w:tcPr>
            <w:tcW w:w="693" w:type="dxa"/>
            <w:tcBorders>
              <w:bottom w:val="double" w:sz="6" w:space="0" w:color="000000"/>
            </w:tcBorders>
            <w:shd w:fill="FFFFFF" w:val="clear"/>
            <w:vAlign w:val="center"/>
          </w:tcPr>
          <w:p>
            <w:pPr>
              <w:pStyle w:val="TableContents"/>
              <w:bidi w:val="0"/>
              <w:spacing w:before="0" w:after="283"/>
              <w:jc w:val="right"/>
              <w:rPr/>
            </w:pPr>
            <w:r>
              <w:rPr/>
              <w:t>4,951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34" w:name="sa_004"/>
      <w:bookmarkEnd w:id="34"/>
      <w:r>
        <w:rPr>
          <w:rFonts w:ascii="Times New Roman;Times;Serif" w:hAnsi="Times New Roman;Times;Serif"/>
          <w:b/>
          <w:i w:val="false"/>
          <w:caps w:val="false"/>
          <w:smallCaps w:val="false"/>
          <w:sz w:val="20"/>
        </w:rPr>
        <w:t>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our platform offers several SaaS products including: ConnectAndSell, OpenReel, CreateStudio, Vidello, Demio, Boost, Reach and 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is the patented, award-winning cloud solution transforming B2B sales by connecting sales teams directly with hard-to-reach decision-makers. ConnectAndSell offers two distinct modes designed to provide choice on the type of outreach: Express Connect and Precision Connect. Powered by ConnectAndSell’s patented Sales Acceleration technology, Express Connect connects sales teams to the first live voice, bypassing gatekeepers, phone trees, and voicemail and enabling engagement with decision-makers faster and more efficiently to maximize sales potential. Precision Connect takes outreach a step further with human agents brokering interactions with executive administrators and gatekeepers connecting sales teams directly to the named list target. This advanced feature ensures that calls are routed straight to the right decision-maker, optimizing sales efforts for maximum impact.</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 of OpenReel and ConnectAndSell’s assets, adding 650 and 250 customers, respectively, to the overall Banzai customer base, as well as our increase in multi-host Demio customers from 14 to over 240 between January 2021 and December 31, 2025, an approximately seventeen-fold increase.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sa_005"/>
      <w:bookmarkEnd w:id="35"/>
      <w:r>
        <w:rPr>
          <w:rFonts w:ascii="Times New Roman;Times;Serif" w:hAnsi="Times New Roman;Times;Serif"/>
          <w:b/>
          <w:i w:val="false"/>
          <w:caps w:val="false"/>
          <w:smallCaps w:val="false"/>
          <w:sz w:val="20"/>
        </w:rPr>
        <w:t>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and a 1-for-20 reverse stock split of the shares of the Company’s Class A and Class B Common Stock, effective as of May 8, 2026 (the “May 2026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sa_007"/>
      <w:bookmarkEnd w:id="36"/>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2450" w:type="dxa"/>
        <w:jc w:val="left"/>
        <w:tblInd w:w="0" w:type="dxa"/>
        <w:tblLayout w:type="fixed"/>
        <w:tblCellMar>
          <w:top w:w="0" w:type="dxa"/>
          <w:left w:w="0" w:type="dxa"/>
          <w:bottom w:w="28" w:type="dxa"/>
          <w:right w:w="0" w:type="dxa"/>
        </w:tblCellMar>
      </w:tblPr>
      <w:tblGrid>
        <w:gridCol w:w="1175"/>
        <w:gridCol w:w="60"/>
        <w:gridCol w:w="530"/>
        <w:gridCol w:w="60"/>
        <w:gridCol w:w="140"/>
        <w:gridCol w:w="800"/>
        <w:gridCol w:w="335"/>
        <w:gridCol w:w="60"/>
        <w:gridCol w:w="140"/>
        <w:gridCol w:w="680"/>
        <w:gridCol w:w="335"/>
        <w:gridCol w:w="60"/>
        <w:gridCol w:w="140"/>
        <w:gridCol w:w="800"/>
        <w:gridCol w:w="215"/>
        <w:gridCol w:w="60"/>
        <w:gridCol w:w="140"/>
        <w:gridCol w:w="680"/>
        <w:gridCol w:w="215"/>
        <w:gridCol w:w="60"/>
        <w:gridCol w:w="183"/>
        <w:gridCol w:w="1052"/>
        <w:gridCol w:w="215"/>
        <w:gridCol w:w="60"/>
        <w:gridCol w:w="432"/>
        <w:gridCol w:w="803"/>
        <w:gridCol w:w="60"/>
        <w:gridCol w:w="60"/>
        <w:gridCol w:w="221"/>
        <w:gridCol w:w="1269"/>
        <w:gridCol w:w="335"/>
        <w:gridCol w:w="60"/>
        <w:gridCol w:w="140"/>
        <w:gridCol w:w="800"/>
        <w:gridCol w:w="75"/>
      </w:tblGrid>
      <w:tr>
        <w:trPr/>
        <w:tc>
          <w:tcPr>
            <w:tcW w:w="117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Plan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Value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375,700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125,000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8,437</w:t>
            </w:r>
          </w:p>
        </w:tc>
        <w:tc>
          <w:tcPr>
            <w:tcW w:w="33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310,417</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500,000</w:t>
            </w:r>
          </w:p>
        </w:tc>
        <w:tc>
          <w:tcPr>
            <w:tcW w:w="21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29,700</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12,000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148,635</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18,750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250</w:t>
            </w:r>
          </w:p>
        </w:tc>
        <w:tc>
          <w:tcPr>
            <w:tcW w:w="33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291,223</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7,425</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128,125</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25,000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10,042</w:t>
            </w:r>
          </w:p>
        </w:tc>
        <w:tc>
          <w:tcPr>
            <w:tcW w:w="33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241,500</w:t>
            </w:r>
          </w:p>
        </w:tc>
        <w:tc>
          <w:tcPr>
            <w:tcW w:w="335"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148,635</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12,500</w:t>
            </w:r>
          </w:p>
        </w:tc>
        <w:tc>
          <w:tcPr>
            <w:tcW w:w="21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270</w:t>
            </w:r>
          </w:p>
        </w:tc>
        <w:tc>
          <w:tcPr>
            <w:tcW w:w="335" w:type="dxa"/>
            <w:tcBorders/>
            <w:shd w:fill="FFFFFF" w:val="clear"/>
            <w:tcMar>
              <w:bottom w:w="0" w:type="dxa"/>
            </w:tcMar>
            <w:vAlign w:val="center"/>
          </w:tcPr>
          <w:p>
            <w:pPr>
              <w:pStyle w:val="TableContents"/>
              <w:bidi w:val="0"/>
              <w:spacing w:before="0" w:after="283"/>
              <w:jc w:val="lef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220,833</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10,455</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154,375</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56,250</w:t>
            </w:r>
          </w:p>
        </w:tc>
        <w:tc>
          <w:tcPr>
            <w:tcW w:w="335" w:type="dxa"/>
            <w:tcBorders/>
            <w:shd w:fill="FFFFFF" w:val="clear"/>
            <w:tcMar>
              <w:bottom w:w="0" w:type="dxa"/>
            </w:tcMar>
            <w:vAlign w:val="center"/>
          </w:tcPr>
          <w:p>
            <w:pPr>
              <w:pStyle w:val="TableContents"/>
              <w:bidi w:val="0"/>
              <w:spacing w:before="0" w:after="283"/>
              <w:jc w:val="lef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225,000</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250</w:t>
            </w:r>
          </w:p>
        </w:tc>
        <w:tc>
          <w:tcPr>
            <w:tcW w:w="335"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106,714</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125,000</w:t>
            </w:r>
          </w:p>
        </w:tc>
        <w:tc>
          <w:tcPr>
            <w:tcW w:w="335"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78,750</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3,150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1,525 RSUs and 165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60 stock options, 15 stock options, and 1 stock option, which had a grant date fair value of $29,700, $43,433, and $95,074,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60"/>
        <w:gridCol w:w="246"/>
        <w:gridCol w:w="945"/>
        <w:gridCol w:w="60"/>
        <w:gridCol w:w="60"/>
        <w:gridCol w:w="255"/>
        <w:gridCol w:w="1109"/>
        <w:gridCol w:w="60"/>
        <w:gridCol w:w="60"/>
        <w:gridCol w:w="72"/>
        <w:gridCol w:w="720"/>
        <w:gridCol w:w="60"/>
        <w:gridCol w:w="60"/>
        <w:gridCol w:w="981"/>
        <w:gridCol w:w="60"/>
        <w:gridCol w:w="156"/>
        <w:gridCol w:w="677"/>
        <w:gridCol w:w="60"/>
        <w:gridCol w:w="60"/>
        <w:gridCol w:w="146"/>
        <w:gridCol w:w="642"/>
        <w:gridCol w:w="60"/>
        <w:gridCol w:w="60"/>
        <w:gridCol w:w="120"/>
        <w:gridCol w:w="974"/>
        <w:gridCol w:w="186"/>
        <w:gridCol w:w="60"/>
        <w:gridCol w:w="90"/>
        <w:gridCol w:w="1045"/>
        <w:gridCol w:w="210"/>
      </w:tblGrid>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3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(2)</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Unexercisable (3)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Exercise Prices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Been Issued</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Been Issued</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375,700</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35,159</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Alvin Yip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22,300 shares of Class B Common Stock to the CEO, of which, approximately 14,867 shares relate to a tranche of the CEO Award vesting upon achieving a market capitalization threshold, and the remaining 7,433 shares relate to the CEO’s 2025 bonus payment.</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10,848 RSUs. In December 2024, the 4 non-employee directors received compensation of $371,507 in the form of 1,503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sa_008"/>
      <w:bookmarkEnd w:id="37"/>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sa_009"/>
      <w:bookmarkEnd w:id="38"/>
      <w:r>
        <w:rPr>
          <w:rFonts w:ascii="Times New Roman;Times;Serif" w:hAnsi="Times New Roman;Times;Serif"/>
          <w:b/>
          <w:i w:val="false"/>
          <w:caps w:val="false"/>
          <w:smallCaps w:val="false"/>
          <w:sz w:val="20"/>
        </w:rPr>
        <w:t>PRINCIPAL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3,280,551 shares of Class A Common Stock and 33,856 shares of Class B Common Stock outstanding as of July 14, 2026.</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5"/>
        <w:gridCol w:w="60"/>
        <w:gridCol w:w="63"/>
        <w:gridCol w:w="856"/>
        <w:gridCol w:w="240"/>
        <w:gridCol w:w="63"/>
        <w:gridCol w:w="63"/>
        <w:gridCol w:w="599"/>
        <w:gridCol w:w="215"/>
        <w:gridCol w:w="60"/>
        <w:gridCol w:w="79"/>
        <w:gridCol w:w="781"/>
        <w:gridCol w:w="79"/>
        <w:gridCol w:w="79"/>
        <w:gridCol w:w="79"/>
        <w:gridCol w:w="642"/>
        <w:gridCol w:w="185"/>
        <w:gridCol w:w="60"/>
        <w:gridCol w:w="152"/>
        <w:gridCol w:w="1137"/>
        <w:gridCol w:w="238"/>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Voting Power</w:t>
            </w:r>
          </w:p>
        </w:tc>
        <w:tc>
          <w:tcPr>
            <w:tcW w:w="238" w:type="dxa"/>
            <w:tcBorders/>
            <w:vAlign w:val="center"/>
          </w:tcPr>
          <w:p>
            <w:pPr>
              <w:pStyle w:val="TableContents"/>
              <w:bidi w:val="0"/>
              <w:spacing w:before="0" w:after="283"/>
              <w:jc w:val="left"/>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24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38"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Boggs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Leeney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Schofield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Mason Ward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i/>
              </w:rPr>
            </w:pPr>
            <w:r>
              <w:rPr>
                <w:b/>
                <w:i/>
              </w:rPr>
              <w:t>Five Percent or Greater 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CP BF Lending, LLC (4)</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819,625</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19.99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18.5</w:t>
            </w:r>
          </w:p>
        </w:tc>
        <w:tc>
          <w:tcPr>
            <w:tcW w:w="23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persons is c/o Banzai International, Inc., 435 Ericksen Ave NE, Suite 250, Bainbridge Island, WA 98110.</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its holders to one vote per share; each share of Class B Common Stock entitles its holder to ten votes on all matters presented to our stockholders generally. As a result, percentage of voting power is based on 3,619,108 total votes.</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1,525 shares of Class A Common Stock held directly by Joseph Davy and options to purchase 32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1,374 shares of Class A Common Stock held directly by Dean Ditto and options to purchase 405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2,293 shares of Class A Common Stock held directly by Simon Baumer, and options to purchase 18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issuable upon conversion of the convertible note held by CP BF Lending, LLC (the “CP BF Note”) and reflects the ownership limitations of Nasdaq Listing Rule 5635(d), pursuant to which we cannot convert the CP BF Note into a number of shares that equals or exceeds 20% of the Company’s outstanding common stock or voting power prior to such issuance (the “Exchange Cap”), unless we receive shareholder approval to issue such number of shares in excess of the Exchange Cap. 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sa_010"/>
      <w:bookmarkEnd w:id="39"/>
      <w:r>
        <w:rPr>
          <w:rFonts w:ascii="Times New Roman;Times;Serif" w:hAnsi="Times New Roman;Times;Serif"/>
          <w:b/>
          <w:i w:val="false"/>
          <w:caps w:val="false"/>
          <w:smallCaps w:val="false"/>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issuable to the Selling Stockholders upon conversion of the Notes and exercise of the Buyer Warrants. For additional information regarding the issuance of the Notes and the Buyer Warrants, see “Senior Secured Convertible Note Offering” above. We are registering the shares of Common Stock in order to permit the Selling Stockholders to offer the shares for resale from time to time. Except for the ownership of the Notes and the Buyer Warrants issued pursuant to the Securities Purchase Agreement, the Selling Stockholders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Notes and Buyer Warrants, as of July 16, 2026, assuming conversion of the Notes and exercise of the Buyer Warrants held by each such Selling Stockholder on that date but taking account of any limitations on conversion and exercise set forth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Stockholders and does not take in account any limitations on (i) conversion of the Notes set forth therein or (ii) exercise of the Buyer Warrants set forth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holders of the Notes and the Buyer Warrants, this prospectus generally covers the resale of 200% of the sum of (i) the maximum number of shares of Common Stock issued or issuable pursuant to the Notes, including payment of interest on the notes through June 30, 2026, and (ii) the maximum number of shares of Common Stock issued or issuable upon exercise of the Buyer Warrants, in each case, determined as if the outstanding Notes (including interest on the notes through June 30, 2026) and Buyer Warrants were converted or exercised (as the case may be) in full (without regard to any limitations on conversion or exercise contained therein solely for the purpose of such calculation) at an alternate conversion price or exercise price (as the case may be) calculated as of the trading day immediately preceding the date this registration statement was initially filed with the SEC. Because the conversion price and alternate conversion price of the Notes and the exercise price of the Buyer Warrants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Notes and the Buyer Warrants, a Selling Stockholder may not convert the Notes or exercise the Buyer Warrants to the extent (but only to the extent) such Selling Stockholder or any of its affiliates would beneficially own a number of shares of our Common Stock which would exceed 4.99% (the “Maximum Percentage”) of the outstanding shares of the Company. The number of shares in the second column reflects these limitations. The Selling Stockholders may sell all, some or none of their shares in this offering.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or entity’s name in the table below does not constitute an admission that such individual or entity is an “affiliate” of the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31"/>
        <w:gridCol w:w="60"/>
        <w:gridCol w:w="293"/>
        <w:gridCol w:w="1274"/>
        <w:gridCol w:w="60"/>
        <w:gridCol w:w="60"/>
        <w:gridCol w:w="129"/>
        <w:gridCol w:w="2112"/>
        <w:gridCol w:w="60"/>
        <w:gridCol w:w="60"/>
        <w:gridCol w:w="456"/>
        <w:gridCol w:w="1979"/>
        <w:gridCol w:w="60"/>
        <w:gridCol w:w="60"/>
        <w:gridCol w:w="182"/>
        <w:gridCol w:w="796"/>
        <w:gridCol w:w="233"/>
      </w:tblGrid>
      <w:tr>
        <w:trPr/>
        <w:tc>
          <w:tcPr>
            <w:tcW w:w="2331"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6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r>
              <w:rPr>
                <w:rFonts w:ascii="Times New Roman;Times;Serif" w:hAnsi="Times New Roman;Times;Serif"/>
                <w:b/>
                <w:i w:val="false"/>
                <w:caps w:val="false"/>
                <w:smallCaps w:val="false"/>
                <w:position w:val="7"/>
                <w:sz w:val="16"/>
                <w:sz w:val="20"/>
              </w:rPr>
              <w:t>(4)</w:t>
            </w:r>
          </w:p>
        </w:tc>
        <w:tc>
          <w:tcPr>
            <w:tcW w:w="233" w:type="dxa"/>
            <w:tcBorders/>
            <w:tcMar>
              <w:bottom w:w="0" w:type="dxa"/>
            </w:tcMar>
            <w:vAlign w:val="center"/>
          </w:tcPr>
          <w:p>
            <w:pPr>
              <w:pStyle w:val="TableContents"/>
              <w:bidi w:val="0"/>
              <w:spacing w:before="0" w:after="283"/>
              <w:jc w:val="left"/>
              <w:rPr/>
            </w:pPr>
            <w:r>
              <w:rPr/>
              <w:t> </w:t>
            </w:r>
          </w:p>
        </w:tc>
      </w:tr>
      <w:tr>
        <w:trPr/>
        <w:tc>
          <w:tcPr>
            <w:tcW w:w="23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3i, LP.</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2112" w:type="dxa"/>
            <w:tcBorders/>
            <w:shd w:fill="CCEEFF" w:val="clear"/>
            <w:tcMar>
              <w:bottom w:w="0" w:type="dxa"/>
            </w:tcMar>
            <w:vAlign w:val="center"/>
          </w:tcPr>
          <w:p>
            <w:pPr>
              <w:pStyle w:val="TableContents"/>
              <w:bidi w:val="0"/>
              <w:spacing w:before="0" w:after="283"/>
              <w:jc w:val="right"/>
              <w:rPr/>
            </w:pPr>
            <w:r>
              <w:rPr/>
              <w:t>3,956,968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left"/>
              <w:rPr/>
            </w:pPr>
            <w:r>
              <w:rPr/>
              <w:t> </w:t>
            </w:r>
          </w:p>
        </w:tc>
        <w:tc>
          <w:tcPr>
            <w:tcW w:w="19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3,280,551 shares of our Common Stock outstanding as of July 16, 2026, and based on 7,237,519 shares of our Common Stock outstanding after the offering.</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column lists the number of shares of our Class A Common Stock beneficially owned by this Selling Stockholder as of July 16, 2026, after giving effect to the Maximum Percentage (as defined in the paragraph above). Without regard to the Maximum Percentage, as of July 16, 2026, this Selling Stockholder would beneficially own an aggregate of 3,956,968 shares of our Class A Common Stock, consisting of (i) 2,309,107 shares of Class A Common Stock underlying the outstanding Notes, held by the Selling Stockholder, all of which are being registered under this prospectus; and (ii) 1,647,861 shares of Class A Common Stock issuable upon exercise of the Buyer Warrants held by this Selling Stockholder, currently exercisable at an exercise price of $2.75, all of which are being registered under this prospectus. For the purposes of the calculations of Common Stock to be sold pursuant to the prospectus we are assuming (a) an event of default under the Notes has not occurred, (b) the Notes are each converted in full at an alternate conversion price of $2.10 without regard to any limitations set forth in the Notes, (c) interest on the Notes has accrued through June 30, 2026, and is paid in shares of our Common Stock, at an interest rate of 10% per annum, and (d) the exercise of all of the Buyer Warrants in full without regard to any limitations on exercise set forth in the Buyer Warrants.</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that will be held by the Selling Stockholder after completion of this offering based on the assumptions that (a) all Common Stock underlying the Notes and Buyer Warrants registered for sale by the registration statement of which this Prospectus is part of will be sold and (b) no other shares of Common Stock are acquired or sold by the Selling Stockholders prior to completion of this offering. However, the Selling Stockholder may sell all, some or none of such shares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3i, LP is 2 Wooster Street, 2nd Floor New York, NY 10013. 3i, LP’s principal business is that of a private investor. Maier Joshua Tarlow is the manager of 3i Management, LLC, the general partner of 3i, LP, and has sole voting control and investment discretion over securities beneficially owned directly by 3i, LP and indirectly by 3i Management, LLC. Each of Mr. Tarlow, 3i, LP, and 3i Management, LLC, disclaim any beneficial ownership of these shares.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sa_011"/>
      <w:bookmarkEnd w:id="4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are registering the shares of common stock issuable upon conversion of the Notes and exercise of the Buyer Warrants to permit the resale of these shares of Common Stock by the holders of the Notes and Buyer Warrants from time to time after the date of this prospectus. We will not receive any of the proceeds from the sale by the Selling Stockholders of the shares of Common Stock, although we will receive the exercise price of any Buyer Warrants not exercised by the Selling Stockholders on a cashless exercise basis. We will bear all fees and expenses incident to our obligation to register the shares of Common Stock.</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Selling Stockholders may sell all or a portion of the shares of Common Stock held by them and offered hereby from time to time directly or through one or more underwriters, broker- 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10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 counter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135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 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Selling Stockholders may pledge or grant a security interest in some or all of the Notes, Buyer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 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can be no assurance that any selling stockholder will sell any or all of the shares of Common Stock registered pursuant to the registration statement, of which this prospectus forms a part.</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We will pay all expenses of the registration of the shares of Common Stock pursuant to the Registration Rights Agreement, estimated to be $1,702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Once sold under the registration statement, of which this prospectus forms a part, the shares of Common Stock will be freely tradable in the hands of persons other than our affiliates.</w:t>
      </w:r>
    </w:p>
    <w:p>
      <w:pPr>
        <w:pStyle w:val="TextBody"/>
        <w:bidi w:val="0"/>
        <w:spacing w:before="0" w:after="0"/>
        <w:ind w:left="10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sa_012"/>
      <w:bookmarkEnd w:id="41"/>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Registered for Resale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 (File No. 333-293161) with the SEC for purposes of registering the resale from time to time of up to 580,243 shares of Common Stock, which was declared effective on February 10,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333-292024) with the SEC for purposes of registering for resale up to 2,076,842 shares of Common Stock, which was declared effective on December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333-290241) with the SEC for purposes of registering the resale from time to time of up to 25,000,000 shares of Common Stock, which was declared effective on September 19,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333-282506) with the SEC for purposes of registering the resale from time to time of up to 235,294 shares of Common Stock, which was declared effective on November 24, 2025.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sa_013"/>
      <w:bookmarkEnd w:id="42"/>
      <w:r>
        <w:rPr>
          <w:rFonts w:ascii="Times New Roman;Times;Serif" w:hAnsi="Times New Roman;Times;Serif"/>
          <w:b/>
          <w:i w:val="false"/>
          <w:caps w:val="false"/>
          <w:smallCaps w:val="false"/>
          <w:sz w:val="20"/>
        </w:rPr>
        <w:t>DESCRIPTION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FE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 In connection with the ConnectAndSell Acquisition, the Company and FE IV OR Aggregator, LLC have agreed to cancel the single outstanding share of Series FE Preferred Stock, which FE IV OR Aggregator, LLC owns, and terminate all rights, preferences, privileges, or obligations associated therewith.</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The Company has issued Pre-Funded Warrants to purchase up to an aggregate of 5,883 shares of Common Stock. The Pre-Funded Warrants were issued pursuant to the Purchase Agreement, dated as of September 24, 2024, between the Company and the investor party thereto. Each Pre-Funded Warrant has an exercise price of $0.20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Warrants. The Company has issued Series A Warrants to purchase up to an aggregate of 5,883 shares of Common Stock. The Series A Warrants were issued pursuant to the Purchase Agreement. Each Series A Warrant has an exercise price of $800.00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Warrants. The Company has issued Series B Warrants to purchase up to an aggregate of 5,883 shares of Common Stock. The Series B Warrants were issued pursuant to the Purchase Agreement. Each Series B Warrant has an exercise price of $800.00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Warrants. In connection with the Private Placement, the Company issued to H.C. Wainwright &amp; Co., LLC (“Wainwright”) or its designees Placement Agent Warrants to purchase up to an aggregate of 442 shares of Common Stock (subject to increase as described below). The Placement Agent Warrants were issued pursuant to the Engagement Letter, dated as of September 12, 2024, as amended, between the Company and Wainwright. Each Placement Agent Warrant has an exercise price of $1,062,50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the Series A Warrants, the Series B Warrants, and the Placement Agent Warrants are collectively referred to as the “September 2024 Warrants.” Below are summaries of the material terms of the September 2024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Warrants and Pre-Funded Warrants; Alco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Warrants.</w:t>
      </w:r>
      <w:r>
        <w:rPr>
          <w:rFonts w:ascii="Times New Roman;Times;Serif" w:hAnsi="Times New Roman;Times;Serif"/>
          <w:b w:val="false"/>
          <w:i w:val="false"/>
          <w:caps w:val="false"/>
          <w:smallCaps w:val="false"/>
          <w:sz w:val="20"/>
        </w:rPr>
        <w:t xml:space="preserve"> Pursuant to the CP BF SPA, the Company issued to CP BF Warrants to purchase up to an aggregate of 2,828 shares of Class A Common Stock. Each CP BF Warrant has an initial exercise price of $50.00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Pre-Funded Warrants</w:t>
      </w:r>
      <w:r>
        <w:rPr>
          <w:rFonts w:ascii="Times New Roman;Times;Serif" w:hAnsi="Times New Roman;Times;Serif"/>
          <w:b w:val="false"/>
          <w:i w:val="false"/>
          <w:caps w:val="false"/>
          <w:smallCaps w:val="false"/>
          <w:sz w:val="20"/>
        </w:rPr>
        <w:t>. Pursuant to the CP BF SPA, the Company issued to CP BF Pre-Funded Warrants to purchase up to an aggregate of 1,524 shares of Class A Common Stock. Each CP BF Pre-Funded Warrant has an exercise price of $0.02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Alco Warrants. </w:t>
      </w:r>
      <w:r>
        <w:rPr>
          <w:rFonts w:ascii="Times New Roman;Times;Serif" w:hAnsi="Times New Roman;Times;Serif"/>
          <w:b w:val="false"/>
          <w:i w:val="false"/>
          <w:caps w:val="false"/>
          <w:smallCaps w:val="false"/>
          <w:sz w:val="20"/>
        </w:rPr>
        <w:t>Pursuant to the Alco Transaction Documents, the Company issued to Alco Warrants to purchase up to an aggregate of 6,657 shares of Class A Common Stock, on substantially the same terms as the CP BF Warrants, including with respect to exercise price, exercise mechanics, cashless exercise, anti-dilution adjustments, beneficial ownership limitations, and fundamental transaction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Alco Pre-Funded Warrants.</w:t>
      </w:r>
      <w:r>
        <w:rPr>
          <w:rFonts w:ascii="Times New Roman;Times;Serif" w:hAnsi="Times New Roman;Times;Serif"/>
          <w:b w:val="false"/>
          <w:i w:val="false"/>
          <w:caps w:val="false"/>
          <w:smallCaps w:val="false"/>
          <w:sz w:val="20"/>
        </w:rPr>
        <w:t xml:space="preserve"> Pursuant to the Alco Transaction Documents, the Company issued to Alco Pre-Funded Warrants to purchase up to an aggregate of 5,245 shares of Class A Common Stock, on substantially the same terms as the CP BF Pre-Funded Warrants, including with respect to exercise price, exercise mechanics, and 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 BF Warrants, the CP BF Pre-Funded Warrants, the Alco Warrants, nor the Alco Pre-Funded Warrants are collectively referred to as the “Transaction Warrants.” Below are summaries of the material terms of the Transaction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transferred by the holders thereof, subject to applicable securities laws and the transfer restrictions set forth in the respective warrant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$115,000.00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Warrants When the price per Share of Class A Common Stock Equals or Exceeds $180,000.00.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 redemption trigger price (as adjusted for certain adjustments to the number of shares issuable upon exercise or the exercise price of a Public Warrant as described under the heading “-Warrants-Public Stockholder Warrants-Anti-dilution Adjustments”) as well as the $115,000.00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83 shares of Class A Common Stock at an exercise price of $64,900.00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connection with the 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“Debt – Senior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Pre-Funded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ConnectAndSell asset purchase agreement, as partial consideration, the Company issued a Pre-Funded Warrant (the “ConnectAndSell Pre-Funded Warrant”) to ConnectAndSell, Inc. to purchase up to an aggregate of 1,685,175 shares of Class A Common Stock. The ConnectAndSell Pre-Funded Warrant has an exercise price of $0.0001 per share, subject to adjustment, is exercisable upon receipt of Stockholder Approval (as defined in the ConnectAndSell APA) and will not expire until exercised in full. The ConnectAndSell Pre-Funded Warrant is registered in the Company’s books and records but will not be listed for trading on any stock exchange or trading market. The Company agreed to register for resale the shares of Class A Common Stock issuable upon exercise of the ConnectAndSell Pre-Funded Warrant.</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$50.00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letter agreements, the following amendments were made to the Loan Agreement and Note in October 2025 and then amended again in May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$4.50 (the “Floor Price”),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Issuances of Class A Common Stock Under the SEPA on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133,213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151,378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Note, the “Notes”) and warrants to purchase up to 141,286 shares of Class A Common Stock at an initial exercise price equal to $3.303 per share (the “February Warrants” and, together with the October Warrants, the August Warrants, and the Initial Buyer Warrants, the “Buyer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$3.303 per share (subject to adjustment as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Agile Subordinated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repayable in 32 weekly installments of $94,500, representing a payment multiplier of 1.44x, with all amounts due on February 10, 2027 (the “Maturity Date”). The Borrowers may voluntarily prepay the Note in full at any time; if repaid within 30, 45, or 60 days after the Effective Date, the total loan payoff amount is reduced to $2,625,000, $2,730,000, or $2,835,000,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 Selection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ta_009"/>
      <w:bookmarkEnd w:id="43"/>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matter is not entirely free from doubt, a Pre-Funded Warrant generally should be treated as a share of our Class A Common Stock for U.S. federal income tax purposes and a holder of Pre-Funded Warrants generally should be taxed in the same manner as a holder of Class A Common Stock, as described below. Accordingly, no gain or loss should be recognized upon the exercise of a Pre-Funded Warrant and, upon exercise, the holding period of the share of Class A Common Stock acquired upon exercise of a Pre-Funded Warrant should include the holding period of such Pre-Funded Warrant. Similarly, the tax basis of the share of Class A Common Stock acquired upon exercise of a Pre-Funded Warrant should equal the tax basis of such Pre-Funded Warrant, increased by the exercise price of $0.0001. Each holder should consult his, her or its own tax advisor regarding the U.S. federal, state and local, and non-U.S tax consequences arising from and relating to the purchase, ownership and disposition of Pre-Funded Warrants pursuant to this offering (including potential alternative characterizations). The balance of this summary generally assumes that the characterization described above is respected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ta_010"/>
      <w:bookmarkEnd w:id="4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ta_011"/>
      <w:bookmarkEnd w:id="45"/>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included in this Prospectus and in the Registration Statement in reliance on such report and upon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ta_012"/>
      <w:bookmarkEnd w:id="4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rFonts w:ascii="Times New Roman;Times;Serif" w:hAnsi="Times New Roman;Times;Serif"/>
          <w:b/>
          <w:i w:val="false"/>
          <w:caps w:val="false"/>
          <w:smallCaps w:val="false"/>
          <w:sz w:val="20"/>
        </w:rPr>
      </w:pPr>
      <w:bookmarkStart w:id="47" w:name="sj_001"/>
      <w:bookmarkEnd w:id="47"/>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(“Closing Date”), Banzai International, Inc. (“Banzai” or the “Company”) and Banzai Acquisition Sub, Inc. (“Acquisition Sub”), a wholly-owned subsidiary of Banzai, entered into an Asset Purchase Agreement (the “APA”) with ConnectAndSell, Inc. (“C&amp;S”), pursuant to which Acquisition Sub agreed to acquire substantially all of the assets and assume certain specified liabilities of C&amp;S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the historical consolidated financial statements of Banzai and C&amp;S and is intended to provide you with information about how the Acquisition might have affected Banzai’s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constitute forward-looking information and are subject to certain risks and uncertainties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gives effect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reclassification of certain C&amp;S historical financial information to conform to Banzai’s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Banzai’s presentation (see Note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which is expected to be accounted for under the acquisition method of accounting in accordance with Accounting Standards Codification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the related income tax effects of the pro forma adjustments.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together with the accompanying notes to the unaudited pro forma condensed combined financial information, Banzai’s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not otherwise defined herein, shall have the meaning set forth in the APA.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650" w:type="dxa"/>
        <w:jc w:val="left"/>
        <w:tblInd w:w="0" w:type="dxa"/>
        <w:tblLayout w:type="fixed"/>
        <w:tblCellMar>
          <w:top w:w="0" w:type="dxa"/>
          <w:left w:w="0" w:type="dxa"/>
          <w:bottom w:w="0" w:type="dxa"/>
          <w:right w:w="0" w:type="dxa"/>
        </w:tblCellMar>
      </w:tblPr>
      <w:tblGrid>
        <w:gridCol w:w="2135"/>
        <w:gridCol w:w="60"/>
        <w:gridCol w:w="147"/>
        <w:gridCol w:w="923"/>
        <w:gridCol w:w="95"/>
        <w:gridCol w:w="60"/>
        <w:gridCol w:w="263"/>
        <w:gridCol w:w="1422"/>
        <w:gridCol w:w="95"/>
        <w:gridCol w:w="60"/>
        <w:gridCol w:w="204"/>
        <w:gridCol w:w="1106"/>
        <w:gridCol w:w="95"/>
        <w:gridCol w:w="60"/>
        <w:gridCol w:w="590"/>
        <w:gridCol w:w="60"/>
        <w:gridCol w:w="262"/>
        <w:gridCol w:w="1048"/>
        <w:gridCol w:w="60"/>
        <w:gridCol w:w="60"/>
        <w:gridCol w:w="590"/>
        <w:gridCol w:w="60"/>
        <w:gridCol w:w="149"/>
        <w:gridCol w:w="936"/>
        <w:gridCol w:w="110"/>
      </w:tblGrid>
      <w:tr>
        <w:trPr/>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Banzai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5,387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668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1,029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 current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(2,415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7,084</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8,649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18,978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40,970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2,971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(F)(H)</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4,102</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 – Transaction Financing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4,258</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(A)(D) (F)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Cash Payment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(A)(B)</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4,750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Financial instruments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(A)(C)</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560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6,843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(F)(G)</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10,390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stock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(5,766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41,702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Holdback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1,340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(4,426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44,204</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Series A and B convertible preferred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40,366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(35,806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121,906</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(109,189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(58,101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(F)(H)</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(109,223</w:t>
            </w:r>
          </w:p>
        </w:tc>
        <w:tc>
          <w:tcPr>
            <w:tcW w:w="11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8,097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(16,444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20,970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12,623</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340" w:type="dxa"/>
        <w:jc w:val="left"/>
        <w:tblInd w:w="0" w:type="dxa"/>
        <w:tblLayout w:type="fixed"/>
        <w:tblCellMar>
          <w:top w:w="0" w:type="dxa"/>
          <w:left w:w="0" w:type="dxa"/>
          <w:bottom w:w="0" w:type="dxa"/>
          <w:right w:w="0" w:type="dxa"/>
        </w:tblCellMar>
      </w:tblPr>
      <w:tblGrid>
        <w:gridCol w:w="1475"/>
        <w:gridCol w:w="60"/>
        <w:gridCol w:w="193"/>
        <w:gridCol w:w="877"/>
        <w:gridCol w:w="95"/>
        <w:gridCol w:w="60"/>
        <w:gridCol w:w="337"/>
        <w:gridCol w:w="1348"/>
        <w:gridCol w:w="95"/>
        <w:gridCol w:w="60"/>
        <w:gridCol w:w="458"/>
        <w:gridCol w:w="852"/>
        <w:gridCol w:w="60"/>
        <w:gridCol w:w="60"/>
        <w:gridCol w:w="590"/>
        <w:gridCol w:w="60"/>
        <w:gridCol w:w="458"/>
        <w:gridCol w:w="852"/>
        <w:gridCol w:w="60"/>
        <w:gridCol w:w="60"/>
        <w:gridCol w:w="590"/>
        <w:gridCol w:w="60"/>
        <w:gridCol w:w="285"/>
        <w:gridCol w:w="1295"/>
        <w:gridCol w:w="95"/>
        <w:gridCol w:w="60"/>
        <w:gridCol w:w="590"/>
        <w:gridCol w:w="60"/>
        <w:gridCol w:w="185"/>
        <w:gridCol w:w="900"/>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w:t>
              <w:br/>
              <w:t>Forma</w:t>
              <w:br/>
              <w:t>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2,696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1348" w:type="dxa"/>
            <w:tcBorders/>
            <w:shd w:fill="FFFFFF" w:val="clear"/>
            <w:vAlign w:val="center"/>
          </w:tcPr>
          <w:p>
            <w:pPr>
              <w:pStyle w:val="TableContents"/>
              <w:bidi w:val="0"/>
              <w:spacing w:before="0" w:after="283"/>
              <w:jc w:val="right"/>
              <w:rPr/>
            </w:pPr>
            <w:r>
              <w:rPr/>
              <w:t>3,091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5,787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4,890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7,650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10,403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10,883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(5,993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194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1,598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(372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549</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2,987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(8,980</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(11.69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pPr>
            <w:r>
              <w:rPr/>
              <w:t>(3.31</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410" w:type="dxa"/>
        <w:jc w:val="left"/>
        <w:tblInd w:w="0" w:type="dxa"/>
        <w:tblLayout w:type="fixed"/>
        <w:tblCellMar>
          <w:top w:w="0" w:type="dxa"/>
          <w:left w:w="0" w:type="dxa"/>
          <w:bottom w:w="0" w:type="dxa"/>
          <w:right w:w="0" w:type="dxa"/>
        </w:tblCellMar>
      </w:tblPr>
      <w:tblGrid>
        <w:gridCol w:w="1475"/>
        <w:gridCol w:w="60"/>
        <w:gridCol w:w="167"/>
        <w:gridCol w:w="903"/>
        <w:gridCol w:w="95"/>
        <w:gridCol w:w="60"/>
        <w:gridCol w:w="287"/>
        <w:gridCol w:w="1398"/>
        <w:gridCol w:w="95"/>
        <w:gridCol w:w="60"/>
        <w:gridCol w:w="308"/>
        <w:gridCol w:w="1002"/>
        <w:gridCol w:w="95"/>
        <w:gridCol w:w="60"/>
        <w:gridCol w:w="590"/>
        <w:gridCol w:w="60"/>
        <w:gridCol w:w="236"/>
        <w:gridCol w:w="1074"/>
        <w:gridCol w:w="95"/>
        <w:gridCol w:w="60"/>
        <w:gridCol w:w="590"/>
        <w:gridCol w:w="60"/>
        <w:gridCol w:w="285"/>
        <w:gridCol w:w="1295"/>
        <w:gridCol w:w="95"/>
        <w:gridCol w:w="60"/>
        <w:gridCol w:w="590"/>
        <w:gridCol w:w="60"/>
        <w:gridCol w:w="169"/>
        <w:gridCol w:w="916"/>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12,161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98" w:type="dxa"/>
            <w:tcBorders/>
            <w:shd w:fill="FFFFFF" w:val="clear"/>
            <w:vAlign w:val="center"/>
          </w:tcPr>
          <w:p>
            <w:pPr>
              <w:pStyle w:val="TableContents"/>
              <w:bidi w:val="0"/>
              <w:spacing w:before="0" w:after="283"/>
              <w:jc w:val="right"/>
              <w:rPr/>
            </w:pPr>
            <w:r>
              <w:rPr/>
              <w:t>14,716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26,877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4,188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12,717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22,689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38,816</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1,915</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28,437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12,260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40,731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(18,042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5,295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1,157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(4,489</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(973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4,874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153</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3,488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(1,244</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(1,987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974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1,382</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(722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3,562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9,125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(22,433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(27,167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Weighted average common shares outstanding (in thousands)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5,763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39" w:right="0" w:hanging="0"/>
        <w:jc w:val="center"/>
        <w:rPr>
          <w:caps w:val="false"/>
          <w:smallCaps w:val="false"/>
        </w:rPr>
      </w:pPr>
      <w:r>
        <w:rPr>
          <w:caps w:val="false"/>
          <w:smallCaps w:val="false"/>
        </w:rPr>
        <w:t> </w:t>
      </w:r>
    </w:p>
    <w:p>
      <w:pPr>
        <w:pStyle w:val="TextBody"/>
        <w:bidi w:val="0"/>
        <w:spacing w:before="0" w:after="0"/>
        <w:ind w:left="173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except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Banzai and the historical financial statements of C&amp;S after giving effect to the Acquisition as well as certain reclassifications (see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was prepared using the acquisition method of accounting in accordance with ASC 805, with Banzai as the acquirer of C&amp;S. Under the acquisition method of accounting, Banzai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has been prepared using, and should be read in conjunction with, the following:</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unaudited condensed consolidated balance sheet as of March 31, 2026, and the related notes as included in Banzai’s quarterly report on Form 10-Q for the three months ended March 31, 2026;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unaudited balance sheet as of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and the three months ended March 31, 2026,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audited consolidated statement of operations for the year ended December 31, 2025, and the related notes included in Banzai’s annual report on Form 10-K for the fiscal year ended December 31, 2025; and Banzai’s unaudited condensed consolidated statement of operations for the three months ended March 31, 2026, included in Banzai’s quarterly report on Form 10-Q for such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synergies, operating efficiencies, tax savings or cost savings that may be associated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Policies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preparing the unaudited pro forma condensed combined financial information, Banzai conducted a review of the accounting policies and practices of C&amp;S to determine if differences in accounting policies and practices require reclassification of results of operations to conform to Banzai’s accounting policies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reclassifications were made to C&amp;S’s historical financial statements to conform to Banzai’s financial statement presentation: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AA — Engineering, research and development expense, and sales and marketing expense, previously presented by C&amp;S as separate line items within operating expenses, have been reclassified to general and administrative expense, consistent with Banzai’s presentation.</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BB — Depreciation and amortization expense has been reclassified as a separate line item within operating expenses, consistent with Banzai’s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reclassifications have no effect on pro forma net loss or total pro forma 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each transaction accounting adjustment to the unaudited pro forma condensed combined balance sheet and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 Purchase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consideration for the Acquisition is estimated at $13,260, comprised of the following:</w:t>
      </w:r>
    </w:p>
    <w:p>
      <w:pPr>
        <w:pStyle w:val="TextBody"/>
        <w:bidi w:val="0"/>
        <w:spacing w:before="0" w:after="0"/>
        <w:ind w:left="72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6740"/>
        <w:gridCol w:w="60"/>
        <w:gridCol w:w="146"/>
        <w:gridCol w:w="714"/>
        <w:gridCol w:w="110"/>
      </w:tblGrid>
      <w:tr>
        <w:trPr/>
        <w:tc>
          <w:tcPr>
            <w:tcW w:w="6740" w:type="dxa"/>
            <w:tcBorders>
              <w:bottom w:val="single" w:sz="8" w:space="0" w:color="000000"/>
            </w:tcBorders>
            <w:vAlign w:val="center"/>
          </w:tcPr>
          <w:p>
            <w:pPr>
              <w:pStyle w:val="TableContents"/>
              <w:bidi w:val="0"/>
              <w:spacing w:before="0" w:after="283"/>
              <w:jc w:val="left"/>
              <w:rPr>
                <w:b/>
              </w:rPr>
            </w:pPr>
            <w:r>
              <w:rPr>
                <w:b/>
              </w:rPr>
              <w:t>Component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Cash consideration (see Note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5,500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Shares of Banzai Class A Common Stock and/or Pre-Funded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5,900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Of which: Holdback Shares withheld at Closing (see Note 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(1,340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Employee Indebtedness Promissory Note (see Note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1,800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Contingent consideration (earn-out) (see Note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714" w:type="dxa"/>
            <w:tcBorders>
              <w:bottom w:val="single" w:sz="8" w:space="0" w:color="000000"/>
            </w:tcBorders>
            <w:shd w:fill="CCEEFF" w:val="clear"/>
            <w:vAlign w:val="center"/>
          </w:tcPr>
          <w:p>
            <w:pPr>
              <w:pStyle w:val="TableContents"/>
              <w:bidi w:val="0"/>
              <w:spacing w:before="0" w:after="283"/>
              <w:jc w:val="right"/>
              <w:rPr/>
            </w:pPr>
            <w:r>
              <w:rPr/>
              <w:t>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b/>
              </w:rPr>
            </w:pPr>
            <w:r>
              <w:rPr>
                <w:b/>
              </w:rPr>
              <w:t>Total estimated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vAlign w:val="center"/>
          </w:tcPr>
          <w:p>
            <w:pPr>
              <w:pStyle w:val="TableContents"/>
              <w:bidi w:val="0"/>
              <w:spacing w:before="0" w:after="283"/>
              <w:jc w:val="right"/>
              <w:rPr>
                <w:b/>
              </w:rPr>
            </w:pPr>
            <w:r>
              <w:rPr>
                <w:b/>
              </w:rPr>
              <w:t>13,260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Common Stock and Pre-Funded Warrants issued in connection with the Acquisition was 1,980,092, which was determined by dividing the $5,900 stock consideration by the Closing VWAP of $2.97966, defined in the APA as the 5-day volume-weighted average price of Banzai’s Class A Common Stock ending on the trading day immediately preceding the Agreement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1,980,092 total shares and Pre-Funded Warrants was comprised of 294,917 shares of Common Stock and 1,685,175 Pre-Funded Warrants. The number of shares of Common Stock issued was determined to be the number of shares that would cause the holder to own not more than 9.99% of the shares of Banzai Common Stock outstanding immediately following Closing. Pre-Funded Warrants were issued in lieu of shares of Common Stock for the remainder of the $5,900 stock consideration (i.e., to the extent that issuance of shares would have caused the holder to exceed owning 9.99% of the shares of Banzai Common Stock outstanding immediately following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APA provides that the aggregate number of shares issued to C&amp;S may not exceed 19.99% of the total number of shares of Banzai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Banzai will issue to Seller an additional number of shares equal to the difference between (x) the number of Shares that would have been issued at closing using the Measurement Date VWAP and (y) the 1,980,092 Shares of Common Stock and Pre-Funded Warrants issued at closing subject to a floor of 85% of the Closing VWAP (i.e. $2.532711). If the Measurement Date VWAP equals the floor price, the maximum number of additional shares issuable under this provision would be approximately 349 thousand shares, representing approximately $1,041 of additional stock consideration at the Closing VWAP, illustrated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1"/>
        <w:gridCol w:w="1451"/>
        <w:gridCol w:w="64"/>
        <w:gridCol w:w="64"/>
        <w:gridCol w:w="92"/>
        <w:gridCol w:w="998"/>
        <w:gridCol w:w="232"/>
        <w:gridCol w:w="64"/>
        <w:gridCol w:w="112"/>
        <w:gridCol w:w="1843"/>
        <w:gridCol w:w="64"/>
        <w:gridCol w:w="64"/>
        <w:gridCol w:w="83"/>
        <w:gridCol w:w="1471"/>
        <w:gridCol w:w="102"/>
        <w:gridCol w:w="64"/>
        <w:gridCol w:w="92"/>
        <w:gridCol w:w="1175"/>
        <w:gridCol w:w="64"/>
        <w:gridCol w:w="64"/>
        <w:gridCol w:w="334"/>
        <w:gridCol w:w="1337"/>
        <w:gridCol w:w="90"/>
      </w:tblGrid>
      <w:tr>
        <w:trPr/>
        <w:tc>
          <w:tcPr>
            <w:tcW w:w="10115" w:type="dxa"/>
            <w:gridSpan w:val="22"/>
            <w:tcBorders>
              <w:bottom w:val="single" w:sz="8" w:space="0" w:color="000000"/>
            </w:tcBorders>
            <w:vAlign w:val="center"/>
          </w:tcPr>
          <w:p>
            <w:pPr>
              <w:pStyle w:val="TableContents"/>
              <w:bidi w:val="0"/>
              <w:spacing w:before="0" w:after="283"/>
              <w:jc w:val="center"/>
              <w:rPr>
                <w:b/>
              </w:rPr>
            </w:pPr>
            <w:r>
              <w:rPr>
                <w:b/>
              </w:rPr>
              <w:t>Sensitivity analysis for hypothetical additional shares issuable at the Measurement Date</w:t>
            </w:r>
          </w:p>
        </w:tc>
        <w:tc>
          <w:tcPr>
            <w:tcW w:w="90" w:type="dxa"/>
            <w:tcBorders/>
            <w:tcMar>
              <w:bottom w:w="0" w:type="dxa"/>
            </w:tcMar>
            <w:vAlign w:val="center"/>
          </w:tcPr>
          <w:p>
            <w:pPr>
              <w:pStyle w:val="TableContents"/>
              <w:bidi w:val="0"/>
              <w:spacing w:before="0" w:after="283"/>
              <w:jc w:val="left"/>
              <w:rPr/>
            </w:pPr>
            <w:r>
              <w:rPr/>
              <w:t> </w:t>
            </w:r>
          </w:p>
        </w:tc>
      </w:tr>
      <w:tr>
        <w:trPr/>
        <w:tc>
          <w:tcPr>
            <w:tcW w:w="1732" w:type="dxa"/>
            <w:gridSpan w:val="2"/>
            <w:tcBorders>
              <w:bottom w:val="single" w:sz="8" w:space="0" w:color="000000"/>
            </w:tcBorders>
            <w:vAlign w:val="center"/>
          </w:tcPr>
          <w:p>
            <w:pPr>
              <w:pStyle w:val="TableContents"/>
              <w:bidi w:val="0"/>
              <w:spacing w:before="0" w:after="283"/>
              <w:jc w:val="center"/>
              <w:rPr>
                <w:b/>
              </w:rPr>
            </w:pPr>
            <w:r>
              <w:rPr>
                <w:b/>
              </w:rPr>
              <w:t>Measurement Date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8" w:space="0" w:color="000000"/>
            </w:tcBorders>
            <w:vAlign w:val="center"/>
          </w:tcPr>
          <w:p>
            <w:pPr>
              <w:pStyle w:val="TableContents"/>
              <w:bidi w:val="0"/>
              <w:spacing w:before="0" w:after="283"/>
              <w:jc w:val="center"/>
              <w:rPr>
                <w:b/>
              </w:rPr>
            </w:pPr>
            <w:r>
              <w:rPr>
                <w:b/>
              </w:rPr>
              <w:t>% of Closing VWAP</w:t>
            </w:r>
          </w:p>
        </w:tc>
        <w:tc>
          <w:tcPr>
            <w:tcW w:w="23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b/>
              </w:rPr>
            </w:pPr>
            <w:r>
              <w:rPr>
                <w:b/>
              </w:rPr>
              <w:t>Total Shares at Measurement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554" w:type="dxa"/>
            <w:gridSpan w:val="2"/>
            <w:tcBorders>
              <w:bottom w:val="single" w:sz="8" w:space="0" w:color="000000"/>
            </w:tcBorders>
            <w:vAlign w:val="center"/>
          </w:tcPr>
          <w:p>
            <w:pPr>
              <w:pStyle w:val="TableContents"/>
              <w:bidi w:val="0"/>
              <w:spacing w:before="0" w:after="283"/>
              <w:jc w:val="center"/>
              <w:rPr>
                <w:b/>
              </w:rPr>
            </w:pPr>
            <w:r>
              <w:rPr>
                <w:b/>
              </w:rPr>
              <w:t>Less: Shares Issued at Closing</w:t>
            </w:r>
          </w:p>
        </w:tc>
        <w:tc>
          <w:tcPr>
            <w:tcW w:w="10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67" w:type="dxa"/>
            <w:gridSpan w:val="2"/>
            <w:tcBorders>
              <w:bottom w:val="single" w:sz="8" w:space="0" w:color="000000"/>
            </w:tcBorders>
            <w:vAlign w:val="center"/>
          </w:tcPr>
          <w:p>
            <w:pPr>
              <w:pStyle w:val="TableContents"/>
              <w:bidi w:val="0"/>
              <w:spacing w:before="0" w:after="283"/>
              <w:jc w:val="center"/>
              <w:rPr>
                <w:b/>
              </w:rPr>
            </w:pPr>
            <w:r>
              <w:rPr>
                <w:b/>
              </w:rPr>
              <w:t>Additional Shares</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671" w:type="dxa"/>
            <w:gridSpan w:val="2"/>
            <w:tcBorders>
              <w:bottom w:val="single" w:sz="8" w:space="0" w:color="000000"/>
            </w:tcBorders>
            <w:vAlign w:val="center"/>
          </w:tcPr>
          <w:p>
            <w:pPr>
              <w:pStyle w:val="TableContents"/>
              <w:bidi w:val="0"/>
              <w:spacing w:before="0" w:after="283"/>
              <w:jc w:val="center"/>
              <w:rPr>
                <w:b/>
              </w:rPr>
            </w:pPr>
            <w:r>
              <w:rPr>
                <w:b/>
              </w:rPr>
              <w:t>Additional Value at Closing VWAP</w:t>
            </w:r>
          </w:p>
        </w:tc>
        <w:tc>
          <w:tcPr>
            <w:tcW w:w="90" w:type="dxa"/>
            <w:tcBorders/>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2.97966</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1,980,092</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2.83068</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95</w:t>
            </w:r>
          </w:p>
        </w:tc>
        <w:tc>
          <w:tcPr>
            <w:tcW w:w="23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2,084,305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104,213</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311</w:t>
            </w:r>
          </w:p>
        </w:tc>
        <w:tc>
          <w:tcPr>
            <w:tcW w:w="90" w:type="dxa"/>
            <w:tcBorders/>
            <w:shd w:fill="FFFFFF" w:val="clear"/>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2.68170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90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2,200,099</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220,007</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656</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2.53271</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 (floor)</w:t>
            </w:r>
          </w:p>
        </w:tc>
        <w:tc>
          <w:tcPr>
            <w:tcW w:w="232"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2,329,517</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349,425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1,041</w:t>
            </w:r>
          </w:p>
        </w:tc>
        <w:tc>
          <w:tcPr>
            <w:tcW w:w="9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Holdback Shares, representing $1,340 of the stock consideration, are withheld by Banzai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B — Transaction Financing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Agile Note are being used to fund the $750 cash consideration payable at Closing, to provide post-Acquisition working capital, and potentially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balance sheet reflect:</w:t>
      </w:r>
    </w:p>
    <w:p>
      <w:pPr>
        <w:pStyle w:val="TextBody"/>
        <w:bidi w:val="0"/>
        <w:spacing w:before="0" w:after="0"/>
        <w:ind w:left="1699" w:right="0" w:hanging="49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6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cash representing the net proceeds of the Agile Note;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cash representing the net proceeds of the Financing Note;</w:t>
            </w:r>
          </w:p>
        </w:tc>
      </w:tr>
    </w:tbl>
    <w:p>
      <w:pPr>
        <w:pStyle w:val="TextBody"/>
        <w:bidi w:val="0"/>
        <w:spacing w:before="0" w:after="0"/>
        <w:ind w:left="1699" w:right="0" w:hanging="49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current liabilities representing the Agile Note at its initial fair value, equal to net cash proceeds;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current liabilities representing the Financing Note at its initial fair value;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$453 decrease to cash representing C&amp;S’ cash and cash equivalents excluded from Purchased Assets pursuant to the APA;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$750 decrease to cash representing the cash consideration paid at Closing;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$1,500 increase to current liabilities representing the First Deferred Cash Payment;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$3,250 increase to current liabilities representing the Second Deferred Cash Payment.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C — Contingent Consideration (Earn-Out)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D — Employee Indebtedness Note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E — Holdback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3.4 of the APA, shares representing $1,340 of the $5,900 stock consideration (the “Holdback Shares”) are withheld by Banzai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F — Preliminary Purchase Price Allocation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expected to be accounted for as a business combination under ASC 805. The following table presents the preliminary allocation of the purchase price to the identifiable assets acquired and liabilities assumed:</w:t>
      </w:r>
    </w:p>
    <w:p>
      <w:pPr>
        <w:pStyle w:val="TextBody"/>
        <w:bidi w:val="0"/>
        <w:spacing w:before="0" w:after="0"/>
        <w:ind w:left="72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935"/>
        <w:gridCol w:w="60"/>
        <w:gridCol w:w="140"/>
        <w:gridCol w:w="680"/>
        <w:gridCol w:w="110"/>
      </w:tblGrid>
      <w:tr>
        <w:trPr/>
        <w:tc>
          <w:tcPr>
            <w:tcW w:w="3935" w:type="dxa"/>
            <w:tcBorders/>
            <w:shd w:fill="CCEEFF" w:val="clear"/>
            <w:vAlign w:val="center"/>
          </w:tcPr>
          <w:p>
            <w:pPr>
              <w:pStyle w:val="TableContents"/>
              <w:bidi w:val="0"/>
              <w:spacing w:before="0" w:after="283"/>
              <w:jc w:val="left"/>
              <w:rPr/>
            </w:pPr>
            <w:r>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912</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(6,843</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Net assets (liabilities)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(5,718</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Total estimated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13,260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18,978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 — Deferred Revenue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C&amp;S’s deferred revenue as of the Closing Date ($6,843 in the aggregate) is recognized at its carrying value on the unaudited pro forma condensed combined balance sheet under ASU 2021-08, </w:t>
      </w:r>
      <w:r>
        <w:rPr>
          <w:rFonts w:ascii="Times New Roman;Times;Serif" w:hAnsi="Times New Roman;Times;Serif"/>
          <w:b w:val="false"/>
          <w:i/>
          <w:caps w:val="false"/>
          <w:smallCaps w:val="false"/>
          <w:sz w:val="20"/>
        </w:rPr>
        <w:t>Accounting for Contract Assets and Contract Liabilities from Contracts with Customers</w:t>
      </w:r>
      <w:r>
        <w:rPr>
          <w:rFonts w:ascii="Times New Roman;Times;Serif" w:hAnsi="Times New Roman;Times;Serif"/>
          <w:b w:val="false"/>
          <w:i w:val="false"/>
          <w:caps w:val="false"/>
          <w:smallCaps w:val="false"/>
          <w:sz w:val="20"/>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H — Transaction Costs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approximately $1 and $10 were incurred by Banzai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pStyle w:val="TextBody"/>
        <w:bidi w:val="0"/>
        <w:spacing w:before="0" w:after="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I — Income Taxes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 adjustment has been reflected in the unaudited pro forma condensed combined balance sheet or statement of 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J — Pro Forma Loss Per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pro forma basic and diluted loss per share for each period presented:</w:t>
      </w:r>
    </w:p>
    <w:p>
      <w:pPr>
        <w:pStyle w:val="TextBody"/>
        <w:bidi w:val="0"/>
        <w:spacing w:before="0" w:after="0"/>
        <w:ind w:left="720" w:right="0" w:hanging="0"/>
        <w:jc w:val="left"/>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6290"/>
        <w:gridCol w:w="60"/>
        <w:gridCol w:w="315"/>
        <w:gridCol w:w="1429"/>
        <w:gridCol w:w="95"/>
        <w:gridCol w:w="60"/>
        <w:gridCol w:w="230"/>
        <w:gridCol w:w="1244"/>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 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1429" w:type="dxa"/>
            <w:tcBorders/>
            <w:shd w:fill="FFFFFF" w:val="clear"/>
            <w:vAlign w:val="center"/>
          </w:tcPr>
          <w:p>
            <w:pPr>
              <w:pStyle w:val="TableContents"/>
              <w:bidi w:val="0"/>
              <w:spacing w:before="0" w:after="283"/>
              <w:jc w:val="right"/>
              <w:rPr/>
            </w:pPr>
            <w:r>
              <w:rPr/>
              <w:t>(8,935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Denominator: (in thousands)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Historical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3,783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shares issued in Acquisition (Note A)</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5,763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basic and diluted loss per share</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reflect an assumed Closing VWAP of $2.97966 per share ($5,900 ÷ $2.97966 = 1,980,092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Article 11 of Regulation S-X, shares issued in an acquisition are assumed to have been outstanding from January 1, 2025, the beginning of the earliest period presented. Accordingly, 1,980,092 pro forma shares are included in the weighted-average share count for both periods at full weight.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ta_013"/>
      <w:bookmarkEnd w:id="48"/>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Banzai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6"/>
        <w:gridCol w:w="289"/>
      </w:tblGrid>
      <w:tr>
        <w:trPr/>
        <w:tc>
          <w:tcPr>
            <w:tcW w:w="9916"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Financial Statements as of and for the three months ended March 31, 2026</w:t>
            </w:r>
          </w:p>
        </w:tc>
        <w:tc>
          <w:tcPr>
            <w:tcW w:w="28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6" w:type="dxa"/>
            <w:tcBorders/>
            <w:shd w:fill="CCEEFF" w:val="clear"/>
            <w:vAlign w:val="center"/>
          </w:tcPr>
          <w:p>
            <w:pPr>
              <w:pStyle w:val="TableContents"/>
              <w:bidi w:val="0"/>
              <w:spacing w:before="0" w:after="283"/>
              <w:jc w:val="left"/>
              <w:rPr/>
            </w:pPr>
            <w:hyperlink w:anchor="TM_001">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6" w:type="dxa"/>
            <w:tcBorders/>
            <w:shd w:fill="FFFF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Unaudited Condensed Consolidated Statements of Operations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6" w:type="dxa"/>
            <w:tcBorders/>
            <w:shd w:fill="CCEEFF" w:val="clear"/>
            <w:vAlign w:val="center"/>
          </w:tcPr>
          <w:p>
            <w:pPr>
              <w:pStyle w:val="TableContents"/>
              <w:bidi w:val="0"/>
              <w:spacing w:before="0" w:after="283"/>
              <w:jc w:val="left"/>
              <w:rPr/>
            </w:pPr>
            <w:hyperlink w:anchor="TM_003">
              <w:r>
                <w:rPr>
                  <w:rStyle w:val="InternetLink"/>
                  <w:rFonts w:ascii="Times New Roman;Times;Serif" w:hAnsi="Times New Roman;Times;Serif"/>
                  <w:b w:val="false"/>
                  <w:i w:val="false"/>
                  <w:caps w:val="false"/>
                  <w:smallCaps w:val="false"/>
                  <w:sz w:val="20"/>
                </w:rPr>
                <w:t>Unaudited Condensed Consolidated Statements of Equity (Deficit) Stockholders’ Deficit for the three months ended March 31, 2026 and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6"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6"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Consolidated Financial Statements as of and for the years ended December 31, 2025 and 2024</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795"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F-44</w:t>
            </w:r>
          </w:p>
        </w:tc>
      </w:tr>
      <w:tr>
        <w:trPr/>
        <w:tc>
          <w:tcPr>
            <w:tcW w:w="8795"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F-45</w:t>
            </w:r>
          </w:p>
        </w:tc>
      </w:tr>
      <w:tr>
        <w:trPr/>
        <w:tc>
          <w:tcPr>
            <w:tcW w:w="8795"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F-46</w:t>
            </w:r>
          </w:p>
        </w:tc>
      </w:tr>
      <w:tr>
        <w:trPr/>
        <w:tc>
          <w:tcPr>
            <w:tcW w:w="8795"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F-47</w:t>
            </w:r>
          </w:p>
        </w:tc>
      </w:tr>
      <w:tr>
        <w:trPr/>
        <w:tc>
          <w:tcPr>
            <w:tcW w:w="8795"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r>
        <w:trPr/>
        <w:tc>
          <w:tcPr>
            <w:tcW w:w="8795"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95"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0"/>
        <w:gridCol w:w="505"/>
      </w:tblGrid>
      <w:tr>
        <w:trPr/>
        <w:tc>
          <w:tcPr>
            <w:tcW w:w="970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Condensed Financial Statements as of March 31, 2026 and for the three months ended March 31, 2026 and 2025</w:t>
            </w:r>
          </w:p>
        </w:tc>
        <w:tc>
          <w:tcPr>
            <w:tcW w:w="5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9700"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970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 for the three months ended March 31, 2026 and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9700"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970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370"/>
        <w:gridCol w:w="515"/>
      </w:tblGrid>
      <w:tr>
        <w:trPr/>
        <w:tc>
          <w:tcPr>
            <w:tcW w:w="737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Financial Statements as of and for the years ended December 31, 2025 and 2024</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 xml:space="preserve">Independent Auditor’s Report </w:t>
              </w:r>
            </w:hyperlink>
            <w:r>
              <w:rPr>
                <w:rFonts w:ascii="Times New Roman;Times;Serif" w:hAnsi="Times New Roman;Times;Serif"/>
                <w:b w:val="false"/>
                <w:i w:val="false"/>
                <w:caps w:val="false"/>
                <w:smallCaps w:val="false"/>
                <w:sz w:val="20"/>
              </w:rPr>
              <w:t>(PCAOB ID: 367)</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7370" w:type="dxa"/>
            <w:tcBorders/>
            <w:shd w:fill="FFFF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 as of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7370"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7370" w:type="dxa"/>
            <w:tcBorders/>
            <w:shd w:fill="FFFF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 for the Years ended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7370"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7370" w:type="dxa"/>
            <w:tcBorders/>
            <w:shd w:fill="FFFF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the Financial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TM_001"/>
      <w:bookmarkEnd w:id="49"/>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 w:name="xdx_308_111_pn3n3_z8ijbIPsBiul"/>
      <w:bookmarkStart w:id="51" w:name="xdx_308_111_pn3n3_z8ijbIPsBiul"/>
      <w:bookmarkEnd w:id="51"/>
    </w:p>
    <w:tbl>
      <w:tblPr>
        <w:tblW w:w="10205" w:type="dxa"/>
        <w:jc w:val="left"/>
        <w:tblInd w:w="0" w:type="dxa"/>
        <w:tblLayout w:type="fixed"/>
        <w:tblCellMar>
          <w:top w:w="0" w:type="dxa"/>
          <w:left w:w="0" w:type="dxa"/>
          <w:bottom w:w="0" w:type="dxa"/>
          <w:right w:w="0" w:type="dxa"/>
        </w:tblCellMar>
      </w:tblPr>
      <w:tblGrid>
        <w:gridCol w:w="7496"/>
        <w:gridCol w:w="60"/>
        <w:gridCol w:w="157"/>
        <w:gridCol w:w="982"/>
        <w:gridCol w:w="95"/>
        <w:gridCol w:w="60"/>
        <w:gridCol w:w="170"/>
        <w:gridCol w:w="1073"/>
        <w:gridCol w:w="112"/>
      </w:tblGrid>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2" w:name="xdx_496_20260331_zKx9MFccGt0h"/>
            <w:bookmarkEnd w:id="52"/>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 w:name="xdx_49D_20251231_zgYtUwd9PE9f"/>
            <w:bookmarkEnd w:id="53"/>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bookmarkStart w:id="54" w:name="xdx_401_eus-gaap--AssetsAbstract_iB_zcyz"/>
            <w:bookmarkEnd w:id="54"/>
          </w:p>
        </w:tc>
      </w:tr>
      <w:tr>
        <w:trPr/>
        <w:tc>
          <w:tcPr>
            <w:tcW w:w="749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5" w:name="xdx_40B_eus-gaap--AssetsCurrentAbstract_"/>
            <w:bookmarkEnd w:id="55"/>
          </w:p>
        </w:tc>
      </w:tr>
      <w:tr>
        <w:trPr/>
        <w:tc>
          <w:tcPr>
            <w:tcW w:w="749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6" w:name="xdx_40F_eus-gaap--CashAndCashEquivalents"/>
            <w:bookmarkEnd w:id="56"/>
          </w:p>
        </w:tc>
      </w:tr>
      <w:tr>
        <w:trPr/>
        <w:tc>
          <w:tcPr>
            <w:tcW w:w="749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259</w:t>
            </w:r>
          </w:p>
        </w:tc>
        <w:tc>
          <w:tcPr>
            <w:tcW w:w="112" w:type="dxa"/>
            <w:tcBorders/>
            <w:shd w:fill="CCEEFF" w:val="clear"/>
            <w:vAlign w:val="center"/>
          </w:tcPr>
          <w:p>
            <w:pPr>
              <w:pStyle w:val="TableContents"/>
              <w:bidi w:val="0"/>
              <w:spacing w:before="0" w:after="283"/>
              <w:jc w:val="left"/>
              <w:rPr/>
            </w:pPr>
            <w:r>
              <w:rPr/>
              <w:t> </w:t>
            </w:r>
            <w:bookmarkStart w:id="57" w:name="xdx_401_eus-gaap--AccountsReceivableNetC"/>
            <w:bookmarkEnd w:id="57"/>
          </w:p>
        </w:tc>
      </w:tr>
      <w:tr>
        <w:trPr/>
        <w:tc>
          <w:tcPr>
            <w:tcW w:w="7496" w:type="dxa"/>
            <w:tcBorders/>
            <w:shd w:fill="FFFFFF" w:val="clear"/>
            <w:vAlign w:val="center"/>
          </w:tcPr>
          <w:p>
            <w:pPr>
              <w:pStyle w:val="TableContents"/>
              <w:bidi w:val="0"/>
              <w:spacing w:before="0" w:after="283"/>
              <w:jc w:val="left"/>
              <w:rPr/>
            </w:pPr>
            <w:r>
              <w:rPr/>
              <w:t>Accounts receivable, net of allowance for credit losses of $</w:t>
            </w:r>
            <w:bookmarkStart w:id="58" w:name="xdx_90C_eus-gaap--AllowanceForDoubtfulAc"/>
            <w:bookmarkEnd w:id="58"/>
            <w:r>
              <w:rPr/>
              <w:t>26 and $</w:t>
            </w:r>
            <w:bookmarkStart w:id="59" w:name="xdx_904_eus-gaap--AllowanceForDoubtfulAc"/>
            <w:bookmarkEnd w:id="59"/>
            <w:r>
              <w:rPr/>
              <w:t>41,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709</w:t>
            </w:r>
          </w:p>
        </w:tc>
        <w:tc>
          <w:tcPr>
            <w:tcW w:w="112" w:type="dxa"/>
            <w:tcBorders/>
            <w:shd w:fill="FFFFFF" w:val="clear"/>
            <w:vAlign w:val="center"/>
          </w:tcPr>
          <w:p>
            <w:pPr>
              <w:pStyle w:val="TableContents"/>
              <w:bidi w:val="0"/>
              <w:spacing w:before="0" w:after="283"/>
              <w:jc w:val="left"/>
              <w:rPr/>
            </w:pPr>
            <w:r>
              <w:rPr/>
              <w:t> </w:t>
            </w:r>
            <w:bookmarkStart w:id="60" w:name="xdx_408_eus-gaap--OtherAssetsCurrent_i01"/>
            <w:bookmarkEnd w:id="60"/>
          </w:p>
        </w:tc>
      </w:tr>
      <w:tr>
        <w:trPr/>
        <w:tc>
          <w:tcPr>
            <w:tcW w:w="749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6_eus-gaap--PrepaidExpenseAndOther"/>
            <w:bookmarkEnd w:id="61"/>
          </w:p>
        </w:tc>
      </w:tr>
      <w:tr>
        <w:trPr/>
        <w:tc>
          <w:tcPr>
            <w:tcW w:w="749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112" w:type="dxa"/>
            <w:tcBorders/>
            <w:shd w:fill="CCEEFF" w:val="clear"/>
            <w:vAlign w:val="center"/>
          </w:tcPr>
          <w:p>
            <w:pPr>
              <w:pStyle w:val="TableContents"/>
              <w:bidi w:val="0"/>
              <w:spacing w:before="0" w:after="283"/>
              <w:jc w:val="left"/>
              <w:rPr/>
            </w:pPr>
            <w:r>
              <w:rPr/>
              <w:t> </w:t>
            </w:r>
            <w:bookmarkStart w:id="62" w:name="xdx_40D_ecustom--OperatingLeaseRightOfUs"/>
            <w:bookmarkEnd w:id="62"/>
          </w:p>
        </w:tc>
      </w:tr>
      <w:tr>
        <w:trPr/>
        <w:tc>
          <w:tcPr>
            <w:tcW w:w="7496" w:type="dxa"/>
            <w:tcBorders/>
            <w:shd w:fill="CCEEFF" w:val="clear"/>
            <w:vAlign w:val="center"/>
          </w:tcPr>
          <w:p>
            <w:pPr>
              <w:pStyle w:val="TableContents"/>
              <w:bidi w:val="0"/>
              <w:spacing w:before="0" w:after="283"/>
              <w:jc w:val="left"/>
              <w:rPr/>
            </w:pPr>
            <w:r>
              <w:rPr/>
              <w:t>Right of use assets, current portion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3" w:name="xdx_403_eus-gaap--AssetsCurrent_i01TI_mt"/>
            <w:bookmarkEnd w:id="63"/>
          </w:p>
        </w:tc>
      </w:tr>
      <w:tr>
        <w:trPr/>
        <w:tc>
          <w:tcPr>
            <w:tcW w:w="749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1,413</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4" w:name="xdx_403_eus-gaap--PropertyPlantAndEquipm"/>
            <w:bookmarkEnd w:id="64"/>
          </w:p>
        </w:tc>
      </w:tr>
      <w:tr>
        <w:trPr/>
        <w:tc>
          <w:tcPr>
            <w:tcW w:w="749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bookmarkStart w:id="65" w:name="xdx_40F_eus-gaap--CapitalizedComputerSof"/>
            <w:bookmarkEnd w:id="65"/>
          </w:p>
        </w:tc>
      </w:tr>
      <w:tr>
        <w:trPr/>
        <w:tc>
          <w:tcPr>
            <w:tcW w:w="7496" w:type="dxa"/>
            <w:tcBorders/>
            <w:shd w:fill="FFFFFF" w:val="clear"/>
            <w:vAlign w:val="center"/>
          </w:tcPr>
          <w:p>
            <w:pPr>
              <w:pStyle w:val="TableContents"/>
              <w:bidi w:val="0"/>
              <w:spacing w:before="0" w:after="283"/>
              <w:jc w:val="left"/>
              <w:rPr/>
            </w:pPr>
            <w:r>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6" w:name="xdx_406_eus-gaap--IntangibleAssetsNetExc"/>
            <w:bookmarkEnd w:id="66"/>
          </w:p>
        </w:tc>
      </w:tr>
      <w:tr>
        <w:trPr/>
        <w:tc>
          <w:tcPr>
            <w:tcW w:w="749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8,027</w:t>
            </w:r>
          </w:p>
        </w:tc>
        <w:tc>
          <w:tcPr>
            <w:tcW w:w="112" w:type="dxa"/>
            <w:tcBorders/>
            <w:shd w:fill="CCEEFF" w:val="clear"/>
            <w:vAlign w:val="center"/>
          </w:tcPr>
          <w:p>
            <w:pPr>
              <w:pStyle w:val="TableContents"/>
              <w:bidi w:val="0"/>
              <w:spacing w:before="0" w:after="283"/>
              <w:jc w:val="left"/>
              <w:rPr/>
            </w:pPr>
            <w:r>
              <w:rPr/>
              <w:t> </w:t>
            </w:r>
            <w:bookmarkStart w:id="67" w:name="xdx_40A_eus-gaap--Goodwill_i01I_maAzvBs_"/>
            <w:bookmarkEnd w:id="67"/>
          </w:p>
        </w:tc>
      </w:tr>
      <w:tr>
        <w:trPr/>
        <w:tc>
          <w:tcPr>
            <w:tcW w:w="749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21,992</w:t>
            </w:r>
          </w:p>
        </w:tc>
        <w:tc>
          <w:tcPr>
            <w:tcW w:w="112" w:type="dxa"/>
            <w:tcBorders/>
            <w:shd w:fill="FFFFFF" w:val="clear"/>
            <w:vAlign w:val="center"/>
          </w:tcPr>
          <w:p>
            <w:pPr>
              <w:pStyle w:val="TableContents"/>
              <w:bidi w:val="0"/>
              <w:spacing w:before="0" w:after="283"/>
              <w:jc w:val="left"/>
              <w:rPr/>
            </w:pPr>
            <w:r>
              <w:rPr/>
              <w:t> </w:t>
            </w:r>
            <w:bookmarkStart w:id="68" w:name="xdx_404_eus-gaap--OperatingLeaseRightOfU"/>
            <w:bookmarkEnd w:id="68"/>
          </w:p>
        </w:tc>
      </w:tr>
      <w:tr>
        <w:trPr/>
        <w:tc>
          <w:tcPr>
            <w:tcW w:w="749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56</w:t>
            </w:r>
          </w:p>
        </w:tc>
        <w:tc>
          <w:tcPr>
            <w:tcW w:w="112" w:type="dxa"/>
            <w:tcBorders/>
            <w:shd w:fill="CCEEFF" w:val="clear"/>
            <w:vAlign w:val="center"/>
          </w:tcPr>
          <w:p>
            <w:pPr>
              <w:pStyle w:val="TableContents"/>
              <w:bidi w:val="0"/>
              <w:spacing w:before="0" w:after="283"/>
              <w:jc w:val="left"/>
              <w:rPr/>
            </w:pPr>
            <w:r>
              <w:rPr/>
              <w:t> </w:t>
            </w:r>
            <w:bookmarkStart w:id="69" w:name="xdx_405_eus-gaap--EmbeddedDerivativeFair"/>
            <w:bookmarkEnd w:id="69"/>
          </w:p>
        </w:tc>
      </w:tr>
      <w:tr>
        <w:trPr/>
        <w:tc>
          <w:tcPr>
            <w:tcW w:w="7496"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bookmarkStart w:id="70" w:name="xdx_405_ecustom--DeferredOfferingCostsNo"/>
            <w:bookmarkEnd w:id="70"/>
          </w:p>
        </w:tc>
      </w:tr>
      <w:tr>
        <w:trPr/>
        <w:tc>
          <w:tcPr>
            <w:tcW w:w="7496"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 </w:t>
            </w:r>
            <w:bookmarkStart w:id="71" w:name="xdx_40E_eus-gaap--OtherAssets_i01I_maAzv"/>
            <w:bookmarkEnd w:id="71"/>
          </w:p>
        </w:tc>
      </w:tr>
      <w:tr>
        <w:trPr/>
        <w:tc>
          <w:tcPr>
            <w:tcW w:w="749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72" w:name="xdx_406_eus-gaap--Assets_i01TI_mtAzvBs_z"/>
            <w:bookmarkEnd w:id="72"/>
          </w:p>
        </w:tc>
      </w:tr>
      <w:tr>
        <w:trPr/>
        <w:tc>
          <w:tcPr>
            <w:tcW w:w="749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pPr>
            <w:r>
              <w:rPr/>
              <w:t>31,631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3" w:name="xdx_40C_eus-gaap--LiabilitiesAndStockhol"/>
            <w:bookmarkEnd w:id="73"/>
          </w:p>
        </w:tc>
      </w:tr>
      <w:tr>
        <w:trPr/>
        <w:tc>
          <w:tcPr>
            <w:tcW w:w="7496"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4" w:name="xdx_40D_eus-gaap--LiabilitiesCurrentAbst"/>
            <w:bookmarkEnd w:id="74"/>
          </w:p>
        </w:tc>
      </w:tr>
      <w:tr>
        <w:trPr/>
        <w:tc>
          <w:tcPr>
            <w:tcW w:w="749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5" w:name="xdx_409_eus-gaap--LinesOfCreditCurrent_i"/>
            <w:bookmarkEnd w:id="75"/>
          </w:p>
        </w:tc>
      </w:tr>
      <w:tr>
        <w:trPr/>
        <w:tc>
          <w:tcPr>
            <w:tcW w:w="7496" w:type="dxa"/>
            <w:tcBorders/>
            <w:shd w:fill="FFFFFF" w:val="clear"/>
            <w:vAlign w:val="center"/>
          </w:tcPr>
          <w:p>
            <w:pPr>
              <w:pStyle w:val="TableContents"/>
              <w:bidi w:val="0"/>
              <w:spacing w:before="0" w:after="283"/>
              <w:jc w:val="left"/>
              <w:rPr/>
            </w:pPr>
            <w:r>
              <w:rPr/>
              <w:t>Line of credit,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6" w:name="xdx_404_eus-gaap--LongTermDebtCurrent_i0"/>
            <w:bookmarkEnd w:id="76"/>
          </w:p>
        </w:tc>
      </w:tr>
      <w:tr>
        <w:trPr/>
        <w:tc>
          <w:tcPr>
            <w:tcW w:w="7496" w:type="dxa"/>
            <w:tcBorders/>
            <w:shd w:fill="FFFFFF" w:val="clear"/>
            <w:vAlign w:val="center"/>
          </w:tcPr>
          <w:p>
            <w:pPr>
              <w:pStyle w:val="TableContents"/>
              <w:bidi w:val="0"/>
              <w:spacing w:before="0" w:after="283"/>
              <w:jc w:val="left"/>
              <w:rPr/>
            </w:pPr>
            <w:r>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7" w:name="xdx_400_ecustom--NotesPayableAndAccruedI"/>
            <w:bookmarkEnd w:id="77"/>
          </w:p>
        </w:tc>
      </w:tr>
      <w:tr>
        <w:trPr/>
        <w:tc>
          <w:tcPr>
            <w:tcW w:w="7496" w:type="dxa"/>
            <w:tcBorders/>
            <w:shd w:fill="FFFFFF" w:val="clear"/>
            <w:vAlign w:val="center"/>
          </w:tcPr>
          <w:p>
            <w:pPr>
              <w:pStyle w:val="TableContents"/>
              <w:bidi w:val="0"/>
              <w:spacing w:before="0" w:after="283"/>
              <w:jc w:val="left"/>
              <w:rPr/>
            </w:pPr>
            <w:r>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8" w:name="xdx_401_eus-gaap--AccountsPayableCurrent"/>
            <w:bookmarkEnd w:id="78"/>
          </w:p>
        </w:tc>
      </w:tr>
      <w:tr>
        <w:trPr/>
        <w:tc>
          <w:tcPr>
            <w:tcW w:w="749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2,494</w:t>
            </w:r>
          </w:p>
        </w:tc>
        <w:tc>
          <w:tcPr>
            <w:tcW w:w="112" w:type="dxa"/>
            <w:tcBorders/>
            <w:shd w:fill="CCEEFF" w:val="clear"/>
            <w:vAlign w:val="center"/>
          </w:tcPr>
          <w:p>
            <w:pPr>
              <w:pStyle w:val="TableContents"/>
              <w:bidi w:val="0"/>
              <w:spacing w:before="0" w:after="283"/>
              <w:jc w:val="left"/>
              <w:rPr/>
            </w:pPr>
            <w:r>
              <w:rPr/>
              <w:t> </w:t>
            </w:r>
            <w:bookmarkStart w:id="79" w:name="xdx_406_eus-gaap--AccountsPayableAndOthe"/>
            <w:bookmarkEnd w:id="79"/>
          </w:p>
        </w:tc>
      </w:tr>
      <w:tr>
        <w:trPr/>
        <w:tc>
          <w:tcPr>
            <w:tcW w:w="749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4,354</w:t>
            </w:r>
          </w:p>
        </w:tc>
        <w:tc>
          <w:tcPr>
            <w:tcW w:w="112" w:type="dxa"/>
            <w:tcBorders/>
            <w:shd w:fill="FFFFFF" w:val="clear"/>
            <w:vAlign w:val="center"/>
          </w:tcPr>
          <w:p>
            <w:pPr>
              <w:pStyle w:val="TableContents"/>
              <w:bidi w:val="0"/>
              <w:spacing w:before="0" w:after="283"/>
              <w:jc w:val="left"/>
              <w:rPr/>
            </w:pPr>
            <w:r>
              <w:rPr/>
              <w:t> </w:t>
            </w:r>
            <w:bookmarkStart w:id="80" w:name="xdx_405_eus-gaap--ConvertibleDebtCurrent"/>
            <w:bookmarkEnd w:id="80"/>
          </w:p>
        </w:tc>
      </w:tr>
      <w:tr>
        <w:trPr/>
        <w:tc>
          <w:tcPr>
            <w:tcW w:w="7496"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4,923</w:t>
            </w:r>
          </w:p>
        </w:tc>
        <w:tc>
          <w:tcPr>
            <w:tcW w:w="112" w:type="dxa"/>
            <w:tcBorders/>
            <w:shd w:fill="CCEEFF" w:val="clear"/>
            <w:vAlign w:val="center"/>
          </w:tcPr>
          <w:p>
            <w:pPr>
              <w:pStyle w:val="TableContents"/>
              <w:bidi w:val="0"/>
              <w:spacing w:before="0" w:after="283"/>
              <w:jc w:val="left"/>
              <w:rPr/>
            </w:pPr>
            <w:r>
              <w:rPr/>
              <w:t> </w:t>
            </w:r>
            <w:bookmarkStart w:id="81" w:name="xdx_40D_ecustom--ConvertibleNotesCarried"/>
            <w:bookmarkEnd w:id="81"/>
          </w:p>
        </w:tc>
      </w:tr>
      <w:tr>
        <w:trPr/>
        <w:tc>
          <w:tcPr>
            <w:tcW w:w="7496"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1,856</w:t>
            </w:r>
          </w:p>
        </w:tc>
        <w:tc>
          <w:tcPr>
            <w:tcW w:w="112" w:type="dxa"/>
            <w:tcBorders/>
            <w:shd w:fill="FFFFFF" w:val="clear"/>
            <w:vAlign w:val="center"/>
          </w:tcPr>
          <w:p>
            <w:pPr>
              <w:pStyle w:val="TableContents"/>
              <w:bidi w:val="0"/>
              <w:spacing w:before="0" w:after="283"/>
              <w:jc w:val="left"/>
              <w:rPr/>
            </w:pPr>
            <w:r>
              <w:rPr/>
              <w:t> </w:t>
            </w:r>
            <w:bookmarkStart w:id="82" w:name="xdx_40E_eus-gaap--ConvertibleDebtCurrent"/>
            <w:bookmarkEnd w:id="82"/>
          </w:p>
        </w:tc>
      </w:tr>
      <w:tr>
        <w:trPr/>
        <w:tc>
          <w:tcPr>
            <w:tcW w:w="7496"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bookmarkStart w:id="83" w:name="xdx_404_eus-gaap--ConvertibleDebtCurrent"/>
            <w:bookmarkEnd w:id="83"/>
          </w:p>
        </w:tc>
      </w:tr>
      <w:tr>
        <w:trPr/>
        <w:tc>
          <w:tcPr>
            <w:tcW w:w="7496"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bookmarkStart w:id="84" w:name="xdx_409_ecustom--NotesPayableCarriedAtFa"/>
            <w:bookmarkEnd w:id="84"/>
          </w:p>
        </w:tc>
      </w:tr>
      <w:tr>
        <w:trPr/>
        <w:tc>
          <w:tcPr>
            <w:tcW w:w="7496" w:type="dxa"/>
            <w:tcBorders/>
            <w:shd w:fill="FFFFFF" w:val="clear"/>
            <w:vAlign w:val="center"/>
          </w:tcPr>
          <w:p>
            <w:pPr>
              <w:pStyle w:val="TableContents"/>
              <w:bidi w:val="0"/>
              <w:spacing w:before="0" w:after="283"/>
              <w:jc w:val="left"/>
              <w:rPr/>
            </w:pPr>
            <w:r>
              <w:rPr/>
              <w:t>Notes payable,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2,591</w:t>
            </w:r>
          </w:p>
        </w:tc>
        <w:tc>
          <w:tcPr>
            <w:tcW w:w="112" w:type="dxa"/>
            <w:tcBorders/>
            <w:shd w:fill="FFFFFF" w:val="clear"/>
            <w:vAlign w:val="center"/>
          </w:tcPr>
          <w:p>
            <w:pPr>
              <w:pStyle w:val="TableContents"/>
              <w:bidi w:val="0"/>
              <w:spacing w:before="0" w:after="283"/>
              <w:jc w:val="left"/>
              <w:rPr/>
            </w:pPr>
            <w:r>
              <w:rPr/>
              <w:t> </w:t>
            </w:r>
            <w:bookmarkStart w:id="85" w:name="xdx_408_ecustom--WarrantLiabilityCurrent"/>
            <w:bookmarkEnd w:id="85"/>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6" w:name="xdx_40A_ecustom--WarrantLiabilityCurrent"/>
            <w:bookmarkEnd w:id="86"/>
          </w:p>
        </w:tc>
      </w:tr>
      <w:tr>
        <w:trPr/>
        <w:tc>
          <w:tcPr>
            <w:tcW w:w="7496" w:type="dxa"/>
            <w:tcBorders/>
            <w:shd w:fill="FFFFFF" w:val="clear"/>
            <w:vAlign w:val="center"/>
          </w:tcPr>
          <w:p>
            <w:pPr>
              <w:pStyle w:val="TableContents"/>
              <w:bidi w:val="0"/>
              <w:spacing w:before="0" w:after="283"/>
              <w:jc w:val="left"/>
              <w:rPr/>
            </w:pPr>
            <w:r>
              <w:rPr/>
              <w:t>Warrant liability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7" w:name="xdx_40A_ecustom--WarrantLiabilityCurrent"/>
            <w:bookmarkEnd w:id="87"/>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8" w:name="xdx_40B_ecustom--PrivatePlacementWarrant"/>
            <w:bookmarkEnd w:id="88"/>
          </w:p>
        </w:tc>
      </w:tr>
      <w:tr>
        <w:trPr/>
        <w:tc>
          <w:tcPr>
            <w:tcW w:w="7496" w:type="dxa"/>
            <w:tcBorders/>
            <w:shd w:fill="CCEEFF" w:val="clear"/>
            <w:vAlign w:val="center"/>
          </w:tcPr>
          <w:p>
            <w:pPr>
              <w:pStyle w:val="TableContents"/>
              <w:bidi w:val="0"/>
              <w:spacing w:before="0" w:after="283"/>
              <w:jc w:val="left"/>
              <w:rPr/>
            </w:pPr>
            <w:r>
              <w:rPr/>
              <w:t>Private placement warrant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296</w:t>
            </w:r>
          </w:p>
        </w:tc>
        <w:tc>
          <w:tcPr>
            <w:tcW w:w="112" w:type="dxa"/>
            <w:tcBorders/>
            <w:shd w:fill="CCEEFF" w:val="clear"/>
            <w:vAlign w:val="center"/>
          </w:tcPr>
          <w:p>
            <w:pPr>
              <w:pStyle w:val="TableContents"/>
              <w:bidi w:val="0"/>
              <w:spacing w:before="0" w:after="283"/>
              <w:jc w:val="left"/>
              <w:rPr/>
            </w:pPr>
            <w:r>
              <w:rPr/>
              <w:t> </w:t>
            </w:r>
            <w:bookmarkStart w:id="89" w:name="xdx_40D_ecustom--FinancialInstrumentsCur"/>
            <w:bookmarkEnd w:id="89"/>
          </w:p>
        </w:tc>
      </w:tr>
      <w:tr>
        <w:trPr/>
        <w:tc>
          <w:tcPr>
            <w:tcW w:w="7496" w:type="dxa"/>
            <w:tcBorders/>
            <w:shd w:fill="FFFFFF" w:val="clear"/>
            <w:vAlign w:val="center"/>
          </w:tcPr>
          <w:p>
            <w:pPr>
              <w:pStyle w:val="TableContents"/>
              <w:bidi w:val="0"/>
              <w:spacing w:before="0" w:after="283"/>
              <w:jc w:val="left"/>
              <w:rPr/>
            </w:pPr>
            <w:r>
              <w:rPr/>
              <w:t>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90" w:name="xdx_40E_ecustom--EarnoutLiabilityCurrent"/>
            <w:bookmarkEnd w:id="90"/>
          </w:p>
        </w:tc>
      </w:tr>
      <w:tr>
        <w:trPr/>
        <w:tc>
          <w:tcPr>
            <w:tcW w:w="7496"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991</w:t>
            </w:r>
          </w:p>
        </w:tc>
        <w:tc>
          <w:tcPr>
            <w:tcW w:w="112" w:type="dxa"/>
            <w:tcBorders/>
            <w:shd w:fill="CCEEFF" w:val="clear"/>
            <w:vAlign w:val="center"/>
          </w:tcPr>
          <w:p>
            <w:pPr>
              <w:pStyle w:val="TableContents"/>
              <w:bidi w:val="0"/>
              <w:spacing w:before="0" w:after="283"/>
              <w:jc w:val="left"/>
              <w:rPr/>
            </w:pPr>
            <w:r>
              <w:rPr/>
              <w:t> </w:t>
            </w:r>
            <w:bookmarkStart w:id="91" w:name="xdx_407_ecustom--RelatedPartiesCurrent_i"/>
            <w:bookmarkEnd w:id="91"/>
          </w:p>
        </w:tc>
      </w:tr>
      <w:tr>
        <w:trPr/>
        <w:tc>
          <w:tcPr>
            <w:tcW w:w="7496"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2" w:name="xdx_400_eus-gaap--DeferredRevenueCurrent"/>
            <w:bookmarkEnd w:id="92"/>
          </w:p>
        </w:tc>
      </w:tr>
      <w:tr>
        <w:trPr/>
        <w:tc>
          <w:tcPr>
            <w:tcW w:w="749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3,642</w:t>
            </w:r>
          </w:p>
        </w:tc>
        <w:tc>
          <w:tcPr>
            <w:tcW w:w="112" w:type="dxa"/>
            <w:tcBorders/>
            <w:shd w:fill="FFFFFF" w:val="clear"/>
            <w:vAlign w:val="center"/>
          </w:tcPr>
          <w:p>
            <w:pPr>
              <w:pStyle w:val="TableContents"/>
              <w:bidi w:val="0"/>
              <w:spacing w:before="0" w:after="283"/>
              <w:jc w:val="left"/>
              <w:rPr/>
            </w:pPr>
            <w:r>
              <w:rPr/>
              <w:t> </w:t>
            </w:r>
            <w:bookmarkStart w:id="93" w:name="xdx_40C_ecustom--DeferredStockLiability_"/>
            <w:bookmarkEnd w:id="93"/>
          </w:p>
        </w:tc>
      </w:tr>
      <w:tr>
        <w:trPr/>
        <w:tc>
          <w:tcPr>
            <w:tcW w:w="7496" w:type="dxa"/>
            <w:tcBorders/>
            <w:shd w:fill="FFFFFF" w:val="clear"/>
            <w:vAlign w:val="center"/>
          </w:tcPr>
          <w:p>
            <w:pPr>
              <w:pStyle w:val="TableContents"/>
              <w:bidi w:val="0"/>
              <w:spacing w:before="0" w:after="283"/>
              <w:jc w:val="left"/>
              <w:rPr/>
            </w:pPr>
            <w:r>
              <w:rPr/>
              <w:t>Deferred stock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4" w:name="xdx_40A_eus-gaap--OperatingLeaseLiabilit"/>
            <w:bookmarkEnd w:id="94"/>
          </w:p>
        </w:tc>
      </w:tr>
      <w:tr>
        <w:trPr/>
        <w:tc>
          <w:tcPr>
            <w:tcW w:w="7496"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jc w:val="left"/>
              <w:rPr/>
            </w:pPr>
            <w:r>
              <w:rPr/>
              <w:t> </w:t>
            </w:r>
            <w:bookmarkStart w:id="95" w:name="xdx_402_eus-gaap--LiabilitiesCurrent_i02"/>
            <w:bookmarkEnd w:id="95"/>
          </w:p>
        </w:tc>
      </w:tr>
      <w:tr>
        <w:trPr/>
        <w:tc>
          <w:tcPr>
            <w:tcW w:w="749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22,370</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6" w:name="xdx_403_eus-gaap--DeferredRevenueNoncurr"/>
            <w:bookmarkEnd w:id="96"/>
          </w:p>
        </w:tc>
      </w:tr>
      <w:tr>
        <w:trPr/>
        <w:tc>
          <w:tcPr>
            <w:tcW w:w="7496" w:type="dxa"/>
            <w:tcBorders/>
            <w:shd w:fill="FFFFFF" w:val="clear"/>
            <w:vAlign w:val="center"/>
          </w:tcPr>
          <w:p>
            <w:pPr>
              <w:pStyle w:val="TableContents"/>
              <w:bidi w:val="0"/>
              <w:spacing w:before="0" w:after="283"/>
              <w:jc w:val="left"/>
              <w:rPr/>
            </w:pPr>
            <w:r>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94</w:t>
            </w:r>
          </w:p>
        </w:tc>
        <w:tc>
          <w:tcPr>
            <w:tcW w:w="112" w:type="dxa"/>
            <w:tcBorders/>
            <w:shd w:fill="FFFFFF" w:val="clear"/>
            <w:vAlign w:val="center"/>
          </w:tcPr>
          <w:p>
            <w:pPr>
              <w:pStyle w:val="TableContents"/>
              <w:bidi w:val="0"/>
              <w:spacing w:before="0" w:after="283"/>
              <w:jc w:val="left"/>
              <w:rPr/>
            </w:pPr>
            <w:r>
              <w:rPr/>
              <w:t> </w:t>
            </w:r>
            <w:bookmarkStart w:id="97" w:name="xdx_402_eus-gaap--DeferredIncomeTaxLiabi"/>
            <w:bookmarkEnd w:id="97"/>
          </w:p>
        </w:tc>
      </w:tr>
      <w:tr>
        <w:trPr/>
        <w:tc>
          <w:tcPr>
            <w:tcW w:w="749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1,078</w:t>
            </w:r>
          </w:p>
        </w:tc>
        <w:tc>
          <w:tcPr>
            <w:tcW w:w="112" w:type="dxa"/>
            <w:tcBorders/>
            <w:shd w:fill="CCEEFF" w:val="clear"/>
            <w:vAlign w:val="center"/>
          </w:tcPr>
          <w:p>
            <w:pPr>
              <w:pStyle w:val="TableContents"/>
              <w:bidi w:val="0"/>
              <w:spacing w:before="0" w:after="283"/>
              <w:jc w:val="left"/>
              <w:rPr/>
            </w:pPr>
            <w:r>
              <w:rPr/>
              <w:t> </w:t>
            </w:r>
            <w:bookmarkStart w:id="98" w:name="xdx_403_eus-gaap--OperatingLeaseLiabilit"/>
            <w:bookmarkEnd w:id="98"/>
          </w:p>
        </w:tc>
      </w:tr>
      <w:tr>
        <w:trPr/>
        <w:tc>
          <w:tcPr>
            <w:tcW w:w="7496"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112" w:type="dxa"/>
            <w:tcBorders/>
            <w:shd w:fill="FFFFFF" w:val="clear"/>
            <w:vAlign w:val="center"/>
          </w:tcPr>
          <w:p>
            <w:pPr>
              <w:pStyle w:val="TableContents"/>
              <w:bidi w:val="0"/>
              <w:spacing w:before="0" w:after="283"/>
              <w:jc w:val="left"/>
              <w:rPr/>
            </w:pPr>
            <w:r>
              <w:rPr/>
              <w:t> </w:t>
            </w:r>
            <w:bookmarkStart w:id="99" w:name="xdx_40B_eus-gaap--Liabilities_i01TI_mtLz"/>
            <w:bookmarkEnd w:id="99"/>
          </w:p>
        </w:tc>
      </w:tr>
      <w:tr>
        <w:trPr/>
        <w:tc>
          <w:tcPr>
            <w:tcW w:w="749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23,576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0" w:name="xdx_406_eus-gaap--CommitmentsAndContinge"/>
            <w:bookmarkEnd w:id="100"/>
          </w:p>
        </w:tc>
      </w:tr>
      <w:tr>
        <w:trPr/>
        <w:tc>
          <w:tcPr>
            <w:tcW w:w="7496"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1" w:name="xdx_404_eus-gaap--StockholdersEquityAbst"/>
            <w:bookmarkEnd w:id="101"/>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2" w:name="xdx_407_eus-gaap--CommonStockValue_i02I_"/>
            <w:bookmarkEnd w:id="102"/>
          </w:p>
        </w:tc>
      </w:tr>
      <w:tr>
        <w:trPr/>
        <w:tc>
          <w:tcPr>
            <w:tcW w:w="7496" w:type="dxa"/>
            <w:tcBorders/>
            <w:shd w:fill="FFFFFF" w:val="clear"/>
            <w:vAlign w:val="center"/>
          </w:tcPr>
          <w:p>
            <w:pPr>
              <w:pStyle w:val="TableContents"/>
              <w:bidi w:val="0"/>
              <w:spacing w:before="0" w:after="283"/>
              <w:jc w:val="left"/>
              <w:rPr/>
            </w:pPr>
            <w:r>
              <w:rPr/>
              <w:t>Common stock, $</w:t>
            </w:r>
            <w:bookmarkStart w:id="103" w:name="xdx_901_eus-gaap--CommonStockParOrStated"/>
            <w:bookmarkStart w:id="104" w:name="xdx_907_eus-gaap--CommonStockParOrStated"/>
            <w:bookmarkEnd w:id="103"/>
            <w:bookmarkEnd w:id="104"/>
            <w:r>
              <w:rPr/>
              <w:t xml:space="preserve">0.0001 par value, </w:t>
            </w:r>
            <w:bookmarkStart w:id="105" w:name="xdx_90C_eus-gaap--CommonStockSharesAutho"/>
            <w:bookmarkStart w:id="106" w:name="xdx_903_eus-gaap--CommonStockSharesAutho"/>
            <w:bookmarkEnd w:id="105"/>
            <w:bookmarkEnd w:id="106"/>
            <w:r>
              <w:rPr/>
              <w:t>275,000,000 (</w:t>
            </w:r>
            <w:bookmarkStart w:id="107" w:name="xdx_905_eus-gaap--CommonStockSharesAutho"/>
            <w:bookmarkStart w:id="108" w:name="xdx_906_eus-gaap--CommonStockSharesAutho"/>
            <w:bookmarkEnd w:id="107"/>
            <w:bookmarkEnd w:id="108"/>
            <w:r>
              <w:rPr/>
              <w:t xml:space="preserve">250,000,000 Class A and </w:t>
            </w:r>
            <w:bookmarkStart w:id="109" w:name="xdx_901_eus-gaap--CommonStockSharesAutho"/>
            <w:bookmarkStart w:id="110" w:name="xdx_90A_eus-gaap--CommonStockSharesAutho"/>
            <w:bookmarkEnd w:id="109"/>
            <w:bookmarkEnd w:id="110"/>
            <w:r>
              <w:rPr/>
              <w:t xml:space="preserve">25,000,000 Class B) shares authorized and </w:t>
            </w:r>
            <w:bookmarkStart w:id="111" w:name="xdx_90A_eus-gaap--CommonStockSharesOutst"/>
            <w:bookmarkStart w:id="112" w:name="xdx_901_eus-gaap--CommonStockSharesIssue"/>
            <w:bookmarkEnd w:id="111"/>
            <w:bookmarkEnd w:id="112"/>
            <w:r>
              <w:rPr/>
              <w:t>867,355 (</w:t>
            </w:r>
            <w:bookmarkStart w:id="113" w:name="xdx_90F_eus-gaap--CommonStockSharesOutst"/>
            <w:bookmarkStart w:id="114" w:name="xdx_900_eus-gaap--CommonStockSharesIssue"/>
            <w:bookmarkEnd w:id="113"/>
            <w:bookmarkEnd w:id="114"/>
            <w:r>
              <w:rPr/>
              <w:t xml:space="preserve">855,799 Class A and </w:t>
            </w:r>
            <w:bookmarkStart w:id="115" w:name="xdx_90B_eus-gaap--CommonStockSharesOutst"/>
            <w:bookmarkStart w:id="116" w:name="xdx_903_eus-gaap--CommonStockSharesIssue"/>
            <w:bookmarkEnd w:id="115"/>
            <w:bookmarkEnd w:id="116"/>
            <w:r>
              <w:rPr/>
              <w:t xml:space="preserve">11,556 Class B) and </w:t>
            </w:r>
            <w:bookmarkStart w:id="117" w:name="xdx_90C_eus-gaap--CommonStockSharesOutst"/>
            <w:bookmarkStart w:id="118" w:name="xdx_90A_eus-gaap--CommonStockSharesIssue"/>
            <w:bookmarkEnd w:id="117"/>
            <w:bookmarkEnd w:id="118"/>
            <w:r>
              <w:rPr/>
              <w:t>527,317 (</w:t>
            </w:r>
            <w:bookmarkStart w:id="119" w:name="xdx_903_eus-gaap--CommonStockSharesOutst"/>
            <w:bookmarkStart w:id="120" w:name="xdx_901_eus-gaap--CommonStockSharesIssue"/>
            <w:bookmarkEnd w:id="119"/>
            <w:bookmarkEnd w:id="120"/>
            <w:r>
              <w:rPr/>
              <w:t xml:space="preserve">515,761 Class A and </w:t>
            </w:r>
            <w:bookmarkStart w:id="121" w:name="xdx_90C_eus-gaap--CommonStockSharesOutst"/>
            <w:bookmarkStart w:id="122" w:name="xdx_90A_eus-gaap--CommonStockSharesIssue"/>
            <w:bookmarkEnd w:id="121"/>
            <w:bookmarkEnd w:id="122"/>
            <w:r>
              <w:rPr/>
              <w:t>11,556 Class B) shares issued and outstanding at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23" w:name="xdx_407_eus-gaap--CommonStockValue_i02I_"/>
            <w:bookmarkEnd w:id="123"/>
          </w:p>
        </w:tc>
      </w:tr>
      <w:tr>
        <w:trPr/>
        <w:tc>
          <w:tcPr>
            <w:tcW w:w="7496"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24" w:name="xdx_408_eus-gaap--PreferredStockValue_i0"/>
            <w:bookmarkEnd w:id="124"/>
          </w:p>
        </w:tc>
      </w:tr>
      <w:tr>
        <w:trPr/>
        <w:tc>
          <w:tcPr>
            <w:tcW w:w="7496" w:type="dxa"/>
            <w:tcBorders/>
            <w:shd w:fill="CCEEFF" w:val="clear"/>
            <w:vAlign w:val="center"/>
          </w:tcPr>
          <w:p>
            <w:pPr>
              <w:pStyle w:val="TableContents"/>
              <w:bidi w:val="0"/>
              <w:spacing w:before="0" w:after="283"/>
              <w:jc w:val="left"/>
              <w:rPr/>
            </w:pPr>
            <w:r>
              <w:rPr/>
              <w:t>Preferred stock, $</w:t>
            </w:r>
            <w:bookmarkStart w:id="125" w:name="xdx_90B_eus-gaap--PreferredStockParOrSta"/>
            <w:bookmarkStart w:id="126" w:name="xdx_906_eus-gaap--PreferredStockParOrSta"/>
            <w:bookmarkEnd w:id="125"/>
            <w:bookmarkEnd w:id="126"/>
            <w:r>
              <w:rPr/>
              <w:t xml:space="preserve">0.0001 par value, </w:t>
            </w:r>
            <w:bookmarkStart w:id="127" w:name="xdx_908_eus-gaap--PreferredStockSharesAu"/>
            <w:bookmarkStart w:id="128" w:name="xdx_904_eus-gaap--PreferredStockSharesAu"/>
            <w:bookmarkEnd w:id="127"/>
            <w:bookmarkEnd w:id="128"/>
            <w:r>
              <w:rPr/>
              <w:t xml:space="preserve">75,000,000 shares authorized, </w:t>
            </w:r>
            <w:bookmarkStart w:id="129" w:name="xdx_90F_eus-gaap--PreferredStockSharesOu"/>
            <w:bookmarkStart w:id="130" w:name="xdx_902_eus-gaap--PreferredStockSharesIs"/>
            <w:bookmarkEnd w:id="129"/>
            <w:bookmarkEnd w:id="130"/>
            <w:r>
              <w:rPr/>
              <w:t xml:space="preserve">1 and </w:t>
            </w:r>
            <w:bookmarkStart w:id="131" w:name="xdx_90E_eus-gaap--PreferredStockSharesOu"/>
            <w:bookmarkStart w:id="132" w:name="xdx_90D_eus-gaap--PreferredStockSharesIs"/>
            <w:bookmarkEnd w:id="131"/>
            <w:bookmarkEnd w:id="132"/>
            <w:r>
              <w:rPr/>
              <w:t>1 shares issued and outstanding at March 31, 2026 and 2025, respectively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33" w:name="xdx_406_eus-gaap--AdditionalPaidInCapita"/>
            <w:bookmarkEnd w:id="133"/>
          </w:p>
        </w:tc>
      </w:tr>
      <w:tr>
        <w:trPr/>
        <w:tc>
          <w:tcPr>
            <w:tcW w:w="749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108,912</w:t>
            </w:r>
          </w:p>
        </w:tc>
        <w:tc>
          <w:tcPr>
            <w:tcW w:w="112" w:type="dxa"/>
            <w:tcBorders/>
            <w:shd w:fill="FFFFFF" w:val="clear"/>
            <w:vAlign w:val="center"/>
          </w:tcPr>
          <w:p>
            <w:pPr>
              <w:pStyle w:val="TableContents"/>
              <w:bidi w:val="0"/>
              <w:spacing w:before="0" w:after="283"/>
              <w:jc w:val="left"/>
              <w:rPr/>
            </w:pPr>
            <w:r>
              <w:rPr/>
              <w:t> </w:t>
            </w:r>
            <w:bookmarkStart w:id="134" w:name="xdx_402_eus-gaap--AccumulatedOtherCompre"/>
            <w:bookmarkEnd w:id="134"/>
          </w:p>
        </w:tc>
      </w:tr>
      <w:tr>
        <w:trPr/>
        <w:tc>
          <w:tcPr>
            <w:tcW w:w="7496"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(85</w:t>
            </w:r>
          </w:p>
        </w:tc>
        <w:tc>
          <w:tcPr>
            <w:tcW w:w="112" w:type="dxa"/>
            <w:tcBorders/>
            <w:shd w:fill="CCEEFF" w:val="clear"/>
            <w:vAlign w:val="center"/>
          </w:tcPr>
          <w:p>
            <w:pPr>
              <w:pStyle w:val="TableContents"/>
              <w:bidi w:val="0"/>
              <w:spacing w:before="0" w:after="283"/>
              <w:jc w:val="left"/>
              <w:rPr/>
            </w:pPr>
            <w:r>
              <w:rPr/>
              <w:t>)</w:t>
            </w:r>
            <w:bookmarkStart w:id="135" w:name="xdx_40C_eus-gaap--RetainedEarningsAccumu"/>
            <w:bookmarkEnd w:id="135"/>
          </w:p>
        </w:tc>
      </w:tr>
      <w:tr>
        <w:trPr/>
        <w:tc>
          <w:tcPr>
            <w:tcW w:w="749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(109,189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(100,772</w:t>
            </w:r>
          </w:p>
        </w:tc>
        <w:tc>
          <w:tcPr>
            <w:tcW w:w="112" w:type="dxa"/>
            <w:tcBorders/>
            <w:shd w:fill="FFFFFF" w:val="clear"/>
            <w:vAlign w:val="center"/>
          </w:tcPr>
          <w:p>
            <w:pPr>
              <w:pStyle w:val="TableContents"/>
              <w:bidi w:val="0"/>
              <w:spacing w:before="0" w:after="283"/>
              <w:jc w:val="left"/>
              <w:rPr/>
            </w:pPr>
            <w:r>
              <w:rPr/>
              <w:t>)</w:t>
            </w:r>
            <w:bookmarkStart w:id="136" w:name="xdx_403_eus-gaap--StockholdersEquity_i02"/>
            <w:bookmarkEnd w:id="136"/>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8,055</w:t>
            </w:r>
          </w:p>
        </w:tc>
        <w:tc>
          <w:tcPr>
            <w:tcW w:w="112" w:type="dxa"/>
            <w:tcBorders/>
            <w:shd w:fill="CCEEFF" w:val="clear"/>
            <w:vAlign w:val="center"/>
          </w:tcPr>
          <w:p>
            <w:pPr>
              <w:pStyle w:val="TableContents"/>
              <w:bidi w:val="0"/>
              <w:spacing w:before="0" w:after="283"/>
              <w:jc w:val="left"/>
              <w:rPr/>
            </w:pPr>
            <w:r>
              <w:rPr/>
              <w:t> </w:t>
            </w:r>
            <w:bookmarkStart w:id="137" w:name="xdx_402_eus-gaap--LiabilitiesAndStockhol"/>
            <w:bookmarkEnd w:id="137"/>
          </w:p>
        </w:tc>
      </w:tr>
      <w:tr>
        <w:trPr/>
        <w:tc>
          <w:tcPr>
            <w:tcW w:w="7496"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31,474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31,631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8" w:name="TM_002"/>
      <w:bookmarkEnd w:id="13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7_113_pn3n3_zGDTbx0xwgCd"/>
      <w:bookmarkStart w:id="140" w:name="xdx_307_113_pn3n3_zGDTbx0xwgCd"/>
      <w:bookmarkEnd w:id="140"/>
    </w:p>
    <w:tbl>
      <w:tblPr>
        <w:tblW w:w="10205" w:type="dxa"/>
        <w:jc w:val="left"/>
        <w:tblInd w:w="0" w:type="dxa"/>
        <w:tblLayout w:type="fixed"/>
        <w:tblCellMar>
          <w:top w:w="0" w:type="dxa"/>
          <w:left w:w="0" w:type="dxa"/>
          <w:bottom w:w="0" w:type="dxa"/>
          <w:right w:w="0" w:type="dxa"/>
        </w:tblCellMar>
      </w:tblPr>
      <w:tblGrid>
        <w:gridCol w:w="6303"/>
        <w:gridCol w:w="60"/>
        <w:gridCol w:w="306"/>
        <w:gridCol w:w="1389"/>
        <w:gridCol w:w="207"/>
        <w:gridCol w:w="131"/>
        <w:gridCol w:w="306"/>
        <w:gridCol w:w="1389"/>
        <w:gridCol w:w="114"/>
      </w:tblGrid>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1" w:name="xdx_492_20260101__20260331_zlEdRjPkRKph"/>
            <w:bookmarkEnd w:id="141"/>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bookmarkStart w:id="142" w:name="xdx_49F_20250101__20250331_zvbgQrPiP4B2"/>
            <w:bookmarkEnd w:id="142"/>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bookmarkStart w:id="143" w:name="xdx_407_eus-gaap--OperatingIncomeLossAbs"/>
            <w:bookmarkEnd w:id="143"/>
          </w:p>
        </w:tc>
      </w:tr>
      <w:tr>
        <w:trPr/>
        <w:tc>
          <w:tcPr>
            <w:tcW w:w="63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4" w:name="xdx_40F_eus-gaap--RevenueFromContractWit"/>
            <w:bookmarkEnd w:id="144"/>
          </w:p>
        </w:tc>
      </w:tr>
      <w:tr>
        <w:trPr/>
        <w:tc>
          <w:tcPr>
            <w:tcW w:w="63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2,696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3,379</w:t>
            </w:r>
          </w:p>
        </w:tc>
        <w:tc>
          <w:tcPr>
            <w:tcW w:w="114" w:type="dxa"/>
            <w:tcBorders/>
            <w:shd w:fill="FFFFFF" w:val="clear"/>
            <w:vAlign w:val="center"/>
          </w:tcPr>
          <w:p>
            <w:pPr>
              <w:pStyle w:val="TableContents"/>
              <w:bidi w:val="0"/>
              <w:spacing w:before="0" w:after="283"/>
              <w:jc w:val="left"/>
              <w:rPr/>
            </w:pPr>
            <w:r>
              <w:rPr/>
              <w:t> </w:t>
            </w:r>
            <w:bookmarkStart w:id="145" w:name="xdx_408_eus-gaap--CostOfRevenue_i01_msGP"/>
            <w:bookmarkEnd w:id="145"/>
          </w:p>
        </w:tc>
      </w:tr>
      <w:tr>
        <w:trPr/>
        <w:tc>
          <w:tcPr>
            <w:tcW w:w="63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114" w:type="dxa"/>
            <w:tcBorders/>
            <w:shd w:fill="CCEEFF" w:val="clear"/>
            <w:vAlign w:val="center"/>
          </w:tcPr>
          <w:p>
            <w:pPr>
              <w:pStyle w:val="TableContents"/>
              <w:bidi w:val="0"/>
              <w:spacing w:before="0" w:after="283"/>
              <w:jc w:val="left"/>
              <w:rPr/>
            </w:pPr>
            <w:r>
              <w:rPr/>
              <w:t> </w:t>
            </w:r>
            <w:bookmarkStart w:id="146" w:name="xdx_403_eus-gaap--GrossProfit_i01T_mtGPz"/>
            <w:bookmarkEnd w:id="146"/>
          </w:p>
        </w:tc>
      </w:tr>
      <w:tr>
        <w:trPr/>
        <w:tc>
          <w:tcPr>
            <w:tcW w:w="63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7" w:name="xdx_405_eus-gaap--OperatingExpensesAbstr"/>
            <w:bookmarkEnd w:id="147"/>
          </w:p>
        </w:tc>
      </w:tr>
      <w:tr>
        <w:trPr/>
        <w:tc>
          <w:tcPr>
            <w:tcW w:w="630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8" w:name="xdx_40E_eus-gaap--ResearchAndDevelopment"/>
            <w:bookmarkEnd w:id="148"/>
          </w:p>
        </w:tc>
      </w:tr>
      <w:tr>
        <w:trPr/>
        <w:tc>
          <w:tcPr>
            <w:tcW w:w="6303"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9" w:name="xdx_40B_eus-gaap--SellingAndMarketingExp"/>
            <w:bookmarkEnd w:id="149"/>
          </w:p>
        </w:tc>
      </w:tr>
      <w:tr>
        <w:trPr/>
        <w:tc>
          <w:tcPr>
            <w:tcW w:w="6303"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0" w:name="xdx_401_eus-gaap--GeneralAndAdministrati"/>
            <w:bookmarkEnd w:id="150"/>
          </w:p>
        </w:tc>
      </w:tr>
      <w:tr>
        <w:trPr/>
        <w:tc>
          <w:tcPr>
            <w:tcW w:w="630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7,650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7,433</w:t>
            </w:r>
          </w:p>
        </w:tc>
        <w:tc>
          <w:tcPr>
            <w:tcW w:w="114" w:type="dxa"/>
            <w:tcBorders/>
            <w:shd w:fill="CCEEFF" w:val="clear"/>
            <w:vAlign w:val="center"/>
          </w:tcPr>
          <w:p>
            <w:pPr>
              <w:pStyle w:val="TableContents"/>
              <w:bidi w:val="0"/>
              <w:spacing w:before="0" w:after="283"/>
              <w:jc w:val="left"/>
              <w:rPr/>
            </w:pPr>
            <w:r>
              <w:rPr/>
              <w:t> </w:t>
            </w:r>
            <w:bookmarkStart w:id="151" w:name="xdx_408_eus-gaap--DepreciationAndAmortiz"/>
            <w:bookmarkEnd w:id="151"/>
          </w:p>
        </w:tc>
      </w:tr>
      <w:tr>
        <w:trPr/>
        <w:tc>
          <w:tcPr>
            <w:tcW w:w="6303"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14" w:type="dxa"/>
            <w:tcBorders/>
            <w:shd w:fill="FFFFFF" w:val="clear"/>
            <w:vAlign w:val="center"/>
          </w:tcPr>
          <w:p>
            <w:pPr>
              <w:pStyle w:val="TableContents"/>
              <w:bidi w:val="0"/>
              <w:spacing w:before="0" w:after="283"/>
              <w:jc w:val="left"/>
              <w:rPr/>
            </w:pPr>
            <w:r>
              <w:rPr/>
              <w:t> </w:t>
            </w:r>
            <w:bookmarkStart w:id="152" w:name="xdx_40C_eus-gaap--OperatingExpenses_i01T"/>
            <w:bookmarkEnd w:id="152"/>
          </w:p>
        </w:tc>
      </w:tr>
      <w:tr>
        <w:trPr/>
        <w:tc>
          <w:tcPr>
            <w:tcW w:w="630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7,680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3" w:name="xdx_408_eus-gaap--OperatingIncomeLoss_iT"/>
            <w:bookmarkEnd w:id="153"/>
          </w:p>
        </w:tc>
      </w:tr>
      <w:tr>
        <w:trPr/>
        <w:tc>
          <w:tcPr>
            <w:tcW w:w="63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4" w:name="xdx_40F_eus-gaap--NonoperatingIncomeExpe"/>
            <w:bookmarkEnd w:id="154"/>
          </w:p>
        </w:tc>
      </w:tr>
      <w:tr>
        <w:trPr/>
        <w:tc>
          <w:tcPr>
            <w:tcW w:w="6303"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5" w:name="xdx_40C_ecustom--GemSettlementFeeExpense"/>
            <w:bookmarkEnd w:id="155"/>
          </w:p>
        </w:tc>
      </w:tr>
      <w:tr>
        <w:trPr/>
        <w:tc>
          <w:tcPr>
            <w:tcW w:w="6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6" w:name="xdx_402_eus-gaap--InvestmentIncomeIntere"/>
            <w:bookmarkEnd w:id="156"/>
          </w:p>
        </w:tc>
      </w:tr>
      <w:tr>
        <w:trPr/>
        <w:tc>
          <w:tcPr>
            <w:tcW w:w="63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57" w:name="xdx_402_eus-gaap--InterestExpenseNonoper"/>
            <w:bookmarkEnd w:id="157"/>
          </w:p>
        </w:tc>
      </w:tr>
      <w:tr>
        <w:trPr/>
        <w:tc>
          <w:tcPr>
            <w:tcW w:w="63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58" w:name="xdx_408_eus-gaap--InterestExpenseNonoper"/>
            <w:bookmarkEnd w:id="158"/>
          </w:p>
        </w:tc>
      </w:tr>
      <w:tr>
        <w:trPr/>
        <w:tc>
          <w:tcPr>
            <w:tcW w:w="63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194</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358</w:t>
            </w:r>
          </w:p>
        </w:tc>
        <w:tc>
          <w:tcPr>
            <w:tcW w:w="114" w:type="dxa"/>
            <w:tcBorders/>
            <w:shd w:fill="FFFFFF" w:val="clear"/>
            <w:vAlign w:val="center"/>
          </w:tcPr>
          <w:p>
            <w:pPr>
              <w:pStyle w:val="TableContents"/>
              <w:bidi w:val="0"/>
              <w:spacing w:before="0" w:after="283"/>
              <w:jc w:val="left"/>
              <w:rPr/>
            </w:pPr>
            <w:r>
              <w:rPr/>
              <w:t> </w:t>
            </w:r>
            <w:bookmarkStart w:id="159" w:name="xdx_402_ecustom--GainOnExtinguishmentOfL"/>
            <w:bookmarkEnd w:id="159"/>
          </w:p>
        </w:tc>
      </w:tr>
      <w:tr>
        <w:trPr/>
        <w:tc>
          <w:tcPr>
            <w:tcW w:w="63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(4,343</w:t>
            </w:r>
          </w:p>
        </w:tc>
        <w:tc>
          <w:tcPr>
            <w:tcW w:w="114" w:type="dxa"/>
            <w:tcBorders/>
            <w:shd w:fill="CCEEFF" w:val="clear"/>
            <w:vAlign w:val="center"/>
          </w:tcPr>
          <w:p>
            <w:pPr>
              <w:pStyle w:val="TableContents"/>
              <w:bidi w:val="0"/>
              <w:spacing w:before="0" w:after="283"/>
              <w:jc w:val="left"/>
              <w:rPr/>
            </w:pPr>
            <w:r>
              <w:rPr/>
              <w:t>)</w:t>
            </w:r>
            <w:bookmarkStart w:id="160" w:name="xdx_402_ecustom--GainLossOnReleaseOfReve"/>
            <w:bookmarkEnd w:id="160"/>
          </w:p>
        </w:tc>
      </w:tr>
      <w:tr>
        <w:trPr/>
        <w:tc>
          <w:tcPr>
            <w:tcW w:w="6303" w:type="dxa"/>
            <w:tcBorders/>
            <w:shd w:fill="CCEEFF" w:val="clear"/>
            <w:vAlign w:val="center"/>
          </w:tcPr>
          <w:p>
            <w:pPr>
              <w:pStyle w:val="TableContents"/>
              <w:bidi w:val="0"/>
              <w:spacing w:before="0" w:after="283"/>
              <w:jc w:val="left"/>
              <w:rPr/>
            </w:pPr>
            <w:r>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1" w:name="xdx_409_ecustom--LossOnDebtIssuance_i01_"/>
            <w:bookmarkEnd w:id="161"/>
          </w:p>
        </w:tc>
      </w:tr>
      <w:tr>
        <w:trPr/>
        <w:tc>
          <w:tcPr>
            <w:tcW w:w="6303"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274</w:t>
            </w:r>
          </w:p>
        </w:tc>
        <w:tc>
          <w:tcPr>
            <w:tcW w:w="114" w:type="dxa"/>
            <w:tcBorders/>
            <w:shd w:fill="FFFFFF" w:val="clear"/>
            <w:vAlign w:val="center"/>
          </w:tcPr>
          <w:p>
            <w:pPr>
              <w:pStyle w:val="TableContents"/>
              <w:bidi w:val="0"/>
              <w:spacing w:before="0" w:after="283"/>
              <w:jc w:val="left"/>
              <w:rPr/>
            </w:pPr>
            <w:r>
              <w:rPr/>
              <w:t> </w:t>
            </w:r>
            <w:bookmarkStart w:id="162" w:name="xdx_404_ecustom--LossOnPrivatePlacementI"/>
            <w:bookmarkEnd w:id="162"/>
          </w:p>
        </w:tc>
      </w:tr>
      <w:tr>
        <w:trPr/>
        <w:tc>
          <w:tcPr>
            <w:tcW w:w="6303"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63" w:name="xdx_40F_ecustom--LossOnIssuanceOfTermNot"/>
            <w:bookmarkEnd w:id="163"/>
          </w:p>
        </w:tc>
      </w:tr>
      <w:tr>
        <w:trPr/>
        <w:tc>
          <w:tcPr>
            <w:tcW w:w="63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4" w:name="xdx_400_ecustom--LossOnIssuanceOfConvert"/>
            <w:bookmarkEnd w:id="164"/>
          </w:p>
        </w:tc>
      </w:tr>
      <w:tr>
        <w:trPr/>
        <w:tc>
          <w:tcPr>
            <w:tcW w:w="6303" w:type="dxa"/>
            <w:tcBorders/>
            <w:shd w:fill="CCEEFF" w:val="clear"/>
            <w:vAlign w:val="center"/>
          </w:tcPr>
          <w:p>
            <w:pPr>
              <w:pStyle w:val="TableContents"/>
              <w:bidi w:val="0"/>
              <w:spacing w:before="0" w:after="283"/>
              <w:jc w:val="left"/>
              <w:rPr/>
            </w:pPr>
            <w:r>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5" w:name="xdx_402_ecustom--LossOnConversionAndSett"/>
            <w:bookmarkEnd w:id="165"/>
          </w:p>
        </w:tc>
      </w:tr>
      <w:tr>
        <w:trPr/>
        <w:tc>
          <w:tcPr>
            <w:tcW w:w="63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6" w:name="xdx_40D_ecustom--LossOnConversionAndSett"/>
            <w:bookmarkEnd w:id="166"/>
          </w:p>
        </w:tc>
      </w:tr>
      <w:tr>
        <w:trPr/>
        <w:tc>
          <w:tcPr>
            <w:tcW w:w="6303"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7" w:name="xdx_40E_eus-gaap--GainsLossesOnExtinguis"/>
            <w:bookmarkEnd w:id="167"/>
          </w:p>
        </w:tc>
      </w:tr>
      <w:tr>
        <w:trPr/>
        <w:tc>
          <w:tcPr>
            <w:tcW w:w="6303"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1,770</w:t>
            </w:r>
          </w:p>
        </w:tc>
        <w:tc>
          <w:tcPr>
            <w:tcW w:w="114" w:type="dxa"/>
            <w:tcBorders/>
            <w:shd w:fill="FFFFFF" w:val="clear"/>
            <w:vAlign w:val="center"/>
          </w:tcPr>
          <w:p>
            <w:pPr>
              <w:pStyle w:val="TableContents"/>
              <w:bidi w:val="0"/>
              <w:spacing w:before="0" w:after="283"/>
              <w:jc w:val="left"/>
              <w:rPr/>
            </w:pPr>
            <w:r>
              <w:rPr/>
              <w:t> </w:t>
            </w:r>
            <w:bookmarkStart w:id="168" w:name="xdx_40B_eus-gaap--FairValueAdjustmentOfW"/>
            <w:bookmarkEnd w:id="168"/>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9" w:name="xdx_407_eus-gaap--FairValueAdjustmentOfW"/>
            <w:bookmarkEnd w:id="169"/>
          </w:p>
        </w:tc>
      </w:tr>
      <w:tr>
        <w:trPr/>
        <w:tc>
          <w:tcPr>
            <w:tcW w:w="6303"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0" w:name="xdx_403_eus-gaap--FairValueAdjustmentOfW"/>
            <w:bookmarkEnd w:id="170"/>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1" w:name="xdx_409_eus-gaap--EmbeddedDerivativeGain"/>
            <w:bookmarkEnd w:id="171"/>
          </w:p>
        </w:tc>
      </w:tr>
      <w:tr>
        <w:trPr/>
        <w:tc>
          <w:tcPr>
            <w:tcW w:w="63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2" w:name="xdx_408_ecustom--ChangeInFairValueOfFina"/>
            <w:bookmarkEnd w:id="172"/>
          </w:p>
        </w:tc>
      </w:tr>
      <w:tr>
        <w:trPr/>
        <w:tc>
          <w:tcPr>
            <w:tcW w:w="6303"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608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140</w:t>
            </w:r>
          </w:p>
        </w:tc>
        <w:tc>
          <w:tcPr>
            <w:tcW w:w="114" w:type="dxa"/>
            <w:tcBorders/>
            <w:shd w:fill="CCEEFF" w:val="clear"/>
            <w:vAlign w:val="center"/>
          </w:tcPr>
          <w:p>
            <w:pPr>
              <w:pStyle w:val="TableContents"/>
              <w:bidi w:val="0"/>
              <w:spacing w:before="0" w:after="283"/>
              <w:jc w:val="left"/>
              <w:rPr/>
            </w:pPr>
            <w:r>
              <w:rPr/>
              <w:t> </w:t>
            </w:r>
            <w:bookmarkStart w:id="173" w:name="xdx_40C_ecustom--ChangeInFairValueOfFina"/>
            <w:bookmarkEnd w:id="173"/>
          </w:p>
        </w:tc>
      </w:tr>
      <w:tr>
        <w:trPr/>
        <w:tc>
          <w:tcPr>
            <w:tcW w:w="6303"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bookmarkStart w:id="174" w:name="xdx_40B_ecustom--ChangeInFairValueOfFina"/>
            <w:bookmarkEnd w:id="174"/>
          </w:p>
        </w:tc>
      </w:tr>
      <w:tr>
        <w:trPr/>
        <w:tc>
          <w:tcPr>
            <w:tcW w:w="630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bookmarkStart w:id="175" w:name="xdx_40A_eus-gaap--FairValueOptionChanges"/>
            <w:bookmarkEnd w:id="175"/>
          </w:p>
        </w:tc>
      </w:tr>
      <w:tr>
        <w:trPr/>
        <w:tc>
          <w:tcPr>
            <w:tcW w:w="63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(372</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w:t>
            </w:r>
          </w:p>
        </w:tc>
        <w:tc>
          <w:tcPr>
            <w:tcW w:w="114" w:type="dxa"/>
            <w:tcBorders/>
            <w:shd w:fill="CCEEFF" w:val="clear"/>
            <w:vAlign w:val="center"/>
          </w:tcPr>
          <w:p>
            <w:pPr>
              <w:pStyle w:val="TableContents"/>
              <w:bidi w:val="0"/>
              <w:spacing w:before="0" w:after="283"/>
              <w:jc w:val="left"/>
              <w:rPr/>
            </w:pPr>
            <w:r>
              <w:rPr/>
              <w:t> </w:t>
            </w:r>
            <w:bookmarkStart w:id="176" w:name="xdx_40C_ecustom--ChangeInFairValueOfTerm"/>
            <w:bookmarkEnd w:id="176"/>
          </w:p>
        </w:tc>
      </w:tr>
      <w:tr>
        <w:trPr/>
        <w:tc>
          <w:tcPr>
            <w:tcW w:w="6303"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7" w:name="xdx_400_ecustom--ChangeInFairValueOfConv"/>
            <w:bookmarkEnd w:id="177"/>
          </w:p>
        </w:tc>
      </w:tr>
      <w:tr>
        <w:trPr/>
        <w:tc>
          <w:tcPr>
            <w:tcW w:w="63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8" w:name="xdx_408_ecustom--YorkvillePrepaymentPrem"/>
            <w:bookmarkEnd w:id="178"/>
          </w:p>
        </w:tc>
      </w:tr>
      <w:tr>
        <w:trPr/>
        <w:tc>
          <w:tcPr>
            <w:tcW w:w="6303" w:type="dxa"/>
            <w:tcBorders/>
            <w:shd w:fill="CCEEFF" w:val="clear"/>
            <w:vAlign w:val="center"/>
          </w:tcPr>
          <w:p>
            <w:pPr>
              <w:pStyle w:val="TableContents"/>
              <w:bidi w:val="0"/>
              <w:spacing w:before="0" w:after="283"/>
              <w:jc w:val="left"/>
              <w:rPr/>
            </w:pPr>
            <w:r>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9" w:name="xdx_400_ecustom--LossOnYorkvilleSepaAdva"/>
            <w:bookmarkEnd w:id="179"/>
          </w:p>
        </w:tc>
      </w:tr>
      <w:tr>
        <w:trPr/>
        <w:tc>
          <w:tcPr>
            <w:tcW w:w="6303"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28</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385</w:t>
            </w:r>
          </w:p>
        </w:tc>
        <w:tc>
          <w:tcPr>
            <w:tcW w:w="114" w:type="dxa"/>
            <w:tcBorders/>
            <w:shd w:fill="FFFFFF" w:val="clear"/>
            <w:vAlign w:val="center"/>
          </w:tcPr>
          <w:p>
            <w:pPr>
              <w:pStyle w:val="TableContents"/>
              <w:bidi w:val="0"/>
              <w:spacing w:before="0" w:after="283"/>
              <w:jc w:val="left"/>
              <w:rPr/>
            </w:pPr>
            <w:r>
              <w:rPr/>
              <w:t> </w:t>
            </w:r>
            <w:bookmarkStart w:id="180" w:name="xdx_406_ecustom--VidelloEarnoutExpense_i"/>
            <w:bookmarkEnd w:id="180"/>
          </w:p>
        </w:tc>
      </w:tr>
      <w:tr>
        <w:trPr/>
        <w:tc>
          <w:tcPr>
            <w:tcW w:w="63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1" w:name="xdx_407_ecustom--FailedAcquisitionCosts_"/>
            <w:bookmarkEnd w:id="181"/>
          </w:p>
        </w:tc>
      </w:tr>
      <w:tr>
        <w:trPr/>
        <w:tc>
          <w:tcPr>
            <w:tcW w:w="6303" w:type="dxa"/>
            <w:tcBorders/>
            <w:shd w:fill="FFFFFF" w:val="clear"/>
            <w:vAlign w:val="center"/>
          </w:tcPr>
          <w:p>
            <w:pPr>
              <w:pStyle w:val="TableContents"/>
              <w:bidi w:val="0"/>
              <w:spacing w:before="0" w:after="283"/>
              <w:jc w:val="left"/>
              <w:rPr/>
            </w:pPr>
            <w:r>
              <w:rPr/>
              <w:t>Failed acquisition costs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2" w:name="xdx_406_eus-gaap--GoodwillImpairmentLoss"/>
            <w:bookmarkEnd w:id="182"/>
          </w:p>
        </w:tc>
      </w:tr>
      <w:tr>
        <w:trPr/>
        <w:tc>
          <w:tcPr>
            <w:tcW w:w="63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3" w:name="xdx_40C_eus-gaap--OtherNonoperatingIncom"/>
            <w:bookmarkEnd w:id="183"/>
          </w:p>
        </w:tc>
      </w:tr>
      <w:tr>
        <w:trPr/>
        <w:tc>
          <w:tcPr>
            <w:tcW w:w="63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114" w:type="dxa"/>
            <w:tcBorders/>
            <w:shd w:fill="CCEEFF" w:val="clear"/>
            <w:vAlign w:val="center"/>
          </w:tcPr>
          <w:p>
            <w:pPr>
              <w:pStyle w:val="TableContents"/>
              <w:bidi w:val="0"/>
              <w:spacing w:before="0" w:after="283"/>
              <w:jc w:val="left"/>
              <w:rPr/>
            </w:pPr>
            <w:r>
              <w:rPr/>
              <w:t>)</w:t>
            </w:r>
            <w:bookmarkStart w:id="184" w:name="xdx_40E_eus-gaap--NonoperatingIncomeExpe"/>
            <w:bookmarkEnd w:id="184"/>
          </w:p>
        </w:tc>
      </w:tr>
      <w:tr>
        <w:trPr/>
        <w:tc>
          <w:tcPr>
            <w:tcW w:w="63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(1,337</w:t>
            </w:r>
          </w:p>
        </w:tc>
        <w:tc>
          <w:tcPr>
            <w:tcW w:w="114" w:type="dxa"/>
            <w:tcBorders/>
            <w:shd w:fill="FFFFFF" w:val="clear"/>
            <w:vAlign w:val="center"/>
          </w:tcPr>
          <w:p>
            <w:pPr>
              <w:pStyle w:val="TableContents"/>
              <w:bidi w:val="0"/>
              <w:spacing w:before="0" w:after="283"/>
              <w:jc w:val="left"/>
              <w:rPr/>
            </w:pPr>
            <w:r>
              <w:rPr/>
              <w:t>)</w:t>
            </w:r>
            <w:bookmarkStart w:id="185" w:name="xdx_40F_eus-gaap--IncomeLossFromContinui"/>
            <w:bookmarkEnd w:id="185"/>
          </w:p>
        </w:tc>
      </w:tr>
      <w:tr>
        <w:trPr/>
        <w:tc>
          <w:tcPr>
            <w:tcW w:w="63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(3,570</w:t>
            </w:r>
          </w:p>
        </w:tc>
        <w:tc>
          <w:tcPr>
            <w:tcW w:w="114" w:type="dxa"/>
            <w:tcBorders/>
            <w:shd w:fill="CCEEFF" w:val="clear"/>
            <w:vAlign w:val="center"/>
          </w:tcPr>
          <w:p>
            <w:pPr>
              <w:pStyle w:val="TableContents"/>
              <w:bidi w:val="0"/>
              <w:spacing w:before="0" w:after="283"/>
              <w:jc w:val="left"/>
              <w:rPr/>
            </w:pPr>
            <w:r>
              <w:rPr/>
              <w:t>)</w:t>
            </w:r>
            <w:bookmarkStart w:id="186" w:name="xdx_402_eus-gaap--IncomeTaxExpenseBenefi"/>
            <w:bookmarkEnd w:id="186"/>
          </w:p>
        </w:tc>
      </w:tr>
      <w:tr>
        <w:trPr/>
        <w:tc>
          <w:tcPr>
            <w:tcW w:w="6303"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114" w:type="dxa"/>
            <w:tcBorders/>
            <w:shd w:fill="FFFFFF" w:val="clear"/>
            <w:vAlign w:val="center"/>
          </w:tcPr>
          <w:p>
            <w:pPr>
              <w:pStyle w:val="TableContents"/>
              <w:bidi w:val="0"/>
              <w:spacing w:before="0" w:after="283"/>
              <w:jc w:val="left"/>
              <w:rPr/>
            </w:pPr>
            <w:r>
              <w:rPr/>
              <w:t> </w:t>
            </w:r>
            <w:bookmarkStart w:id="187" w:name="xdx_40F_eus-gaap--NetIncomeLoss_iT_mtNIL"/>
            <w:bookmarkEnd w:id="187"/>
          </w:p>
        </w:tc>
      </w:tr>
      <w:tr>
        <w:trPr/>
        <w:tc>
          <w:tcPr>
            <w:tcW w:w="63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8" w:name="xdx_408_ecustom--DeemedDividendWarrantMo"/>
            <w:bookmarkEnd w:id="188"/>
          </w:p>
        </w:tc>
      </w:tr>
      <w:tr>
        <w:trPr/>
        <w:tc>
          <w:tcPr>
            <w:tcW w:w="6303" w:type="dxa"/>
            <w:tcBorders/>
            <w:shd w:fill="CCEEFF" w:val="clear"/>
            <w:vAlign w:val="center"/>
          </w:tcPr>
          <w:p>
            <w:pPr>
              <w:pStyle w:val="TableContents"/>
              <w:bidi w:val="0"/>
              <w:spacing w:before="0" w:after="283"/>
              <w:jc w:val="left"/>
              <w:rPr/>
            </w:pPr>
            <w:r>
              <w:rPr/>
              <w:t>Deemed dividend - Series A and Series B warrant modification (net of tax)</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9" w:name="xdx_40C_ecustom--NetIncomeLossAvailableT"/>
            <w:bookmarkEnd w:id="189"/>
          </w:p>
        </w:tc>
      </w:tr>
      <w:tr>
        <w:trPr/>
        <w:tc>
          <w:tcPr>
            <w:tcW w:w="6303"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0" w:name="xdx_406_eus-gaap--EarningsPerShareBasicA"/>
            <w:bookmarkEnd w:id="190"/>
          </w:p>
        </w:tc>
      </w:tr>
      <w:tr>
        <w:trPr/>
        <w:tc>
          <w:tcPr>
            <w:tcW w:w="6303"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91" w:name="xdx_902_eus-gaap--EarningsPerShareDilute"/>
            <w:bookmarkStart w:id="192" w:name="xdx_906_eus-gaap--EarningsPerShareBasic_"/>
            <w:bookmarkEnd w:id="191"/>
            <w:bookmarkEnd w:id="192"/>
            <w:r>
              <w:rPr/>
              <w:t>(11.69</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93" w:name="xdx_907_eus-gaap--EarningsPerShareDilute"/>
            <w:bookmarkStart w:id="194" w:name="xdx_90E_eus-gaap--EarningsPerShareBasic_"/>
            <w:bookmarkEnd w:id="193"/>
            <w:bookmarkEnd w:id="194"/>
            <w:r>
              <w:rPr/>
              <w:t>(30.37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5" w:name="xdx_405_eus-gaap--WeightedAverageNumberO"/>
            <w:bookmarkEnd w:id="195"/>
          </w:p>
        </w:tc>
      </w:tr>
      <w:tr>
        <w:trPr/>
        <w:tc>
          <w:tcPr>
            <w:tcW w:w="6303"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96" w:name="xdx_901_eus-gaap--WeightedAverageNumberO"/>
            <w:bookmarkStart w:id="197" w:name="xdx_902_eus-gaap--WeightedAverageNumberO"/>
            <w:bookmarkEnd w:id="196"/>
            <w:bookmarkEnd w:id="197"/>
            <w:r>
              <w:rPr/>
              <w:t>720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98" w:name="xdx_909_eus-gaap--WeightedAverageNumberO"/>
            <w:bookmarkStart w:id="199" w:name="xdx_90F_eus-gaap--WeightedAverageNumberO"/>
            <w:bookmarkEnd w:id="198"/>
            <w:bookmarkEnd w:id="199"/>
            <w:r>
              <w:rPr/>
              <w:t>120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0" w:name="TM_003"/>
      <w:bookmarkEnd w:id="200"/>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three months ended March 31, 2026 and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 w:name="xdx_309_114_pn3n3_zAGCWrUz6Neb"/>
      <w:bookmarkStart w:id="202" w:name="xdx_309_114_pn3n3_zAGCWrUz6Neb"/>
      <w:bookmarkEnd w:id="202"/>
    </w:p>
    <w:tbl>
      <w:tblPr>
        <w:tblW w:w="13050" w:type="dxa"/>
        <w:jc w:val="left"/>
        <w:tblInd w:w="0" w:type="dxa"/>
        <w:tblLayout w:type="fixed"/>
        <w:tblCellMar>
          <w:top w:w="0" w:type="dxa"/>
          <w:left w:w="0" w:type="dxa"/>
          <w:bottom w:w="0" w:type="dxa"/>
          <w:right w:w="0" w:type="dxa"/>
        </w:tblCellMar>
      </w:tblPr>
      <w:tblGrid>
        <w:gridCol w:w="1340"/>
        <w:gridCol w:w="60"/>
        <w:gridCol w:w="133"/>
        <w:gridCol w:w="577"/>
        <w:gridCol w:w="60"/>
        <w:gridCol w:w="60"/>
        <w:gridCol w:w="301"/>
        <w:gridCol w:w="559"/>
        <w:gridCol w:w="60"/>
        <w:gridCol w:w="60"/>
        <w:gridCol w:w="116"/>
        <w:gridCol w:w="504"/>
        <w:gridCol w:w="60"/>
        <w:gridCol w:w="60"/>
        <w:gridCol w:w="301"/>
        <w:gridCol w:w="559"/>
        <w:gridCol w:w="60"/>
        <w:gridCol w:w="60"/>
        <w:gridCol w:w="60"/>
        <w:gridCol w:w="800"/>
        <w:gridCol w:w="60"/>
        <w:gridCol w:w="60"/>
        <w:gridCol w:w="301"/>
        <w:gridCol w:w="559"/>
        <w:gridCol w:w="260"/>
        <w:gridCol w:w="60"/>
        <w:gridCol w:w="163"/>
        <w:gridCol w:w="937"/>
        <w:gridCol w:w="60"/>
        <w:gridCol w:w="60"/>
        <w:gridCol w:w="473"/>
        <w:gridCol w:w="1137"/>
        <w:gridCol w:w="95"/>
        <w:gridCol w:w="60"/>
        <w:gridCol w:w="188"/>
        <w:gridCol w:w="1182"/>
        <w:gridCol w:w="95"/>
        <w:gridCol w:w="60"/>
        <w:gridCol w:w="242"/>
        <w:gridCol w:w="1098"/>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3" w:name="xdx_4BA_us-gaap--StatementEquityComponen"/>
            <w:bookmarkEnd w:id="20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 w:name="xdx_4B8_us-gaap--StatementEquityComponen"/>
            <w:bookmarkEnd w:id="20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5" w:name="xdx_4B0_us-gaap--StatementEquityComponen"/>
            <w:bookmarkEnd w:id="20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bookmarkStart w:id="206" w:name="xdx_4BF_us-gaap--StatementEquityComponen"/>
            <w:bookmarkEnd w:id="206"/>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7" w:name="xdx_4B6_us-gaap--StatementEquityComponen"/>
            <w:bookmarkEnd w:id="207"/>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 w:name="xdx_4B5_us-gaap--StatementEquityComponen"/>
            <w:bookmarkEnd w:id="208"/>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9" w:name="xdx_4B6_us-gaap--StatementEquityComponen"/>
            <w:bookmarkEnd w:id="209"/>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 w:name="xdx_4B6_zS5ybFZkHTd2"/>
            <w:bookmarkEnd w:id="210"/>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211" w:name="xdx_43C_c20260101__20260331_eus-gaap--St"/>
            <w:bookmarkEnd w:id="211"/>
          </w:p>
        </w:tc>
      </w:tr>
      <w:tr>
        <w:trPr/>
        <w:tc>
          <w:tcPr>
            <w:tcW w:w="1340" w:type="dxa"/>
            <w:tcBorders/>
            <w:shd w:fill="CCEEFF" w:val="clear"/>
            <w:vAlign w:val="center"/>
          </w:tcPr>
          <w:p>
            <w:pPr>
              <w:pStyle w:val="TableContents"/>
              <w:bidi w:val="0"/>
              <w:spacing w:before="0" w:after="283"/>
              <w:jc w:val="left"/>
              <w:rPr/>
            </w:pPr>
            <w:r>
              <w:rPr/>
              <w:t> </w:t>
            </w: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212" w:name="xdx_980_eus-gaap--SharesOutstanding_iS_p"/>
            <w:bookmarkEnd w:id="212"/>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bookmarkStart w:id="213" w:name="xdx_98F_eus-gaap--SharesOutstanding_iS_p"/>
            <w:bookmarkEnd w:id="213"/>
          </w:p>
        </w:tc>
        <w:tc>
          <w:tcPr>
            <w:tcW w:w="504"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4_eus-gaap--SharesOutstanding_iS_p"/>
            <w:bookmarkEnd w:id="214"/>
          </w:p>
        </w:tc>
        <w:tc>
          <w:tcPr>
            <w:tcW w:w="800" w:type="dxa"/>
            <w:tcBorders/>
            <w:shd w:fill="CCEEFF" w:val="clear"/>
            <w:vAlign w:val="center"/>
          </w:tcPr>
          <w:p>
            <w:pPr>
              <w:pStyle w:val="TableContents"/>
              <w:bidi w:val="0"/>
              <w:spacing w:before="0" w:after="283"/>
              <w:jc w:val="right"/>
              <w:rPr>
                <w:b/>
              </w:rPr>
            </w:pPr>
            <w:r>
              <w:rPr>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108,912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(100,772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b/>
              </w:rPr>
            </w:pPr>
            <w:r>
              <w:rPr>
                <w:b/>
              </w:rPr>
              <w:t>$</w:t>
            </w:r>
          </w:p>
        </w:tc>
        <w:tc>
          <w:tcPr>
            <w:tcW w:w="1098" w:type="dxa"/>
            <w:tcBorders/>
            <w:shd w:fill="CCEEFF" w:val="clear"/>
            <w:vAlign w:val="center"/>
          </w:tcPr>
          <w:p>
            <w:pPr>
              <w:pStyle w:val="TableContents"/>
              <w:bidi w:val="0"/>
              <w:spacing w:before="0" w:after="283"/>
              <w:jc w:val="right"/>
              <w:rPr>
                <w:b/>
              </w:rPr>
            </w:pPr>
            <w:r>
              <w:rPr>
                <w:b/>
              </w:rPr>
              <w:t>8,055</w:t>
            </w:r>
          </w:p>
        </w:tc>
        <w:tc>
          <w:tcPr>
            <w:tcW w:w="110" w:type="dxa"/>
            <w:tcBorders/>
            <w:shd w:fill="CCEEFF" w:val="clear"/>
            <w:vAlign w:val="center"/>
          </w:tcPr>
          <w:p>
            <w:pPr>
              <w:pStyle w:val="TableContents"/>
              <w:bidi w:val="0"/>
              <w:spacing w:before="0" w:after="283"/>
              <w:jc w:val="left"/>
              <w:rPr/>
            </w:pPr>
            <w:r>
              <w:rPr/>
              <w:t> </w:t>
            </w:r>
            <w:bookmarkStart w:id="215" w:name="xdx_40F_ecustom--IssuanceOfSharesToYorkv"/>
            <w:bookmarkEnd w:id="215"/>
          </w:p>
        </w:tc>
      </w:tr>
      <w:tr>
        <w:trPr/>
        <w:tc>
          <w:tcPr>
            <w:tcW w:w="1340" w:type="dxa"/>
            <w:tcBorders/>
            <w:shd w:fill="FFFFFF" w:val="clear"/>
            <w:vAlign w:val="center"/>
          </w:tcPr>
          <w:p>
            <w:pPr>
              <w:pStyle w:val="TableContents"/>
              <w:bidi w:val="0"/>
              <w:spacing w:before="0" w:after="283"/>
              <w:jc w:val="left"/>
              <w:rPr/>
            </w:pPr>
            <w:r>
              <w:rPr/>
              <w:t> </w:t>
            </w:r>
            <w:r>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6" w:name="xdx_98E_ecustom--IssuanceOfSharesToYorkv"/>
            <w:bookmarkEnd w:id="216"/>
          </w:p>
        </w:tc>
        <w:tc>
          <w:tcPr>
            <w:tcW w:w="800" w:type="dxa"/>
            <w:tcBorders/>
            <w:shd w:fill="FFFFFF" w:val="clear"/>
            <w:vAlign w:val="center"/>
          </w:tcPr>
          <w:p>
            <w:pPr>
              <w:pStyle w:val="TableContents"/>
              <w:bidi w:val="0"/>
              <w:spacing w:before="0" w:after="283"/>
              <w:jc w:val="right"/>
              <w:rPr/>
            </w:pPr>
            <w:r>
              <w:rPr/>
              <w:t>31,750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bookmarkStart w:id="217" w:name="xdx_402_ecustom--SharesIssuedUnderATM_zS"/>
            <w:bookmarkEnd w:id="217"/>
          </w:p>
        </w:tc>
      </w:tr>
      <w:tr>
        <w:trPr/>
        <w:tc>
          <w:tcPr>
            <w:tcW w:w="1340" w:type="dxa"/>
            <w:tcBorders/>
            <w:shd w:fill="CCEEFF" w:val="clear"/>
            <w:vAlign w:val="center"/>
          </w:tcPr>
          <w:p>
            <w:pPr>
              <w:pStyle w:val="TableContents"/>
              <w:bidi w:val="0"/>
              <w:spacing w:before="0" w:after="283"/>
              <w:jc w:val="left"/>
              <w:rPr/>
            </w:pPr>
            <w:r>
              <w:rPr/>
              <w:t> </w:t>
            </w:r>
            <w:r>
              <w:rPr/>
              <w:t>Shares issued under the ATM</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8" w:name="xdx_98D_ecustom--SharesIssuedUnderATMSha"/>
            <w:bookmarkEnd w:id="218"/>
          </w:p>
        </w:tc>
        <w:tc>
          <w:tcPr>
            <w:tcW w:w="800" w:type="dxa"/>
            <w:tcBorders/>
            <w:shd w:fill="CCEEFF" w:val="clear"/>
            <w:vAlign w:val="center"/>
          </w:tcPr>
          <w:p>
            <w:pPr>
              <w:pStyle w:val="TableContents"/>
              <w:bidi w:val="0"/>
              <w:spacing w:before="0" w:after="283"/>
              <w:jc w:val="right"/>
              <w:rPr/>
            </w:pPr>
            <w:r>
              <w:rPr/>
              <w:t>107,258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2,636</w:t>
            </w:r>
          </w:p>
        </w:tc>
        <w:tc>
          <w:tcPr>
            <w:tcW w:w="110" w:type="dxa"/>
            <w:tcBorders/>
            <w:shd w:fill="CCEEFF" w:val="clear"/>
            <w:vAlign w:val="center"/>
          </w:tcPr>
          <w:p>
            <w:pPr>
              <w:pStyle w:val="TableContents"/>
              <w:bidi w:val="0"/>
              <w:spacing w:before="0" w:after="283"/>
              <w:jc w:val="left"/>
              <w:rPr/>
            </w:pPr>
            <w:r>
              <w:rPr/>
              <w:t> </w:t>
            </w:r>
            <w:bookmarkStart w:id="219" w:name="xdx_40C_eus-gaap--StockIssuedDuringPerio"/>
            <w:bookmarkEnd w:id="219"/>
          </w:p>
        </w:tc>
      </w:tr>
      <w:tr>
        <w:trPr/>
        <w:tc>
          <w:tcPr>
            <w:tcW w:w="1340" w:type="dxa"/>
            <w:tcBorders/>
            <w:shd w:fill="FFFFFF" w:val="clear"/>
            <w:vAlign w:val="center"/>
          </w:tcPr>
          <w:p>
            <w:pPr>
              <w:pStyle w:val="TableContents"/>
              <w:bidi w:val="0"/>
              <w:spacing w:before="0" w:after="283"/>
              <w:jc w:val="left"/>
              <w:rPr/>
            </w:pPr>
            <w:r>
              <w:rPr/>
              <w:t> </w:t>
            </w:r>
            <w:r>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0" w:name="xdx_989_eus-gaap--StockIssuedDuringPerio"/>
            <w:bookmarkEnd w:id="220"/>
          </w:p>
        </w:tc>
        <w:tc>
          <w:tcPr>
            <w:tcW w:w="800" w:type="dxa"/>
            <w:tcBorders/>
            <w:shd w:fill="FFFFFF" w:val="clear"/>
            <w:vAlign w:val="center"/>
          </w:tcPr>
          <w:p>
            <w:pPr>
              <w:pStyle w:val="TableContents"/>
              <w:bidi w:val="0"/>
              <w:spacing w:before="0" w:after="283"/>
              <w:jc w:val="right"/>
              <w:rPr/>
            </w:pPr>
            <w:r>
              <w:rPr/>
              <w:t>23,813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392</w:t>
            </w:r>
          </w:p>
        </w:tc>
        <w:tc>
          <w:tcPr>
            <w:tcW w:w="110" w:type="dxa"/>
            <w:tcBorders/>
            <w:shd w:fill="FFFFFF" w:val="clear"/>
            <w:vAlign w:val="center"/>
          </w:tcPr>
          <w:p>
            <w:pPr>
              <w:pStyle w:val="TableContents"/>
              <w:bidi w:val="0"/>
              <w:spacing w:before="0" w:after="283"/>
              <w:jc w:val="left"/>
              <w:rPr/>
            </w:pPr>
            <w:r>
              <w:rPr/>
              <w:t> </w:t>
            </w:r>
            <w:bookmarkStart w:id="221" w:name="xdx_404_ecustom--SharesIssuedForPayments"/>
            <w:bookmarkEnd w:id="221"/>
          </w:p>
        </w:tc>
      </w:tr>
      <w:tr>
        <w:trPr/>
        <w:tc>
          <w:tcPr>
            <w:tcW w:w="1340" w:type="dxa"/>
            <w:tcBorders/>
            <w:shd w:fill="FFFFFF" w:val="clear"/>
            <w:vAlign w:val="center"/>
          </w:tcPr>
          <w:p>
            <w:pPr>
              <w:pStyle w:val="TableContents"/>
              <w:bidi w:val="0"/>
              <w:spacing w:before="0" w:after="283"/>
              <w:jc w:val="left"/>
              <w:rPr/>
            </w:pPr>
            <w:r>
              <w:rPr/>
              <w:t>Shares issued to J.V.B for payment of outstanding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2" w:name="xdx_403_eus-gaap--StockIssuedDuringPerio"/>
            <w:bookmarkEnd w:id="222"/>
          </w:p>
        </w:tc>
      </w:tr>
      <w:tr>
        <w:trPr/>
        <w:tc>
          <w:tcPr>
            <w:tcW w:w="1340" w:type="dxa"/>
            <w:tcBorders/>
            <w:shd w:fill="CCEEFF" w:val="clear"/>
            <w:vAlign w:val="center"/>
          </w:tcPr>
          <w:p>
            <w:pPr>
              <w:pStyle w:val="TableContents"/>
              <w:bidi w:val="0"/>
              <w:spacing w:before="0" w:after="283"/>
              <w:jc w:val="left"/>
              <w:rPr/>
            </w:pPr>
            <w:r>
              <w:rPr/>
              <w:t> </w:t>
            </w:r>
            <w:r>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3" w:name="xdx_98E_eus-gaap--StockIssuedDuringPerio"/>
            <w:bookmarkEnd w:id="223"/>
          </w:p>
        </w:tc>
        <w:tc>
          <w:tcPr>
            <w:tcW w:w="800" w:type="dxa"/>
            <w:tcBorders/>
            <w:shd w:fill="CCEEFF" w:val="clear"/>
            <w:vAlign w:val="center"/>
          </w:tcPr>
          <w:p>
            <w:pPr>
              <w:pStyle w:val="TableContents"/>
              <w:bidi w:val="0"/>
              <w:spacing w:before="0" w:after="283"/>
              <w:jc w:val="right"/>
              <w:rPr/>
            </w:pPr>
            <w:r>
              <w:rPr/>
              <w:t>143,802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 </w:t>
            </w:r>
            <w:bookmarkStart w:id="224" w:name="xdx_401_eus-gaap--StockIssuedDuringPerio"/>
            <w:bookmarkEnd w:id="224"/>
          </w:p>
        </w:tc>
      </w:tr>
      <w:tr>
        <w:trPr/>
        <w:tc>
          <w:tcPr>
            <w:tcW w:w="1340" w:type="dxa"/>
            <w:tcBorders/>
            <w:shd w:fill="FFFFFF" w:val="clear"/>
            <w:vAlign w:val="center"/>
          </w:tcPr>
          <w:p>
            <w:pPr>
              <w:pStyle w:val="TableContents"/>
              <w:bidi w:val="0"/>
              <w:spacing w:before="0" w:after="283"/>
              <w:jc w:val="left"/>
              <w:rPr/>
            </w:pPr>
            <w:r>
              <w:rPr/>
              <w:t> </w:t>
            </w:r>
            <w:r>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5" w:name="xdx_980_eus-gaap--StockIssuedDuringPerio"/>
            <w:bookmarkEnd w:id="225"/>
          </w:p>
        </w:tc>
        <w:tc>
          <w:tcPr>
            <w:tcW w:w="800" w:type="dxa"/>
            <w:tcBorders/>
            <w:shd w:fill="FFFFFF" w:val="clear"/>
            <w:vAlign w:val="center"/>
          </w:tcPr>
          <w:p>
            <w:pPr>
              <w:pStyle w:val="TableContents"/>
              <w:bidi w:val="0"/>
              <w:spacing w:before="0" w:after="283"/>
              <w:jc w:val="right"/>
              <w:rPr/>
            </w:pPr>
            <w:r>
              <w:rPr/>
              <w:t>29,306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bookmarkStart w:id="226" w:name="xdx_40C_eus-gaap--AdjustmentsToAdditiona"/>
            <w:bookmarkEnd w:id="226"/>
          </w:p>
        </w:tc>
      </w:tr>
      <w:tr>
        <w:trPr/>
        <w:tc>
          <w:tcPr>
            <w:tcW w:w="1340" w:type="dxa"/>
            <w:tcBorders/>
            <w:shd w:fill="CCEEFF" w:val="clear"/>
            <w:vAlign w:val="center"/>
          </w:tcPr>
          <w:p>
            <w:pPr>
              <w:pStyle w:val="TableContents"/>
              <w:bidi w:val="0"/>
              <w:spacing w:before="0" w:after="283"/>
              <w:jc w:val="left"/>
              <w:rPr/>
            </w:pPr>
            <w:r>
              <w:rPr/>
              <w:t> </w:t>
            </w: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1,308</w:t>
            </w:r>
          </w:p>
        </w:tc>
        <w:tc>
          <w:tcPr>
            <w:tcW w:w="110" w:type="dxa"/>
            <w:tcBorders/>
            <w:shd w:fill="CCEEFF" w:val="clear"/>
            <w:vAlign w:val="center"/>
          </w:tcPr>
          <w:p>
            <w:pPr>
              <w:pStyle w:val="TableContents"/>
              <w:bidi w:val="0"/>
              <w:spacing w:before="0" w:after="283"/>
              <w:jc w:val="left"/>
              <w:rPr/>
            </w:pPr>
            <w:r>
              <w:rPr/>
              <w:t> </w:t>
            </w:r>
            <w:bookmarkStart w:id="227" w:name="xdx_40F_eus-gaap--StockIssuedDuringPerio"/>
            <w:bookmarkEnd w:id="227"/>
          </w:p>
        </w:tc>
      </w:tr>
      <w:tr>
        <w:trPr/>
        <w:tc>
          <w:tcPr>
            <w:tcW w:w="1340" w:type="dxa"/>
            <w:tcBorders/>
            <w:shd w:fill="FFFFFF" w:val="clear"/>
            <w:vAlign w:val="center"/>
          </w:tcPr>
          <w:p>
            <w:pPr>
              <w:pStyle w:val="TableContents"/>
              <w:bidi w:val="0"/>
              <w:spacing w:before="0" w:after="283"/>
              <w:jc w:val="left"/>
              <w:rPr/>
            </w:pPr>
            <w:r>
              <w:rPr/>
              <w:t> </w:t>
            </w:r>
            <w:r>
              <w:rPr/>
              <w:t>Vesting of RSUs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8" w:name="xdx_988_eus-gaap--StockIssuedDuringPerio"/>
            <w:bookmarkEnd w:id="228"/>
          </w:p>
        </w:tc>
        <w:tc>
          <w:tcPr>
            <w:tcW w:w="800" w:type="dxa"/>
            <w:tcBorders/>
            <w:shd w:fill="FFFFFF" w:val="clear"/>
            <w:vAlign w:val="center"/>
          </w:tcPr>
          <w:p>
            <w:pPr>
              <w:pStyle w:val="TableContents"/>
              <w:bidi w:val="0"/>
              <w:spacing w:before="0" w:after="283"/>
              <w:jc w:val="right"/>
              <w:rPr/>
            </w:pPr>
            <w:r>
              <w:rPr/>
              <w:t>4,109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9" w:name="xdx_40B_eus-gaap--OtherComprehensiveInco"/>
            <w:bookmarkEnd w:id="229"/>
          </w:p>
        </w:tc>
      </w:tr>
      <w:tr>
        <w:trPr/>
        <w:tc>
          <w:tcPr>
            <w:tcW w:w="1340" w:type="dxa"/>
            <w:tcBorders/>
            <w:shd w:fill="CCEEFF" w:val="clear"/>
            <w:vAlign w:val="center"/>
          </w:tcPr>
          <w:p>
            <w:pPr>
              <w:pStyle w:val="TableContents"/>
              <w:bidi w:val="0"/>
              <w:spacing w:before="0" w:after="283"/>
              <w:jc w:val="left"/>
              <w:rPr/>
            </w:pPr>
            <w:r>
              <w:rPr/>
              <w:t> </w:t>
            </w:r>
            <w:r>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bookmarkStart w:id="230" w:name="xdx_40E_eus-gaap--NetIncomeLoss_zRCb1LbZ"/>
            <w:bookmarkEnd w:id="230"/>
          </w:p>
        </w:tc>
      </w:tr>
      <w:tr>
        <w:trPr/>
        <w:tc>
          <w:tcPr>
            <w:tcW w:w="1340" w:type="dxa"/>
            <w:tcBorders/>
            <w:shd w:fill="FFFFFF" w:val="clear"/>
            <w:vAlign w:val="center"/>
          </w:tcPr>
          <w:p>
            <w:pPr>
              <w:pStyle w:val="TableContents"/>
              <w:bidi w:val="0"/>
              <w:spacing w:before="0" w:after="283"/>
              <w:jc w:val="left"/>
              <w:rPr/>
            </w:pPr>
            <w:r>
              <w:rPr/>
              <w:t> </w:t>
            </w:r>
            <w:r>
              <w:rPr/>
              <w:t>Net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110" w:type="dxa"/>
            <w:tcBorders/>
            <w:shd w:fill="FFFFFF" w:val="clear"/>
            <w:vAlign w:val="center"/>
          </w:tcPr>
          <w:p>
            <w:pPr>
              <w:pStyle w:val="TableContents"/>
              <w:bidi w:val="0"/>
              <w:spacing w:before="0" w:after="283"/>
              <w:jc w:val="left"/>
              <w:rPr/>
            </w:pPr>
            <w:r>
              <w:rPr/>
              <w:t>)</w:t>
            </w:r>
            <w:bookmarkStart w:id="231" w:name="xdx_43C_c20260101__20260331_eus-gaap--St"/>
            <w:bookmarkEnd w:id="231"/>
          </w:p>
        </w:tc>
      </w:tr>
      <w:tr>
        <w:trPr/>
        <w:tc>
          <w:tcPr>
            <w:tcW w:w="1340" w:type="dxa"/>
            <w:tcBorders/>
            <w:shd w:fill="CCEEFF" w:val="clear"/>
            <w:vAlign w:val="center"/>
          </w:tcPr>
          <w:p>
            <w:pPr>
              <w:pStyle w:val="TableContents"/>
              <w:bidi w:val="0"/>
              <w:spacing w:before="0" w:after="283"/>
              <w:jc w:val="left"/>
              <w:rPr/>
            </w:pPr>
            <w:r>
              <w:rPr/>
              <w:t> </w:t>
            </w: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2" w:name="xdx_988_eus-gaap--SharesOutstanding_iE_p"/>
            <w:bookmarkEnd w:id="232"/>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3" w:name="xdx_983_eus-gaap--SharesOutstanding_iE_p"/>
            <w:bookmarkEnd w:id="233"/>
          </w:p>
        </w:tc>
        <w:tc>
          <w:tcPr>
            <w:tcW w:w="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4" w:name="xdx_98F_eus-gaap--SharesOutstanding_iE_p"/>
            <w:bookmarkEnd w:id="23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(109,189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2853" w:type="dxa"/>
        <w:jc w:val="left"/>
        <w:tblInd w:w="0" w:type="dxa"/>
        <w:tblLayout w:type="fixed"/>
        <w:tblCellMar>
          <w:top w:w="0" w:type="dxa"/>
          <w:left w:w="0" w:type="dxa"/>
          <w:bottom w:w="0" w:type="dxa"/>
          <w:right w:w="0" w:type="dxa"/>
        </w:tblCellMar>
      </w:tblPr>
      <w:tblGrid>
        <w:gridCol w:w="1340"/>
        <w:gridCol w:w="60"/>
        <w:gridCol w:w="136"/>
        <w:gridCol w:w="574"/>
        <w:gridCol w:w="72"/>
        <w:gridCol w:w="72"/>
        <w:gridCol w:w="317"/>
        <w:gridCol w:w="543"/>
        <w:gridCol w:w="60"/>
        <w:gridCol w:w="60"/>
        <w:gridCol w:w="145"/>
        <w:gridCol w:w="475"/>
        <w:gridCol w:w="72"/>
        <w:gridCol w:w="72"/>
        <w:gridCol w:w="340"/>
        <w:gridCol w:w="520"/>
        <w:gridCol w:w="60"/>
        <w:gridCol w:w="60"/>
        <w:gridCol w:w="60"/>
        <w:gridCol w:w="680"/>
        <w:gridCol w:w="60"/>
        <w:gridCol w:w="60"/>
        <w:gridCol w:w="301"/>
        <w:gridCol w:w="559"/>
        <w:gridCol w:w="95"/>
        <w:gridCol w:w="60"/>
        <w:gridCol w:w="187"/>
        <w:gridCol w:w="913"/>
        <w:gridCol w:w="60"/>
        <w:gridCol w:w="60"/>
        <w:gridCol w:w="563"/>
        <w:gridCol w:w="1047"/>
        <w:gridCol w:w="60"/>
        <w:gridCol w:w="60"/>
        <w:gridCol w:w="214"/>
        <w:gridCol w:w="1156"/>
        <w:gridCol w:w="95"/>
        <w:gridCol w:w="60"/>
        <w:gridCol w:w="255"/>
        <w:gridCol w:w="116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235" w:name="xdx_436_c20250101__20250331_eus-gaap--St"/>
            <w:bookmarkEnd w:id="235"/>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36" w:name="xdx_988_eus-gaap--SharesOutstanding_iS_p"/>
            <w:bookmarkEnd w:id="236"/>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b/>
              </w:rPr>
            </w:pPr>
            <w:r>
              <w:rPr>
                <w:b/>
              </w:rPr>
              <w:t>$</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237" w:name="xdx_98E_eus-gaap--SharesOutstanding_iS_p"/>
            <w:bookmarkEnd w:id="237"/>
          </w:p>
        </w:tc>
        <w:tc>
          <w:tcPr>
            <w:tcW w:w="475" w:type="dxa"/>
            <w:tcBorders/>
            <w:shd w:fill="CCEEFF" w:val="cle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b/>
              </w:rPr>
            </w:pPr>
            <w:r>
              <w:rPr>
                <w:b/>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8" w:name="xdx_98A_eus-gaap--SharesOutstanding_iS_p"/>
            <w:bookmarkEnd w:id="238"/>
          </w:p>
        </w:tc>
        <w:tc>
          <w:tcPr>
            <w:tcW w:w="680" w:type="dxa"/>
            <w:tcBorders/>
            <w:shd w:fill="CCEEFF" w:val="clear"/>
            <w:vAlign w:val="center"/>
          </w:tcPr>
          <w:p>
            <w:pPr>
              <w:pStyle w:val="TableContents"/>
              <w:bidi w:val="0"/>
              <w:spacing w:before="0" w:after="283"/>
              <w:jc w:val="right"/>
              <w:rPr>
                <w:b/>
              </w:rPr>
            </w:pPr>
            <w:r>
              <w:rPr>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b/>
              </w:rPr>
            </w:pPr>
            <w:r>
              <w:rPr>
                <w:b/>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(78,280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(2,764</w:t>
            </w:r>
          </w:p>
        </w:tc>
        <w:tc>
          <w:tcPr>
            <w:tcW w:w="110" w:type="dxa"/>
            <w:tcBorders/>
            <w:shd w:fill="CCEEFF" w:val="clear"/>
            <w:vAlign w:val="center"/>
          </w:tcPr>
          <w:p>
            <w:pPr>
              <w:pStyle w:val="TableContents"/>
              <w:bidi w:val="0"/>
              <w:spacing w:before="0" w:after="283"/>
              <w:jc w:val="left"/>
              <w:rPr>
                <w:b/>
              </w:rPr>
            </w:pPr>
            <w:r>
              <w:rPr>
                <w:b/>
              </w:rPr>
              <w:t>)</w:t>
            </w:r>
            <w:bookmarkStart w:id="239" w:name="xdx_40F_ecustom--IssuanceOfSharesToYorkv"/>
            <w:bookmarkEnd w:id="239"/>
          </w:p>
        </w:tc>
      </w:tr>
      <w:tr>
        <w:trPr/>
        <w:tc>
          <w:tcPr>
            <w:tcW w:w="1340" w:type="dxa"/>
            <w:tcBorders/>
            <w:shd w:fill="FFFFFF" w:val="clear"/>
            <w:vAlign w:val="center"/>
          </w:tcPr>
          <w:p>
            <w:pPr>
              <w:pStyle w:val="TableContents"/>
              <w:bidi w:val="0"/>
              <w:spacing w:before="0" w:after="283"/>
              <w:jc w:val="left"/>
              <w:rPr/>
            </w:pPr>
            <w:r>
              <w:rPr/>
              <w:t>Issuance of shares to Yorkville under the SEPA agreement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0" w:name="xdx_980_ecustom--IssuanceOfSharesToYorkv"/>
            <w:bookmarkEnd w:id="240"/>
          </w:p>
        </w:tc>
        <w:tc>
          <w:tcPr>
            <w:tcW w:w="680" w:type="dxa"/>
            <w:tcBorders/>
            <w:shd w:fill="FFFFFF" w:val="clear"/>
            <w:vAlign w:val="center"/>
          </w:tcPr>
          <w:p>
            <w:pPr>
              <w:pStyle w:val="TableContents"/>
              <w:bidi w:val="0"/>
              <w:spacing w:before="0" w:after="283"/>
              <w:jc w:val="right"/>
              <w:rPr/>
            </w:pPr>
            <w:r>
              <w:rPr/>
              <w:t>24,378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7,071</w:t>
            </w:r>
          </w:p>
        </w:tc>
        <w:tc>
          <w:tcPr>
            <w:tcW w:w="110" w:type="dxa"/>
            <w:tcBorders/>
            <w:shd w:fill="FFFFFF" w:val="clear"/>
            <w:vAlign w:val="center"/>
          </w:tcPr>
          <w:p>
            <w:pPr>
              <w:pStyle w:val="TableContents"/>
              <w:bidi w:val="0"/>
              <w:spacing w:before="0" w:after="283"/>
              <w:jc w:val="left"/>
              <w:rPr/>
            </w:pPr>
            <w:r>
              <w:rPr/>
              <w:t> </w:t>
            </w:r>
            <w:bookmarkStart w:id="241" w:name="xdx_407_ecustom--SharesIssuedToHudsonFor"/>
            <w:bookmarkEnd w:id="241"/>
          </w:p>
        </w:tc>
      </w:tr>
      <w:tr>
        <w:trPr/>
        <w:tc>
          <w:tcPr>
            <w:tcW w:w="1340" w:type="dxa"/>
            <w:tcBorders/>
            <w:shd w:fill="CCEEFF" w:val="clear"/>
            <w:vAlign w:val="center"/>
          </w:tcPr>
          <w:p>
            <w:pPr>
              <w:pStyle w:val="TableContents"/>
              <w:bidi w:val="0"/>
              <w:spacing w:before="0" w:after="283"/>
              <w:jc w:val="left"/>
              <w:rPr/>
            </w:pPr>
            <w:r>
              <w:rPr/>
              <w:t>Shares issued to Hudson for consulting fee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2" w:name="xdx_984_ecustom--SharesIssuedToHudsonFor"/>
            <w:bookmarkEnd w:id="242"/>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 </w:t>
            </w:r>
            <w:bookmarkStart w:id="243" w:name="xdx_400_ecustom--SharesIssuedForPaymentT"/>
            <w:bookmarkEnd w:id="243"/>
          </w:p>
        </w:tc>
      </w:tr>
      <w:tr>
        <w:trPr/>
        <w:tc>
          <w:tcPr>
            <w:tcW w:w="1340" w:type="dxa"/>
            <w:tcBorders/>
            <w:shd w:fill="FFFFFF" w:val="clear"/>
            <w:vAlign w:val="center"/>
          </w:tcPr>
          <w:p>
            <w:pPr>
              <w:pStyle w:val="TableContents"/>
              <w:bidi w:val="0"/>
              <w:spacing w:before="0" w:after="283"/>
              <w:jc w:val="left"/>
              <w:rPr/>
            </w:pPr>
            <w:r>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4" w:name="xdx_986_ecustom--SharesIssuedForPaymentT"/>
            <w:bookmarkEnd w:id="244"/>
          </w:p>
        </w:tc>
        <w:tc>
          <w:tcPr>
            <w:tcW w:w="680"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bookmarkStart w:id="245" w:name="xdx_40F_eus-gaap--StockIssuedDuringPerio"/>
            <w:bookmarkEnd w:id="245"/>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6" w:name="xdx_984_eus-gaap--StockIssuedDuringPerio"/>
            <w:bookmarkEnd w:id="246"/>
          </w:p>
        </w:tc>
        <w:tc>
          <w:tcPr>
            <w:tcW w:w="680" w:type="dxa"/>
            <w:tcBorders/>
            <w:shd w:fill="CCEEFF" w:val="clear"/>
            <w:vAlign w:val="center"/>
          </w:tcPr>
          <w:p>
            <w:pPr>
              <w:pStyle w:val="TableContents"/>
              <w:bidi w:val="0"/>
              <w:spacing w:before="0" w:after="283"/>
              <w:jc w:val="right"/>
              <w:rPr/>
            </w:pPr>
            <w:r>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7" w:name="xdx_405_ecustom--SharesIssuedForVidelloA"/>
            <w:bookmarkEnd w:id="247"/>
          </w:p>
        </w:tc>
      </w:tr>
      <w:tr>
        <w:trPr/>
        <w:tc>
          <w:tcPr>
            <w:tcW w:w="1340" w:type="dxa"/>
            <w:tcBorders/>
            <w:shd w:fill="FFFFFF" w:val="clear"/>
            <w:vAlign w:val="center"/>
          </w:tcPr>
          <w:p>
            <w:pPr>
              <w:pStyle w:val="TableContents"/>
              <w:bidi w:val="0"/>
              <w:spacing w:before="0" w:after="283"/>
              <w:jc w:val="left"/>
              <w:rPr/>
            </w:pPr>
            <w:r>
              <w:rPr/>
              <w:t>Shares issued for Vidello acquisition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8" w:name="xdx_981_ecustom--SharesIssuedForVidelloA"/>
            <w:bookmarkEnd w:id="248"/>
          </w:p>
        </w:tc>
        <w:tc>
          <w:tcPr>
            <w:tcW w:w="680" w:type="dxa"/>
            <w:tcBorders/>
            <w:shd w:fill="FFFFFF" w:val="clear"/>
            <w:vAlign w:val="center"/>
          </w:tcPr>
          <w:p>
            <w:pPr>
              <w:pStyle w:val="TableContents"/>
              <w:bidi w:val="0"/>
              <w:spacing w:before="0" w:after="283"/>
              <w:jc w:val="right"/>
              <w:rPr/>
            </w:pPr>
            <w:r>
              <w:rPr/>
              <w:t>4,491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1,662</w:t>
            </w:r>
          </w:p>
        </w:tc>
        <w:tc>
          <w:tcPr>
            <w:tcW w:w="110" w:type="dxa"/>
            <w:tcBorders/>
            <w:shd w:fill="FFFFFF" w:val="clear"/>
            <w:vAlign w:val="center"/>
          </w:tcPr>
          <w:p>
            <w:pPr>
              <w:pStyle w:val="TableContents"/>
              <w:bidi w:val="0"/>
              <w:spacing w:before="0" w:after="283"/>
              <w:jc w:val="left"/>
              <w:rPr/>
            </w:pPr>
            <w:r>
              <w:rPr/>
              <w:t> </w:t>
            </w:r>
            <w:bookmarkStart w:id="249" w:name="xdx_40C_eus-gaap--AdjustmentsToAdditiona"/>
            <w:bookmarkEnd w:id="249"/>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bookmarkStart w:id="250" w:name="xdx_40E_eus-gaap--NetIncomeLoss_zl4806nY"/>
            <w:bookmarkEnd w:id="25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110" w:type="dxa"/>
            <w:tcBorders/>
            <w:shd w:fill="FFFFFF" w:val="clear"/>
            <w:vAlign w:val="center"/>
          </w:tcPr>
          <w:p>
            <w:pPr>
              <w:pStyle w:val="TableContents"/>
              <w:bidi w:val="0"/>
              <w:spacing w:before="0" w:after="283"/>
              <w:jc w:val="left"/>
              <w:rPr/>
            </w:pPr>
            <w:r>
              <w:rPr/>
              <w:t>)</w:t>
            </w:r>
            <w:bookmarkStart w:id="251" w:name="xdx_43D_c20250101__20250331_eus-gaap--St"/>
            <w:bookmarkEnd w:id="251"/>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2" w:name="xdx_982_eus-gaap--SharesOutstanding_iE_p"/>
            <w:bookmarkEnd w:id="252"/>
          </w:p>
        </w:tc>
        <w:tc>
          <w:tcPr>
            <w:tcW w:w="5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3" w:name="xdx_980_eus-gaap--SharesOutstanding_iE_p"/>
            <w:bookmarkEnd w:id="253"/>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4" w:name="xdx_986_eus-gaap--SharesOutstanding_iE_p"/>
            <w:bookmarkEnd w:id="254"/>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5" w:name="TM_004"/>
      <w:bookmarkEnd w:id="25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6" w:name="xdx_304_112_pn3n3_zgYSdV7Sggnd"/>
      <w:bookmarkStart w:id="257" w:name="xdx_304_112_pn3n3_zgYSdV7Sggnd"/>
      <w:bookmarkEnd w:id="257"/>
    </w:p>
    <w:tbl>
      <w:tblPr>
        <w:tblW w:w="10205" w:type="dxa"/>
        <w:jc w:val="left"/>
        <w:tblInd w:w="0" w:type="dxa"/>
        <w:tblLayout w:type="fixed"/>
        <w:tblCellMar>
          <w:top w:w="0" w:type="dxa"/>
          <w:left w:w="0" w:type="dxa"/>
          <w:bottom w:w="0" w:type="dxa"/>
          <w:right w:w="0" w:type="dxa"/>
        </w:tblCellMar>
      </w:tblPr>
      <w:tblGrid>
        <w:gridCol w:w="6598"/>
        <w:gridCol w:w="60"/>
        <w:gridCol w:w="282"/>
        <w:gridCol w:w="1280"/>
        <w:gridCol w:w="191"/>
        <w:gridCol w:w="120"/>
        <w:gridCol w:w="282"/>
        <w:gridCol w:w="1280"/>
        <w:gridCol w:w="112"/>
      </w:tblGrid>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8" w:name="xdx_490_20260101__20260331_zA6F2SepKQFa"/>
            <w:bookmarkEnd w:id="258"/>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bookmarkStart w:id="259" w:name="xdx_490_20250101__20250331_zjBzs5aJvPm7"/>
            <w:bookmarkEnd w:id="259"/>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260" w:name="xdx_40D_eus-gaap--NetCashProvidedByUsedI"/>
            <w:bookmarkEnd w:id="260"/>
          </w:p>
        </w:tc>
      </w:tr>
      <w:tr>
        <w:trPr/>
        <w:tc>
          <w:tcPr>
            <w:tcW w:w="6598"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1" w:name="xdx_40B_eus-gaap--NetIncomeLoss_i01_maNC"/>
            <w:bookmarkEnd w:id="261"/>
          </w:p>
        </w:tc>
      </w:tr>
      <w:tr>
        <w:trPr/>
        <w:tc>
          <w:tcPr>
            <w:tcW w:w="659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(8,417</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bookmarkStart w:id="262" w:name="xdx_40D_eus-gaap--AdjustmentsToReconcile"/>
            <w:bookmarkEnd w:id="262"/>
          </w:p>
        </w:tc>
      </w:tr>
      <w:tr>
        <w:trPr/>
        <w:tc>
          <w:tcPr>
            <w:tcW w:w="659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3" w:name="xdx_40F_eus-gaap--ProvisionForOtherCredi"/>
            <w:bookmarkEnd w:id="263"/>
          </w:p>
        </w:tc>
      </w:tr>
      <w:tr>
        <w:trPr/>
        <w:tc>
          <w:tcPr>
            <w:tcW w:w="6598" w:type="dxa"/>
            <w:tcBorders/>
            <w:shd w:fill="CCEEFF" w:val="clear"/>
            <w:vAlign w:val="center"/>
          </w:tcPr>
          <w:p>
            <w:pPr>
              <w:pStyle w:val="TableContents"/>
              <w:bidi w:val="0"/>
              <w:spacing w:before="0" w:after="283"/>
              <w:jc w:val="left"/>
              <w:rPr/>
            </w:pPr>
            <w:r>
              <w:rPr/>
              <w:t>Provision for bad debts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4" w:name="xdx_402_eus-gaap--DepreciationAndAmortiz"/>
            <w:bookmarkEnd w:id="264"/>
          </w:p>
        </w:tc>
      </w:tr>
      <w:tr>
        <w:trPr/>
        <w:tc>
          <w:tcPr>
            <w:tcW w:w="659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305</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247</w:t>
            </w:r>
          </w:p>
        </w:tc>
        <w:tc>
          <w:tcPr>
            <w:tcW w:w="112" w:type="dxa"/>
            <w:tcBorders/>
            <w:shd w:fill="FFFFFF" w:val="clear"/>
            <w:vAlign w:val="center"/>
          </w:tcPr>
          <w:p>
            <w:pPr>
              <w:pStyle w:val="TableContents"/>
              <w:bidi w:val="0"/>
              <w:spacing w:before="0" w:after="283"/>
              <w:jc w:val="left"/>
              <w:rPr/>
            </w:pPr>
            <w:r>
              <w:rPr/>
              <w:t> </w:t>
            </w:r>
            <w:bookmarkStart w:id="265" w:name="xdx_40B_eus-gaap--ProvisionForDoubtfulAc"/>
            <w:bookmarkEnd w:id="265"/>
          </w:p>
        </w:tc>
      </w:tr>
      <w:tr>
        <w:trPr/>
        <w:tc>
          <w:tcPr>
            <w:tcW w:w="6598" w:type="dxa"/>
            <w:tcBorders/>
            <w:shd w:fill="CCEEFF" w:val="clear"/>
            <w:vAlign w:val="center"/>
          </w:tcPr>
          <w:p>
            <w:pPr>
              <w:pStyle w:val="TableContents"/>
              <w:bidi w:val="0"/>
              <w:spacing w:before="0" w:after="283"/>
              <w:jc w:val="left"/>
              <w:rPr/>
            </w:pPr>
            <w:r>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w:t>
            </w:r>
            <w:bookmarkStart w:id="266" w:name="xdx_409_ecustom--NonCashShareIssuanceFor"/>
            <w:bookmarkEnd w:id="266"/>
          </w:p>
        </w:tc>
      </w:tr>
      <w:tr>
        <w:trPr/>
        <w:tc>
          <w:tcPr>
            <w:tcW w:w="6598" w:type="dxa"/>
            <w:tcBorders/>
            <w:shd w:fill="CCEEFF" w:val="clear"/>
            <w:vAlign w:val="center"/>
          </w:tcPr>
          <w:p>
            <w:pPr>
              <w:pStyle w:val="TableContents"/>
              <w:bidi w:val="0"/>
              <w:spacing w:before="0" w:after="283"/>
              <w:jc w:val="left"/>
              <w:rPr/>
            </w:pPr>
            <w:r>
              <w:rPr/>
              <w:t>Non-cash share issuance for marketing expenses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7" w:name="xdx_403_ecustom--NonCashShareIssuanceFor"/>
            <w:bookmarkEnd w:id="267"/>
          </w:p>
        </w:tc>
      </w:tr>
      <w:tr>
        <w:trPr/>
        <w:tc>
          <w:tcPr>
            <w:tcW w:w="6598" w:type="dxa"/>
            <w:tcBorders/>
            <w:shd w:fill="FFFFFF" w:val="clear"/>
            <w:vAlign w:val="center"/>
          </w:tcPr>
          <w:p>
            <w:pPr>
              <w:pStyle w:val="TableContents"/>
              <w:bidi w:val="0"/>
              <w:spacing w:before="0" w:after="283"/>
              <w:jc w:val="left"/>
              <w:rPr/>
            </w:pPr>
            <w:r>
              <w:rPr/>
              <w:t>Non-cash shares issued for consulting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233</w:t>
            </w:r>
          </w:p>
        </w:tc>
        <w:tc>
          <w:tcPr>
            <w:tcW w:w="112" w:type="dxa"/>
            <w:tcBorders/>
            <w:shd w:fill="FFFFFF" w:val="clear"/>
            <w:vAlign w:val="center"/>
          </w:tcPr>
          <w:p>
            <w:pPr>
              <w:pStyle w:val="TableContents"/>
              <w:bidi w:val="0"/>
              <w:spacing w:before="0" w:after="283"/>
              <w:jc w:val="left"/>
              <w:rPr/>
            </w:pPr>
            <w:r>
              <w:rPr/>
              <w:t> </w:t>
            </w:r>
            <w:bookmarkStart w:id="268" w:name="xdx_409_ecustom--NonCashSettlementOfGemC"/>
            <w:bookmarkEnd w:id="268"/>
          </w:p>
        </w:tc>
      </w:tr>
      <w:tr>
        <w:trPr/>
        <w:tc>
          <w:tcPr>
            <w:tcW w:w="6598" w:type="dxa"/>
            <w:tcBorders/>
            <w:shd w:fill="FFFFFF" w:val="clear"/>
            <w:vAlign w:val="center"/>
          </w:tcPr>
          <w:p>
            <w:pPr>
              <w:pStyle w:val="TableContents"/>
              <w:bidi w:val="0"/>
              <w:spacing w:before="0" w:after="283"/>
              <w:jc w:val="left"/>
              <w:rPr/>
            </w:pPr>
            <w:r>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9" w:name="xdx_406_ecustom--DiscountAtIssuanceOnNot"/>
            <w:bookmarkEnd w:id="269"/>
          </w:p>
        </w:tc>
      </w:tr>
      <w:tr>
        <w:trPr/>
        <w:tc>
          <w:tcPr>
            <w:tcW w:w="6598" w:type="dxa"/>
            <w:tcBorders/>
            <w:shd w:fill="CCEEFF" w:val="clear"/>
            <w:vAlign w:val="center"/>
          </w:tcPr>
          <w:p>
            <w:pPr>
              <w:pStyle w:val="TableContents"/>
              <w:bidi w:val="0"/>
              <w:spacing w:before="0" w:after="283"/>
              <w:jc w:val="left"/>
              <w:rPr/>
            </w:pPr>
            <w:r>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bookmarkStart w:id="270" w:name="xdx_400_ecustom--NoncashShareIssuanceFor"/>
            <w:bookmarkEnd w:id="270"/>
          </w:p>
        </w:tc>
      </w:tr>
      <w:tr>
        <w:trPr/>
        <w:tc>
          <w:tcPr>
            <w:tcW w:w="6598" w:type="dxa"/>
            <w:tcBorders/>
            <w:shd w:fill="CCEEFF" w:val="clear"/>
            <w:vAlign w:val="center"/>
          </w:tcPr>
          <w:p>
            <w:pPr>
              <w:pStyle w:val="TableContents"/>
              <w:bidi w:val="0"/>
              <w:spacing w:before="0" w:after="283"/>
              <w:jc w:val="left"/>
              <w:rPr/>
            </w:pPr>
            <w:r>
              <w:rPr/>
              <w:t>Non-cash share issuance for Yorkville redemption premium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1" w:name="xdx_400_ecustom--NonCashInterestExpense_"/>
            <w:bookmarkEnd w:id="271"/>
          </w:p>
        </w:tc>
      </w:tr>
      <w:tr>
        <w:trPr/>
        <w:tc>
          <w:tcPr>
            <w:tcW w:w="6598" w:type="dxa"/>
            <w:tcBorders/>
            <w:shd w:fill="FFFFFF" w:val="clear"/>
            <w:vAlign w:val="center"/>
          </w:tcPr>
          <w:p>
            <w:pPr>
              <w:pStyle w:val="TableContents"/>
              <w:bidi w:val="0"/>
              <w:spacing w:before="0" w:after="283"/>
              <w:jc w:val="left"/>
              <w:rPr/>
            </w:pPr>
            <w:r>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336</w:t>
            </w:r>
          </w:p>
        </w:tc>
        <w:tc>
          <w:tcPr>
            <w:tcW w:w="112" w:type="dxa"/>
            <w:tcBorders/>
            <w:shd w:fill="FFFFFF" w:val="clear"/>
            <w:vAlign w:val="center"/>
          </w:tcPr>
          <w:p>
            <w:pPr>
              <w:pStyle w:val="TableContents"/>
              <w:bidi w:val="0"/>
              <w:spacing w:before="0" w:after="283"/>
              <w:jc w:val="left"/>
              <w:rPr/>
            </w:pPr>
            <w:r>
              <w:rPr/>
              <w:t> </w:t>
            </w:r>
            <w:bookmarkStart w:id="272" w:name="xdx_40A_eus-gaap--AmortizationOfFinancin"/>
            <w:bookmarkEnd w:id="272"/>
          </w:p>
        </w:tc>
      </w:tr>
      <w:tr>
        <w:trPr/>
        <w:tc>
          <w:tcPr>
            <w:tcW w:w="6598" w:type="dxa"/>
            <w:tcBorders/>
            <w:shd w:fill="CCEEFF" w:val="clear"/>
            <w:vAlign w:val="center"/>
          </w:tcPr>
          <w:p>
            <w:pPr>
              <w:pStyle w:val="TableContents"/>
              <w:bidi w:val="0"/>
              <w:spacing w:before="0" w:after="283"/>
              <w:jc w:val="left"/>
              <w:rPr/>
            </w:pPr>
            <w:r>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3" w:name="xdx_404_eus-gaap--OperatingLeaseRightOfU"/>
            <w:bookmarkEnd w:id="273"/>
          </w:p>
        </w:tc>
      </w:tr>
      <w:tr>
        <w:trPr/>
        <w:tc>
          <w:tcPr>
            <w:tcW w:w="6598"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 </w:t>
            </w:r>
            <w:bookmarkStart w:id="274" w:name="xdx_400_eus-gaap--ShareBasedCompensation"/>
            <w:bookmarkEnd w:id="274"/>
          </w:p>
        </w:tc>
      </w:tr>
      <w:tr>
        <w:trPr/>
        <w:tc>
          <w:tcPr>
            <w:tcW w:w="6598"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1,308</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337</w:t>
            </w:r>
          </w:p>
        </w:tc>
        <w:tc>
          <w:tcPr>
            <w:tcW w:w="112" w:type="dxa"/>
            <w:tcBorders/>
            <w:shd w:fill="FFFFFF" w:val="clear"/>
            <w:vAlign w:val="center"/>
          </w:tcPr>
          <w:p>
            <w:pPr>
              <w:pStyle w:val="TableContents"/>
              <w:bidi w:val="0"/>
              <w:spacing w:before="0" w:after="283"/>
              <w:jc w:val="left"/>
              <w:rPr/>
            </w:pPr>
            <w:r>
              <w:rPr/>
              <w:t> </w:t>
            </w:r>
            <w:bookmarkStart w:id="275" w:name="xdx_40C_ecustom--VestingOfDeferredStock_"/>
            <w:bookmarkEnd w:id="275"/>
          </w:p>
        </w:tc>
      </w:tr>
      <w:tr>
        <w:trPr/>
        <w:tc>
          <w:tcPr>
            <w:tcW w:w="6598" w:type="dxa"/>
            <w:tcBorders/>
            <w:shd w:fill="FFFFFF" w:val="clear"/>
            <w:vAlign w:val="center"/>
          </w:tcPr>
          <w:p>
            <w:pPr>
              <w:pStyle w:val="TableContents"/>
              <w:bidi w:val="0"/>
              <w:spacing w:before="0" w:after="283"/>
              <w:jc w:val="left"/>
              <w:rPr/>
            </w:pPr>
            <w:r>
              <w:rPr/>
              <w:t>Vesting of deferred stock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6" w:name="xdx_405_ecustom--NoncashOperatingLeaseEx"/>
            <w:bookmarkEnd w:id="276"/>
          </w:p>
        </w:tc>
      </w:tr>
      <w:tr>
        <w:trPr/>
        <w:tc>
          <w:tcPr>
            <w:tcW w:w="6598"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7" w:name="xdx_40B_ecustom--GainLossOnReleaseOfReve"/>
            <w:bookmarkEnd w:id="277"/>
          </w:p>
        </w:tc>
      </w:tr>
      <w:tr>
        <w:trPr/>
        <w:tc>
          <w:tcPr>
            <w:tcW w:w="6598"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8" w:name="xdx_400_ecustom--GainOnExtinguishmentOfL"/>
            <w:bookmarkEnd w:id="278"/>
          </w:p>
        </w:tc>
      </w:tr>
      <w:tr>
        <w:trPr/>
        <w:tc>
          <w:tcPr>
            <w:tcW w:w="6598"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(4,343</w:t>
            </w:r>
          </w:p>
        </w:tc>
        <w:tc>
          <w:tcPr>
            <w:tcW w:w="112" w:type="dxa"/>
            <w:tcBorders/>
            <w:shd w:fill="CCEEFF" w:val="clear"/>
            <w:vAlign w:val="center"/>
          </w:tcPr>
          <w:p>
            <w:pPr>
              <w:pStyle w:val="TableContents"/>
              <w:bidi w:val="0"/>
              <w:spacing w:before="0" w:after="283"/>
              <w:jc w:val="left"/>
              <w:rPr/>
            </w:pPr>
            <w:r>
              <w:rPr/>
              <w:t>)</w:t>
            </w:r>
            <w:bookmarkStart w:id="279" w:name="xdx_40E_ecustom--GainOnReleaseOfDueToRel"/>
            <w:bookmarkEnd w:id="279"/>
          </w:p>
        </w:tc>
      </w:tr>
      <w:tr>
        <w:trPr/>
        <w:tc>
          <w:tcPr>
            <w:tcW w:w="6598" w:type="dxa"/>
            <w:tcBorders/>
            <w:shd w:fill="CCEEFF" w:val="clear"/>
            <w:vAlign w:val="center"/>
          </w:tcPr>
          <w:p>
            <w:pPr>
              <w:pStyle w:val="TableContents"/>
              <w:bidi w:val="0"/>
              <w:spacing w:before="0" w:after="283"/>
              <w:jc w:val="left"/>
              <w:rPr/>
            </w:pPr>
            <w:r>
              <w:rPr/>
              <w:t>Gain on release of due to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0" w:name="xdx_40D_ecustom--GainLossOnConversionAnd"/>
            <w:bookmarkEnd w:id="280"/>
          </w:p>
        </w:tc>
      </w:tr>
      <w:tr>
        <w:trPr/>
        <w:tc>
          <w:tcPr>
            <w:tcW w:w="6598"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1" w:name="xdx_401_ecustom--GainLossOnConversionAnd"/>
            <w:bookmarkEnd w:id="281"/>
          </w:p>
        </w:tc>
      </w:tr>
      <w:tr>
        <w:trPr/>
        <w:tc>
          <w:tcPr>
            <w:tcW w:w="6598"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2" w:name="xdx_402_ecustom--GainsLossesOnDebtIssuan"/>
            <w:bookmarkEnd w:id="282"/>
          </w:p>
        </w:tc>
      </w:tr>
      <w:tr>
        <w:trPr/>
        <w:tc>
          <w:tcPr>
            <w:tcW w:w="6598"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274</w:t>
            </w:r>
          </w:p>
        </w:tc>
        <w:tc>
          <w:tcPr>
            <w:tcW w:w="112" w:type="dxa"/>
            <w:tcBorders/>
            <w:shd w:fill="FFFFFF" w:val="clear"/>
            <w:vAlign w:val="center"/>
          </w:tcPr>
          <w:p>
            <w:pPr>
              <w:pStyle w:val="TableContents"/>
              <w:bidi w:val="0"/>
              <w:spacing w:before="0" w:after="283"/>
              <w:jc w:val="left"/>
              <w:rPr/>
            </w:pPr>
            <w:r>
              <w:rPr/>
              <w:t> </w:t>
            </w:r>
            <w:bookmarkStart w:id="283" w:name="xdx_402_ecustom--GainLossOnIssuanceOfTer"/>
            <w:bookmarkEnd w:id="283"/>
          </w:p>
        </w:tc>
      </w:tr>
      <w:tr>
        <w:trPr/>
        <w:tc>
          <w:tcPr>
            <w:tcW w:w="6598" w:type="dxa"/>
            <w:tcBorders/>
            <w:shd w:fill="FFFFFF" w:val="clear"/>
            <w:vAlign w:val="center"/>
          </w:tcPr>
          <w:p>
            <w:pPr>
              <w:pStyle w:val="TableContents"/>
              <w:bidi w:val="0"/>
              <w:spacing w:before="0" w:after="283"/>
              <w:jc w:val="left"/>
              <w:rPr/>
            </w:pPr>
            <w:r>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4" w:name="xdx_401_ecustom--GainLossOnIssuanceOfCon"/>
            <w:bookmarkEnd w:id="284"/>
          </w:p>
        </w:tc>
      </w:tr>
      <w:tr>
        <w:trPr/>
        <w:tc>
          <w:tcPr>
            <w:tcW w:w="6598"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5" w:name="xdx_402_ecustom--GainLossOnPrivatePlacem"/>
            <w:bookmarkEnd w:id="285"/>
          </w:p>
        </w:tc>
      </w:tr>
      <w:tr>
        <w:trPr/>
        <w:tc>
          <w:tcPr>
            <w:tcW w:w="6598"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6" w:name="xdx_40F_eus-gaap--GainsLossesOnExtinguis"/>
            <w:bookmarkEnd w:id="286"/>
          </w:p>
        </w:tc>
      </w:tr>
      <w:tr>
        <w:trPr/>
        <w:tc>
          <w:tcPr>
            <w:tcW w:w="6598"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1,770</w:t>
            </w:r>
          </w:p>
        </w:tc>
        <w:tc>
          <w:tcPr>
            <w:tcW w:w="112" w:type="dxa"/>
            <w:tcBorders/>
            <w:shd w:fill="FFFFFF" w:val="clear"/>
            <w:vAlign w:val="center"/>
          </w:tcPr>
          <w:p>
            <w:pPr>
              <w:pStyle w:val="TableContents"/>
              <w:bidi w:val="0"/>
              <w:spacing w:before="0" w:after="283"/>
              <w:jc w:val="left"/>
              <w:rPr/>
            </w:pPr>
            <w:r>
              <w:rPr/>
              <w:t> </w:t>
            </w:r>
            <w:bookmarkStart w:id="287" w:name="xdx_400_eus-gaap--GainLossOnDispositionO"/>
            <w:bookmarkEnd w:id="287"/>
          </w:p>
        </w:tc>
      </w:tr>
      <w:tr>
        <w:trPr/>
        <w:tc>
          <w:tcPr>
            <w:tcW w:w="6598" w:type="dxa"/>
            <w:tcBorders/>
            <w:shd w:fill="FFFFFF" w:val="clear"/>
            <w:vAlign w:val="center"/>
          </w:tcPr>
          <w:p>
            <w:pPr>
              <w:pStyle w:val="TableContents"/>
              <w:bidi w:val="0"/>
              <w:spacing w:before="0" w:after="283"/>
              <w:jc w:val="left"/>
              <w:rPr/>
            </w:pPr>
            <w:r>
              <w:rPr/>
              <w:t>(Gain) loss on disposal or sale of equipment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8" w:name="xdx_40A_eus-gaap--GoodwillImpairmentLoss"/>
            <w:bookmarkEnd w:id="288"/>
          </w:p>
        </w:tc>
      </w:tr>
      <w:tr>
        <w:trPr/>
        <w:tc>
          <w:tcPr>
            <w:tcW w:w="6598"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9" w:name="xdx_40A_eus-gaap--OtherNonoperatingGains"/>
            <w:bookmarkEnd w:id="289"/>
          </w:p>
        </w:tc>
      </w:tr>
      <w:tr>
        <w:trPr/>
        <w:tc>
          <w:tcPr>
            <w:tcW w:w="6598" w:type="dxa"/>
            <w:tcBorders/>
            <w:shd w:fill="CCEEFF" w:val="clear"/>
            <w:vAlign w:val="center"/>
          </w:tcPr>
          <w:p>
            <w:pPr>
              <w:pStyle w:val="TableContents"/>
              <w:bidi w:val="0"/>
              <w:spacing w:before="0" w:after="283"/>
              <w:jc w:val="left"/>
              <w:rPr/>
            </w:pPr>
            <w:r>
              <w:rPr/>
              <w:t>Other (gains) losses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90" w:name="xdx_40F_ecustom--LossOnSEPAIssuance_i02_"/>
            <w:bookmarkEnd w:id="290"/>
          </w:p>
        </w:tc>
      </w:tr>
      <w:tr>
        <w:trPr/>
        <w:tc>
          <w:tcPr>
            <w:tcW w:w="6598" w:type="dxa"/>
            <w:tcBorders/>
            <w:shd w:fill="FFFFFF" w:val="clear"/>
            <w:vAlign w:val="center"/>
          </w:tcPr>
          <w:p>
            <w:pPr>
              <w:pStyle w:val="TableContents"/>
              <w:bidi w:val="0"/>
              <w:spacing w:before="0" w:after="283"/>
              <w:jc w:val="left"/>
              <w:rPr/>
            </w:pPr>
            <w:r>
              <w:rPr/>
              <w:t>Loss on SEPA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385</w:t>
            </w:r>
          </w:p>
        </w:tc>
        <w:tc>
          <w:tcPr>
            <w:tcW w:w="112" w:type="dxa"/>
            <w:tcBorders/>
            <w:shd w:fill="FFFFFF" w:val="clear"/>
            <w:vAlign w:val="center"/>
          </w:tcPr>
          <w:p>
            <w:pPr>
              <w:pStyle w:val="TableContents"/>
              <w:bidi w:val="0"/>
              <w:spacing w:before="0" w:after="283"/>
              <w:jc w:val="left"/>
              <w:rPr/>
            </w:pPr>
            <w:r>
              <w:rPr/>
              <w:t> </w:t>
            </w:r>
            <w:bookmarkStart w:id="291" w:name="xdx_407_ecustom--ChangeInFairValueOfFina"/>
            <w:bookmarkEnd w:id="291"/>
          </w:p>
        </w:tc>
      </w:tr>
      <w:tr>
        <w:trPr/>
        <w:tc>
          <w:tcPr>
            <w:tcW w:w="6598"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140</w:t>
            </w:r>
          </w:p>
        </w:tc>
        <w:tc>
          <w:tcPr>
            <w:tcW w:w="112" w:type="dxa"/>
            <w:tcBorders/>
            <w:shd w:fill="CCEEFF" w:val="clear"/>
            <w:vAlign w:val="center"/>
          </w:tcPr>
          <w:p>
            <w:pPr>
              <w:pStyle w:val="TableContents"/>
              <w:bidi w:val="0"/>
              <w:spacing w:before="0" w:after="283"/>
              <w:jc w:val="left"/>
              <w:rPr/>
            </w:pPr>
            <w:r>
              <w:rPr/>
              <w:t> </w:t>
            </w:r>
            <w:bookmarkStart w:id="292" w:name="xdx_40F_ecustom--ChangeInFairValueOfFina"/>
            <w:bookmarkEnd w:id="292"/>
          </w:p>
        </w:tc>
      </w:tr>
      <w:tr>
        <w:trPr/>
        <w:tc>
          <w:tcPr>
            <w:tcW w:w="6598"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293" w:name="xdx_40F_ecustom--ChangeInFairValueOfFina"/>
            <w:bookmarkEnd w:id="293"/>
          </w:p>
        </w:tc>
      </w:tr>
      <w:tr>
        <w:trPr/>
        <w:tc>
          <w:tcPr>
            <w:tcW w:w="659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294" w:name="xdx_409_eus-gaap--FairValueAdjustmentOfW"/>
            <w:bookmarkEnd w:id="294"/>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5" w:name="xdx_40F_eus-gaap--FairValueAdjustmentOfW"/>
            <w:bookmarkEnd w:id="295"/>
          </w:p>
        </w:tc>
      </w:tr>
      <w:tr>
        <w:trPr/>
        <w:tc>
          <w:tcPr>
            <w:tcW w:w="6598"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6" w:name="xdx_407_eus-gaap--FairValueAdjustmentOfW"/>
            <w:bookmarkEnd w:id="296"/>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7" w:name="xdx_40D_eus-gaap--EmbeddedDerivativeGain"/>
            <w:bookmarkEnd w:id="297"/>
          </w:p>
        </w:tc>
      </w:tr>
      <w:tr>
        <w:trPr/>
        <w:tc>
          <w:tcPr>
            <w:tcW w:w="6598" w:type="dxa"/>
            <w:tcBorders/>
            <w:shd w:fill="CCEEFF" w:val="clear"/>
            <w:vAlign w:val="center"/>
          </w:tcPr>
          <w:p>
            <w:pPr>
              <w:pStyle w:val="TableContents"/>
              <w:bidi w:val="0"/>
              <w:spacing w:before="0" w:after="283"/>
              <w:jc w:val="left"/>
              <w:rPr/>
            </w:pPr>
            <w:r>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8" w:name="xdx_403_eus-gaap--IncreaseDecreaseInFair"/>
            <w:bookmarkEnd w:id="298"/>
          </w:p>
        </w:tc>
      </w:tr>
      <w:tr>
        <w:trPr/>
        <w:tc>
          <w:tcPr>
            <w:tcW w:w="6598" w:type="dxa"/>
            <w:tcBorders/>
            <w:shd w:fill="CCEEFF" w:val="clear"/>
            <w:vAlign w:val="center"/>
          </w:tcPr>
          <w:p>
            <w:pPr>
              <w:pStyle w:val="TableContents"/>
              <w:bidi w:val="0"/>
              <w:spacing w:before="0" w:after="283"/>
              <w:jc w:val="left"/>
              <w:rPr/>
            </w:pPr>
            <w:r>
              <w:rPr/>
              <w:t>Change in fair value of 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(373</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w:t>
            </w:r>
          </w:p>
        </w:tc>
        <w:tc>
          <w:tcPr>
            <w:tcW w:w="112" w:type="dxa"/>
            <w:tcBorders/>
            <w:shd w:fill="CCEEFF" w:val="clear"/>
            <w:vAlign w:val="center"/>
          </w:tcPr>
          <w:p>
            <w:pPr>
              <w:pStyle w:val="TableContents"/>
              <w:bidi w:val="0"/>
              <w:spacing w:before="0" w:after="283"/>
              <w:jc w:val="left"/>
              <w:rPr/>
            </w:pPr>
            <w:r>
              <w:rPr/>
              <w:t> </w:t>
            </w:r>
            <w:bookmarkStart w:id="299" w:name="xdx_40A_ecustom--ChangeInFairValueOfConv"/>
            <w:bookmarkEnd w:id="299"/>
          </w:p>
        </w:tc>
      </w:tr>
      <w:tr>
        <w:trPr/>
        <w:tc>
          <w:tcPr>
            <w:tcW w:w="6598"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0" w:name="xdx_40D_ecustom--ChangeInFairValueOfTerm"/>
            <w:bookmarkEnd w:id="300"/>
          </w:p>
        </w:tc>
      </w:tr>
      <w:tr>
        <w:trPr/>
        <w:tc>
          <w:tcPr>
            <w:tcW w:w="6598"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1" w:name="xdx_40F_ecustom--ChangeInFairValueOfConv"/>
            <w:bookmarkEnd w:id="301"/>
          </w:p>
        </w:tc>
      </w:tr>
      <w:tr>
        <w:trPr/>
        <w:tc>
          <w:tcPr>
            <w:tcW w:w="6598"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2" w:name="xdx_40E_eus-gaap--IncreaseDecreaseInOper"/>
            <w:bookmarkEnd w:id="302"/>
          </w:p>
        </w:tc>
      </w:tr>
      <w:tr>
        <w:trPr/>
        <w:tc>
          <w:tcPr>
            <w:tcW w:w="659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3" w:name="xdx_40C_eus-gaap--IncreaseDecreaseInAcco"/>
            <w:bookmarkEnd w:id="303"/>
          </w:p>
        </w:tc>
      </w:tr>
      <w:tr>
        <w:trPr/>
        <w:tc>
          <w:tcPr>
            <w:tcW w:w="6598"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56</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(82</w:t>
            </w:r>
          </w:p>
        </w:tc>
        <w:tc>
          <w:tcPr>
            <w:tcW w:w="112" w:type="dxa"/>
            <w:tcBorders/>
            <w:shd w:fill="CCEEFF" w:val="clear"/>
            <w:vAlign w:val="center"/>
          </w:tcPr>
          <w:p>
            <w:pPr>
              <w:pStyle w:val="TableContents"/>
              <w:bidi w:val="0"/>
              <w:spacing w:before="0" w:after="283"/>
              <w:jc w:val="left"/>
              <w:rPr/>
            </w:pPr>
            <w:r>
              <w:rPr/>
              <w:t>)</w:t>
            </w:r>
            <w:bookmarkStart w:id="304" w:name="xdx_404_eus-gaap--IncreaseDecreaseInOthe"/>
            <w:bookmarkEnd w:id="304"/>
          </w:p>
        </w:tc>
      </w:tr>
      <w:tr>
        <w:trPr/>
        <w:tc>
          <w:tcPr>
            <w:tcW w:w="6598"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5" w:name="xdx_402_eus-gaap--IncreaseDecreaseInPrep"/>
            <w:bookmarkEnd w:id="305"/>
          </w:p>
        </w:tc>
      </w:tr>
      <w:tr>
        <w:trPr/>
        <w:tc>
          <w:tcPr>
            <w:tcW w:w="659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(410</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w:t>
            </w:r>
            <w:bookmarkStart w:id="306" w:name="xdx_40C_eus-gaap--IncreaseDecreaseInOthe"/>
            <w:bookmarkEnd w:id="306"/>
          </w:p>
        </w:tc>
      </w:tr>
      <w:tr>
        <w:trPr/>
        <w:tc>
          <w:tcPr>
            <w:tcW w:w="659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w:t>
            </w:r>
            <w:bookmarkStart w:id="307" w:name="xdx_400_eus-gaap--IncreaseDecreaseInAcco"/>
            <w:bookmarkEnd w:id="307"/>
          </w:p>
        </w:tc>
      </w:tr>
      <w:tr>
        <w:trPr/>
        <w:tc>
          <w:tcPr>
            <w:tcW w:w="6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477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(610</w:t>
            </w:r>
          </w:p>
        </w:tc>
        <w:tc>
          <w:tcPr>
            <w:tcW w:w="112" w:type="dxa"/>
            <w:tcBorders/>
            <w:shd w:fill="FFFFFF" w:val="clear"/>
            <w:vAlign w:val="center"/>
          </w:tcPr>
          <w:p>
            <w:pPr>
              <w:pStyle w:val="TableContents"/>
              <w:bidi w:val="0"/>
              <w:spacing w:before="0" w:after="283"/>
              <w:jc w:val="left"/>
              <w:rPr/>
            </w:pPr>
            <w:r>
              <w:rPr/>
              <w:t>)</w:t>
            </w:r>
            <w:bookmarkStart w:id="308" w:name="xdx_401_ecustom--IncreaseDecreseInAccrue"/>
            <w:bookmarkEnd w:id="308"/>
          </w:p>
        </w:tc>
      </w:tr>
      <w:tr>
        <w:trPr/>
        <w:tc>
          <w:tcPr>
            <w:tcW w:w="659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9" w:name="xdx_40B_ecustom--IncreaseDecreaseInAccru"/>
            <w:bookmarkEnd w:id="309"/>
          </w:p>
        </w:tc>
      </w:tr>
      <w:tr>
        <w:trPr/>
        <w:tc>
          <w:tcPr>
            <w:tcW w:w="6598" w:type="dxa"/>
            <w:tcBorders/>
            <w:shd w:fill="FFFFFF" w:val="clear"/>
            <w:vAlign w:val="center"/>
          </w:tcPr>
          <w:p>
            <w:pPr>
              <w:pStyle w:val="TableContents"/>
              <w:bidi w:val="0"/>
              <w:spacing w:before="0" w:after="283"/>
              <w:jc w:val="left"/>
              <w:rPr/>
            </w:pPr>
            <w:r>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0" w:name="xdx_40D_eus-gaap--IncreaseDecreaseInDefe"/>
            <w:bookmarkEnd w:id="310"/>
          </w:p>
        </w:tc>
      </w:tr>
      <w:tr>
        <w:trPr/>
        <w:tc>
          <w:tcPr>
            <w:tcW w:w="659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w:t>
            </w:r>
          </w:p>
        </w:tc>
        <w:tc>
          <w:tcPr>
            <w:tcW w:w="112" w:type="dxa"/>
            <w:tcBorders/>
            <w:shd w:fill="CCEEFF" w:val="clear"/>
            <w:vAlign w:val="center"/>
          </w:tcPr>
          <w:p>
            <w:pPr>
              <w:pStyle w:val="TableContents"/>
              <w:bidi w:val="0"/>
              <w:spacing w:before="0" w:after="283"/>
              <w:jc w:val="left"/>
              <w:rPr/>
            </w:pPr>
            <w:r>
              <w:rPr/>
              <w:t> </w:t>
            </w:r>
            <w:bookmarkStart w:id="311" w:name="xdx_40F_eus-gaap--IncreaseDecreaseInAccr"/>
            <w:bookmarkEnd w:id="311"/>
          </w:p>
        </w:tc>
      </w:tr>
      <w:tr>
        <w:trPr/>
        <w:tc>
          <w:tcPr>
            <w:tcW w:w="659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(286</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(213</w:t>
            </w:r>
          </w:p>
        </w:tc>
        <w:tc>
          <w:tcPr>
            <w:tcW w:w="112" w:type="dxa"/>
            <w:tcBorders/>
            <w:shd w:fill="FFFFFF" w:val="clear"/>
            <w:vAlign w:val="center"/>
          </w:tcPr>
          <w:p>
            <w:pPr>
              <w:pStyle w:val="TableContents"/>
              <w:bidi w:val="0"/>
              <w:spacing w:before="0" w:after="283"/>
              <w:jc w:val="left"/>
              <w:rPr/>
            </w:pPr>
            <w:r>
              <w:rPr/>
              <w:t>)</w:t>
            </w:r>
            <w:bookmarkStart w:id="312" w:name="xdx_40C_eus-gaap--IncreaseDecreaseInOper"/>
            <w:bookmarkEnd w:id="312"/>
          </w:p>
        </w:tc>
      </w:tr>
      <w:tr>
        <w:trPr/>
        <w:tc>
          <w:tcPr>
            <w:tcW w:w="659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313" w:name="xdx_402_ecustom--IncreaseDecreaseInEarno"/>
            <w:bookmarkEnd w:id="313"/>
          </w:p>
        </w:tc>
      </w:tr>
      <w:tr>
        <w:trPr/>
        <w:tc>
          <w:tcPr>
            <w:tcW w:w="6598"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(491</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170</w:t>
            </w:r>
          </w:p>
        </w:tc>
        <w:tc>
          <w:tcPr>
            <w:tcW w:w="112" w:type="dxa"/>
            <w:tcBorders/>
            <w:shd w:fill="FFFFFF" w:val="clear"/>
            <w:vAlign w:val="center"/>
          </w:tcPr>
          <w:p>
            <w:pPr>
              <w:pStyle w:val="TableContents"/>
              <w:bidi w:val="0"/>
              <w:spacing w:before="0" w:after="283"/>
              <w:jc w:val="left"/>
              <w:rPr/>
            </w:pPr>
            <w:r>
              <w:rPr/>
              <w:t> </w:t>
            </w:r>
            <w:bookmarkStart w:id="314" w:name="xdx_40F_ecustom--IncreaseDecreaseInDefer"/>
            <w:bookmarkEnd w:id="314"/>
          </w:p>
        </w:tc>
      </w:tr>
      <w:tr>
        <w:trPr/>
        <w:tc>
          <w:tcPr>
            <w:tcW w:w="6598" w:type="dxa"/>
            <w:tcBorders/>
            <w:shd w:fill="CCEEFF" w:val="clear"/>
            <w:vAlign w:val="center"/>
          </w:tcPr>
          <w:p>
            <w:pPr>
              <w:pStyle w:val="TableContents"/>
              <w:bidi w:val="0"/>
              <w:spacing w:before="0" w:after="283"/>
              <w:jc w:val="left"/>
              <w:rPr/>
            </w:pPr>
            <w:r>
              <w:rPr/>
              <w:t>Deferred revenue – long-term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23</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w:t>
            </w:r>
            <w:bookmarkStart w:id="315" w:name="xdx_401_eus-gaap--IncreaseDecreaseInDefe"/>
            <w:bookmarkEnd w:id="315"/>
          </w:p>
        </w:tc>
      </w:tr>
      <w:tr>
        <w:trPr/>
        <w:tc>
          <w:tcPr>
            <w:tcW w:w="6598"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112" w:type="dxa"/>
            <w:tcBorders/>
            <w:shd w:fill="FFFFFF" w:val="clear"/>
            <w:vAlign w:val="center"/>
          </w:tcPr>
          <w:p>
            <w:pPr>
              <w:pStyle w:val="TableContents"/>
              <w:bidi w:val="0"/>
              <w:spacing w:before="0" w:after="283"/>
              <w:jc w:val="left"/>
              <w:rPr/>
            </w:pPr>
            <w:r>
              <w:rPr/>
              <w:t>)</w:t>
            </w:r>
            <w:bookmarkStart w:id="316" w:name="xdx_40D_eus-gaap--IncreaseDecreaseInOthe"/>
            <w:bookmarkEnd w:id="316"/>
          </w:p>
        </w:tc>
      </w:tr>
      <w:tr>
        <w:trPr/>
        <w:tc>
          <w:tcPr>
            <w:tcW w:w="6598"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7" w:name="xdx_405_eus-gaap--NetCashProvidedByUsedI"/>
            <w:bookmarkEnd w:id="317"/>
          </w:p>
        </w:tc>
      </w:tr>
      <w:tr>
        <w:trPr/>
        <w:tc>
          <w:tcPr>
            <w:tcW w:w="659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(5,501</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(4,974</w:t>
            </w:r>
          </w:p>
        </w:tc>
        <w:tc>
          <w:tcPr>
            <w:tcW w:w="112" w:type="dxa"/>
            <w:tcBorders/>
            <w:shd w:fill="CCEEFF" w:val="clear"/>
            <w:vAlign w:val="center"/>
          </w:tcPr>
          <w:p>
            <w:pPr>
              <w:pStyle w:val="TableContents"/>
              <w:bidi w:val="0"/>
              <w:spacing w:before="0" w:after="283"/>
              <w:jc w:val="left"/>
              <w:rPr/>
            </w:pPr>
            <w:r>
              <w:rPr/>
              <w:t>)</w:t>
            </w:r>
            <w:bookmarkStart w:id="318" w:name="xdx_406_eus-gaap--NetCashProvidedByUsedI"/>
            <w:bookmarkEnd w:id="318"/>
          </w:p>
        </w:tc>
      </w:tr>
      <w:tr>
        <w:trPr/>
        <w:tc>
          <w:tcPr>
            <w:tcW w:w="659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9" w:name="xdx_407_eus-gaap--PaymentsToAcquireBusin"/>
            <w:bookmarkEnd w:id="319"/>
          </w:p>
        </w:tc>
      </w:tr>
      <w:tr>
        <w:trPr/>
        <w:tc>
          <w:tcPr>
            <w:tcW w:w="6598" w:type="dxa"/>
            <w:tcBorders/>
            <w:shd w:fill="CCEEFF" w:val="clear"/>
            <w:vAlign w:val="center"/>
          </w:tcPr>
          <w:p>
            <w:pPr>
              <w:pStyle w:val="TableContents"/>
              <w:bidi w:val="0"/>
              <w:spacing w:before="0" w:after="283"/>
              <w:jc w:val="left"/>
              <w:rPr/>
            </w:pPr>
            <w:r>
              <w:rPr/>
              <w:t>Cash paid for acquisition of Vidello, net of cash acquired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(2,677</w:t>
            </w:r>
          </w:p>
        </w:tc>
        <w:tc>
          <w:tcPr>
            <w:tcW w:w="112" w:type="dxa"/>
            <w:tcBorders/>
            <w:shd w:fill="CCEEFF" w:val="clear"/>
            <w:vAlign w:val="center"/>
          </w:tcPr>
          <w:p>
            <w:pPr>
              <w:pStyle w:val="TableContents"/>
              <w:bidi w:val="0"/>
              <w:spacing w:before="0" w:after="283"/>
              <w:jc w:val="left"/>
              <w:rPr/>
            </w:pPr>
            <w:r>
              <w:rPr/>
              <w:t>)</w:t>
            </w:r>
            <w:bookmarkStart w:id="320" w:name="xdx_405_eus-gaap--AssetAcquisitionConsid"/>
            <w:bookmarkEnd w:id="320"/>
          </w:p>
        </w:tc>
      </w:tr>
      <w:tr>
        <w:trPr/>
        <w:tc>
          <w:tcPr>
            <w:tcW w:w="6598" w:type="dxa"/>
            <w:tcBorders/>
            <w:shd w:fill="CCEEFF" w:val="clear"/>
            <w:vAlign w:val="center"/>
          </w:tcPr>
          <w:p>
            <w:pPr>
              <w:pStyle w:val="TableContents"/>
              <w:bidi w:val="0"/>
              <w:spacing w:before="0" w:after="283"/>
              <w:jc w:val="left"/>
              <w:rPr/>
            </w:pPr>
            <w:r>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1" w:name="xdx_400_eus-gaap--CashAcquiredFromAcquis"/>
            <w:bookmarkEnd w:id="321"/>
          </w:p>
        </w:tc>
      </w:tr>
      <w:tr>
        <w:trPr/>
        <w:tc>
          <w:tcPr>
            <w:tcW w:w="6598" w:type="dxa"/>
            <w:tcBorders/>
            <w:shd w:fill="CCEEFF" w:val="clear"/>
            <w:vAlign w:val="center"/>
          </w:tcPr>
          <w:p>
            <w:pPr>
              <w:pStyle w:val="TableContents"/>
              <w:bidi w:val="0"/>
              <w:spacing w:before="0" w:after="283"/>
              <w:jc w:val="left"/>
              <w:rPr/>
            </w:pPr>
            <w:r>
              <w:rPr/>
              <w:t>Cash acquired in acquisition of OpenReel</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2" w:name="xdx_40F_eus-gaap--PaymentsToDevelopSoftw"/>
            <w:bookmarkEnd w:id="322"/>
          </w:p>
        </w:tc>
      </w:tr>
      <w:tr>
        <w:trPr/>
        <w:tc>
          <w:tcPr>
            <w:tcW w:w="6598" w:type="dxa"/>
            <w:tcBorders/>
            <w:shd w:fill="CCEEFF" w:val="clear"/>
            <w:vAlign w:val="center"/>
          </w:tcPr>
          <w:p>
            <w:pPr>
              <w:pStyle w:val="TableContents"/>
              <w:bidi w:val="0"/>
              <w:spacing w:before="0" w:after="283"/>
              <w:jc w:val="left"/>
              <w:rPr/>
            </w:pPr>
            <w:r>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3" w:name="xdx_401_eus-gaap--ProceedsFromSaleOfMach"/>
            <w:bookmarkEnd w:id="323"/>
          </w:p>
        </w:tc>
      </w:tr>
      <w:tr>
        <w:trPr/>
        <w:tc>
          <w:tcPr>
            <w:tcW w:w="6598" w:type="dxa"/>
            <w:tcBorders/>
            <w:shd w:fill="CCEEFF" w:val="clear"/>
            <w:vAlign w:val="center"/>
          </w:tcPr>
          <w:p>
            <w:pPr>
              <w:pStyle w:val="TableContents"/>
              <w:bidi w:val="0"/>
              <w:spacing w:before="0" w:after="283"/>
              <w:jc w:val="left"/>
              <w:rPr/>
            </w:pPr>
            <w:r>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4" w:name="xdx_406_eus-gaap--PaymentsToAcquirePrope"/>
            <w:bookmarkEnd w:id="324"/>
          </w:p>
        </w:tc>
      </w:tr>
      <w:tr>
        <w:trPr/>
        <w:tc>
          <w:tcPr>
            <w:tcW w:w="659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5" w:name="xdx_403_eus-gaap--NetCashProvidedByUsedI"/>
            <w:bookmarkEnd w:id="325"/>
          </w:p>
        </w:tc>
      </w:tr>
      <w:tr>
        <w:trPr/>
        <w:tc>
          <w:tcPr>
            <w:tcW w:w="6598"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112" w:type="dxa"/>
            <w:tcBorders/>
            <w:shd w:fill="FFFFFF" w:val="clear"/>
            <w:vAlign w:val="center"/>
          </w:tcPr>
          <w:p>
            <w:pPr>
              <w:pStyle w:val="TableContents"/>
              <w:bidi w:val="0"/>
              <w:spacing w:before="0" w:after="283"/>
              <w:jc w:val="left"/>
              <w:rPr/>
            </w:pPr>
            <w:r>
              <w:rPr/>
              <w:t>)</w:t>
            </w:r>
            <w:bookmarkStart w:id="326" w:name="xdx_408_eus-gaap--NetCashProvidedByUsedI"/>
            <w:bookmarkEnd w:id="326"/>
          </w:p>
        </w:tc>
      </w:tr>
      <w:tr>
        <w:trPr/>
        <w:tc>
          <w:tcPr>
            <w:tcW w:w="659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7" w:name="xdx_408_ecustom--PaymentOfGEMCommitmentF"/>
            <w:bookmarkEnd w:id="327"/>
          </w:p>
        </w:tc>
      </w:tr>
      <w:tr>
        <w:trPr/>
        <w:tc>
          <w:tcPr>
            <w:tcW w:w="6598" w:type="dxa"/>
            <w:tcBorders/>
            <w:shd w:fill="FFFFFF" w:val="clear"/>
            <w:vAlign w:val="center"/>
          </w:tcPr>
          <w:p>
            <w:pPr>
              <w:pStyle w:val="TableContents"/>
              <w:bidi w:val="0"/>
              <w:spacing w:before="0" w:after="283"/>
              <w:jc w:val="left"/>
              <w:rPr/>
            </w:pPr>
            <w:r>
              <w:rPr/>
              <w:t>Payment of GEM commitment fee promissory note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(215</w:t>
            </w:r>
          </w:p>
        </w:tc>
        <w:tc>
          <w:tcPr>
            <w:tcW w:w="112" w:type="dxa"/>
            <w:tcBorders/>
            <w:shd w:fill="FFFFFF" w:val="clear"/>
            <w:vAlign w:val="center"/>
          </w:tcPr>
          <w:p>
            <w:pPr>
              <w:pStyle w:val="TableContents"/>
              <w:bidi w:val="0"/>
              <w:spacing w:before="0" w:after="283"/>
              <w:jc w:val="left"/>
              <w:rPr/>
            </w:pPr>
            <w:r>
              <w:rPr/>
              <w:t>)</w:t>
            </w:r>
            <w:bookmarkStart w:id="328" w:name="xdx_40B_eus-gaap--PaymentsOfMergerRelate"/>
            <w:bookmarkEnd w:id="328"/>
          </w:p>
        </w:tc>
      </w:tr>
      <w:tr>
        <w:trPr/>
        <w:tc>
          <w:tcPr>
            <w:tcW w:w="6598" w:type="dxa"/>
            <w:tcBorders/>
            <w:shd w:fill="FFFFFF" w:val="clear"/>
            <w:vAlign w:val="center"/>
          </w:tcPr>
          <w:p>
            <w:pPr>
              <w:pStyle w:val="TableContents"/>
              <w:bidi w:val="0"/>
              <w:spacing w:before="0" w:after="283"/>
              <w:jc w:val="left"/>
              <w:rPr/>
            </w:pPr>
            <w:r>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29" w:name="xdx_400_ecustom--ProceedsFromRelatedPart"/>
            <w:bookmarkEnd w:id="329"/>
          </w:p>
        </w:tc>
      </w:tr>
      <w:tr>
        <w:trPr/>
        <w:tc>
          <w:tcPr>
            <w:tcW w:w="6598" w:type="dxa"/>
            <w:tcBorders/>
            <w:shd w:fill="FFFFFF" w:val="clear"/>
            <w:vAlign w:val="center"/>
          </w:tcPr>
          <w:p>
            <w:pPr>
              <w:pStyle w:val="TableContents"/>
              <w:bidi w:val="0"/>
              <w:spacing w:before="0" w:after="283"/>
              <w:jc w:val="left"/>
              <w:rPr/>
            </w:pPr>
            <w:r>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0" w:name="xdx_40C_eus-gaap--RepaymentsOfRelatedPar"/>
            <w:bookmarkEnd w:id="330"/>
          </w:p>
        </w:tc>
      </w:tr>
      <w:tr>
        <w:trPr/>
        <w:tc>
          <w:tcPr>
            <w:tcW w:w="6598" w:type="dxa"/>
            <w:tcBorders/>
            <w:shd w:fill="FFFFFF" w:val="clear"/>
            <w:vAlign w:val="center"/>
          </w:tcPr>
          <w:p>
            <w:pPr>
              <w:pStyle w:val="TableContents"/>
              <w:bidi w:val="0"/>
              <w:spacing w:before="0" w:after="283"/>
              <w:jc w:val="left"/>
              <w:rPr/>
            </w:pPr>
            <w:r>
              <w:rPr/>
              <w:t>Repayment of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1" w:name="xdx_40E_eus-gaap--PaymentsForRepurchaseO"/>
            <w:bookmarkEnd w:id="331"/>
          </w:p>
        </w:tc>
      </w:tr>
      <w:tr>
        <w:trPr/>
        <w:tc>
          <w:tcPr>
            <w:tcW w:w="6598" w:type="dxa"/>
            <w:tcBorders/>
            <w:shd w:fill="FFFFFF" w:val="clear"/>
            <w:vAlign w:val="center"/>
          </w:tcPr>
          <w:p>
            <w:pPr>
              <w:pStyle w:val="TableContents"/>
              <w:bidi w:val="0"/>
              <w:spacing w:before="0" w:after="283"/>
              <w:jc w:val="left"/>
              <w:rPr/>
            </w:pPr>
            <w:r>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2" w:name="xdx_404_ecustom--ProceedsFromYorkvilleRe"/>
            <w:bookmarkEnd w:id="332"/>
          </w:p>
        </w:tc>
      </w:tr>
      <w:tr>
        <w:trPr/>
        <w:tc>
          <w:tcPr>
            <w:tcW w:w="6598" w:type="dxa"/>
            <w:tcBorders/>
            <w:shd w:fill="FFFFFF" w:val="clear"/>
            <w:vAlign w:val="center"/>
          </w:tcPr>
          <w:p>
            <w:pPr>
              <w:pStyle w:val="TableContents"/>
              <w:bidi w:val="0"/>
              <w:spacing w:before="0" w:after="283"/>
              <w:jc w:val="left"/>
              <w:rPr/>
            </w:pPr>
            <w:r>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3" w:name="xdx_402_ecustom--ProceedsReceivedForExer"/>
            <w:bookmarkEnd w:id="333"/>
          </w:p>
        </w:tc>
      </w:tr>
      <w:tr>
        <w:trPr/>
        <w:tc>
          <w:tcPr>
            <w:tcW w:w="6598" w:type="dxa"/>
            <w:tcBorders/>
            <w:shd w:fill="FFFFFF" w:val="clear"/>
            <w:vAlign w:val="center"/>
          </w:tcPr>
          <w:p>
            <w:pPr>
              <w:pStyle w:val="TableContents"/>
              <w:bidi w:val="0"/>
              <w:spacing w:before="0" w:after="283"/>
              <w:jc w:val="left"/>
              <w:rPr/>
            </w:pPr>
            <w:r>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4" w:name="xdx_407_eus-gaap--PaymentsForRepurchaseO"/>
            <w:bookmarkEnd w:id="334"/>
          </w:p>
        </w:tc>
      </w:tr>
      <w:tr>
        <w:trPr/>
        <w:tc>
          <w:tcPr>
            <w:tcW w:w="6598" w:type="dxa"/>
            <w:tcBorders/>
            <w:shd w:fill="FFFFFF" w:val="clear"/>
            <w:vAlign w:val="center"/>
          </w:tcPr>
          <w:p>
            <w:pPr>
              <w:pStyle w:val="TableContents"/>
              <w:bidi w:val="0"/>
              <w:spacing w:before="0" w:after="283"/>
              <w:jc w:val="left"/>
              <w:rPr/>
            </w:pPr>
            <w:r>
              <w:rPr/>
              <w:t>Payment of deferred offering costs – ATM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5" w:name="xdx_40D_ecustom--ProceedsFromIssuanceOfC"/>
            <w:bookmarkEnd w:id="335"/>
          </w:p>
        </w:tc>
      </w:tr>
      <w:tr>
        <w:trPr/>
        <w:tc>
          <w:tcPr>
            <w:tcW w:w="6598" w:type="dxa"/>
            <w:tcBorders/>
            <w:shd w:fill="FFFFFF" w:val="clear"/>
            <w:vAlign w:val="center"/>
          </w:tcPr>
          <w:p>
            <w:pPr>
              <w:pStyle w:val="TableContents"/>
              <w:bidi w:val="0"/>
              <w:spacing w:before="0" w:after="283"/>
              <w:jc w:val="left"/>
              <w:rPr/>
            </w:pPr>
            <w:r>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6" w:name="xdx_40D_ecustom--ProceedsFromSharesIssue"/>
            <w:bookmarkEnd w:id="336"/>
          </w:p>
        </w:tc>
      </w:tr>
      <w:tr>
        <w:trPr/>
        <w:tc>
          <w:tcPr>
            <w:tcW w:w="6598" w:type="dxa"/>
            <w:tcBorders/>
            <w:shd w:fill="FFFFFF" w:val="clear"/>
            <w:vAlign w:val="center"/>
          </w:tcPr>
          <w:p>
            <w:pPr>
              <w:pStyle w:val="TableContents"/>
              <w:bidi w:val="0"/>
              <w:spacing w:before="0" w:after="283"/>
              <w:jc w:val="left"/>
              <w:rPr/>
            </w:pPr>
            <w:r>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7" w:name="xdx_408_eus-gaap--RepaymentsOfConvertibl"/>
            <w:bookmarkEnd w:id="337"/>
          </w:p>
        </w:tc>
      </w:tr>
      <w:tr>
        <w:trPr/>
        <w:tc>
          <w:tcPr>
            <w:tcW w:w="6598" w:type="dxa"/>
            <w:tcBorders/>
            <w:shd w:fill="CCEEFF" w:val="clear"/>
            <w:vAlign w:val="center"/>
          </w:tcPr>
          <w:p>
            <w:pPr>
              <w:pStyle w:val="TableContents"/>
              <w:bidi w:val="0"/>
              <w:spacing w:before="0" w:after="283"/>
              <w:jc w:val="left"/>
              <w:rPr/>
            </w:pPr>
            <w:r>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(647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(1,877</w:t>
            </w:r>
          </w:p>
        </w:tc>
        <w:tc>
          <w:tcPr>
            <w:tcW w:w="112" w:type="dxa"/>
            <w:tcBorders/>
            <w:shd w:fill="CCEEFF" w:val="clear"/>
            <w:vAlign w:val="center"/>
          </w:tcPr>
          <w:p>
            <w:pPr>
              <w:pStyle w:val="TableContents"/>
              <w:bidi w:val="0"/>
              <w:spacing w:before="0" w:after="283"/>
              <w:jc w:val="left"/>
              <w:rPr/>
            </w:pPr>
            <w:r>
              <w:rPr/>
              <w:t>)</w:t>
            </w:r>
            <w:bookmarkStart w:id="338" w:name="xdx_407_eus-gaap--ProceedsFromIssuanceOf"/>
            <w:bookmarkEnd w:id="338"/>
          </w:p>
        </w:tc>
      </w:tr>
      <w:tr>
        <w:trPr/>
        <w:tc>
          <w:tcPr>
            <w:tcW w:w="6598" w:type="dxa"/>
            <w:tcBorders/>
            <w:shd w:fill="FFFFFF" w:val="clear"/>
            <w:vAlign w:val="center"/>
          </w:tcPr>
          <w:p>
            <w:pPr>
              <w:pStyle w:val="TableContents"/>
              <w:bidi w:val="0"/>
              <w:spacing w:before="0" w:after="283"/>
              <w:jc w:val="left"/>
              <w:rPr/>
            </w:pPr>
            <w:r>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504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4,000</w:t>
            </w:r>
          </w:p>
        </w:tc>
        <w:tc>
          <w:tcPr>
            <w:tcW w:w="112" w:type="dxa"/>
            <w:tcBorders/>
            <w:shd w:fill="FFFFFF" w:val="clear"/>
            <w:vAlign w:val="center"/>
          </w:tcPr>
          <w:p>
            <w:pPr>
              <w:pStyle w:val="TableContents"/>
              <w:bidi w:val="0"/>
              <w:spacing w:before="0" w:after="283"/>
              <w:jc w:val="left"/>
              <w:rPr/>
            </w:pPr>
            <w:r>
              <w:rPr/>
              <w:t> </w:t>
            </w:r>
            <w:bookmarkStart w:id="339" w:name="xdx_408_eus-gaap--RepaymentsOfNotesPayab"/>
            <w:bookmarkEnd w:id="339"/>
          </w:p>
        </w:tc>
      </w:tr>
      <w:tr>
        <w:trPr/>
        <w:tc>
          <w:tcPr>
            <w:tcW w:w="6598" w:type="dxa"/>
            <w:tcBorders/>
            <w:shd w:fill="CCEEFF" w:val="clear"/>
            <w:vAlign w:val="center"/>
          </w:tcPr>
          <w:p>
            <w:pPr>
              <w:pStyle w:val="TableContents"/>
              <w:bidi w:val="0"/>
              <w:spacing w:before="0" w:after="283"/>
              <w:jc w:val="left"/>
              <w:rPr/>
            </w:pPr>
            <w:r>
              <w:rPr/>
              <w:t>Repayment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(3,686</w:t>
            </w:r>
          </w:p>
        </w:tc>
        <w:tc>
          <w:tcPr>
            <w:tcW w:w="112" w:type="dxa"/>
            <w:tcBorders/>
            <w:shd w:fill="CCEEFF" w:val="clear"/>
            <w:vAlign w:val="center"/>
          </w:tcPr>
          <w:p>
            <w:pPr>
              <w:pStyle w:val="TableContents"/>
              <w:bidi w:val="0"/>
              <w:spacing w:before="0" w:after="283"/>
              <w:jc w:val="left"/>
              <w:rPr/>
            </w:pPr>
            <w:r>
              <w:rPr/>
              <w:t>)</w:t>
            </w:r>
            <w:bookmarkStart w:id="340" w:name="xdx_40B_ecustom--PartialRepaymentOfConve"/>
            <w:bookmarkEnd w:id="340"/>
          </w:p>
        </w:tc>
      </w:tr>
      <w:tr>
        <w:trPr/>
        <w:tc>
          <w:tcPr>
            <w:tcW w:w="6598" w:type="dxa"/>
            <w:tcBorders/>
            <w:shd w:fill="FFFFFF" w:val="clear"/>
            <w:vAlign w:val="center"/>
          </w:tcPr>
          <w:p>
            <w:pPr>
              <w:pStyle w:val="TableContents"/>
              <w:bidi w:val="0"/>
              <w:spacing w:before="0" w:after="283"/>
              <w:jc w:val="left"/>
              <w:rPr/>
            </w:pPr>
            <w:r>
              <w:rPr/>
              <w:t>Partial repayment of convertible notes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(870</w:t>
            </w:r>
          </w:p>
        </w:tc>
        <w:tc>
          <w:tcPr>
            <w:tcW w:w="112" w:type="dxa"/>
            <w:tcBorders/>
            <w:shd w:fill="FFFFFF" w:val="clear"/>
            <w:vAlign w:val="center"/>
          </w:tcPr>
          <w:p>
            <w:pPr>
              <w:pStyle w:val="TableContents"/>
              <w:bidi w:val="0"/>
              <w:spacing w:before="0" w:after="283"/>
              <w:jc w:val="left"/>
              <w:rPr/>
            </w:pPr>
            <w:r>
              <w:rPr/>
              <w:t>)</w:t>
            </w:r>
            <w:bookmarkStart w:id="341" w:name="xdx_407_eus-gaap--ProceedsFromConvertibl"/>
            <w:bookmarkEnd w:id="341"/>
          </w:p>
        </w:tc>
      </w:tr>
      <w:tr>
        <w:trPr/>
        <w:tc>
          <w:tcPr>
            <w:tcW w:w="6598" w:type="dxa"/>
            <w:tcBorders/>
            <w:shd w:fill="CCEEFF" w:val="clear"/>
            <w:vAlign w:val="center"/>
          </w:tcPr>
          <w:p>
            <w:pPr>
              <w:pStyle w:val="TableContents"/>
              <w:bidi w:val="0"/>
              <w:spacing w:before="0" w:after="283"/>
              <w:jc w:val="left"/>
              <w:rPr/>
            </w:pPr>
            <w:r>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2,121</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3,258</w:t>
            </w:r>
          </w:p>
        </w:tc>
        <w:tc>
          <w:tcPr>
            <w:tcW w:w="112" w:type="dxa"/>
            <w:tcBorders/>
            <w:shd w:fill="CCEEFF" w:val="clear"/>
            <w:vAlign w:val="center"/>
          </w:tcPr>
          <w:p>
            <w:pPr>
              <w:pStyle w:val="TableContents"/>
              <w:bidi w:val="0"/>
              <w:spacing w:before="0" w:after="283"/>
              <w:jc w:val="left"/>
              <w:rPr/>
            </w:pPr>
            <w:r>
              <w:rPr/>
              <w:t> </w:t>
            </w:r>
            <w:bookmarkStart w:id="342" w:name="xdx_401_ecustom--ProceedsFromIssuanceOfS"/>
            <w:bookmarkEnd w:id="342"/>
          </w:p>
        </w:tc>
      </w:tr>
      <w:tr>
        <w:trPr/>
        <w:tc>
          <w:tcPr>
            <w:tcW w:w="6598" w:type="dxa"/>
            <w:tcBorders/>
            <w:shd w:fill="FFFFFF" w:val="clear"/>
            <w:vAlign w:val="center"/>
          </w:tcPr>
          <w:p>
            <w:pPr>
              <w:pStyle w:val="TableContents"/>
              <w:bidi w:val="0"/>
              <w:spacing w:before="0" w:after="283"/>
              <w:jc w:val="left"/>
              <w:rPr/>
            </w:pPr>
            <w:r>
              <w:rPr/>
              <w:t>Proceeds from issuance of shares to Yorkville under the SEPA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6,687</w:t>
            </w:r>
          </w:p>
        </w:tc>
        <w:tc>
          <w:tcPr>
            <w:tcW w:w="112" w:type="dxa"/>
            <w:tcBorders/>
            <w:shd w:fill="FFFFFF" w:val="clear"/>
            <w:vAlign w:val="center"/>
          </w:tcPr>
          <w:p>
            <w:pPr>
              <w:pStyle w:val="TableContents"/>
              <w:bidi w:val="0"/>
              <w:spacing w:before="0" w:after="283"/>
              <w:jc w:val="left"/>
              <w:rPr/>
            </w:pPr>
            <w:r>
              <w:rPr/>
              <w:t> </w:t>
            </w:r>
            <w:bookmarkStart w:id="343" w:name="xdx_40D_ecustom--ProceedsFromIssuanceOfS"/>
            <w:bookmarkEnd w:id="343"/>
          </w:p>
        </w:tc>
      </w:tr>
      <w:tr>
        <w:trPr/>
        <w:tc>
          <w:tcPr>
            <w:tcW w:w="6598" w:type="dxa"/>
            <w:tcBorders/>
            <w:shd w:fill="CCEEFF" w:val="clear"/>
            <w:vAlign w:val="center"/>
          </w:tcPr>
          <w:p>
            <w:pPr>
              <w:pStyle w:val="TableContents"/>
              <w:bidi w:val="0"/>
              <w:spacing w:before="0" w:after="283"/>
              <w:jc w:val="left"/>
              <w:rPr/>
            </w:pPr>
            <w:r>
              <w:rPr/>
              <w:t>Proceeds from shares issued to Verista</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50</w:t>
            </w:r>
          </w:p>
        </w:tc>
        <w:tc>
          <w:tcPr>
            <w:tcW w:w="112" w:type="dxa"/>
            <w:tcBorders/>
            <w:shd w:fill="CCEEFF" w:val="clear"/>
            <w:vAlign w:val="center"/>
          </w:tcPr>
          <w:p>
            <w:pPr>
              <w:pStyle w:val="TableContents"/>
              <w:bidi w:val="0"/>
              <w:spacing w:before="0" w:after="283"/>
              <w:jc w:val="left"/>
              <w:rPr/>
            </w:pPr>
            <w:r>
              <w:rPr/>
              <w:t> </w:t>
            </w:r>
            <w:bookmarkStart w:id="344" w:name="xdx_40D_ecustom--ProceedsFromIssuanceOfC"/>
            <w:bookmarkEnd w:id="344"/>
          </w:p>
        </w:tc>
      </w:tr>
      <w:tr>
        <w:trPr/>
        <w:tc>
          <w:tcPr>
            <w:tcW w:w="6598" w:type="dxa"/>
            <w:tcBorders/>
            <w:shd w:fill="FFFFFF" w:val="clear"/>
            <w:vAlign w:val="center"/>
          </w:tcPr>
          <w:p>
            <w:pPr>
              <w:pStyle w:val="TableContents"/>
              <w:bidi w:val="0"/>
              <w:spacing w:before="0" w:after="283"/>
              <w:jc w:val="left"/>
              <w:rPr/>
            </w:pPr>
            <w:r>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2,726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45" w:name="xdx_402_eus-gaap--ProceedsFromLinesOfCre"/>
            <w:bookmarkEnd w:id="345"/>
          </w:p>
        </w:tc>
      </w:tr>
      <w:tr>
        <w:trPr/>
        <w:tc>
          <w:tcPr>
            <w:tcW w:w="6598" w:type="dxa"/>
            <w:tcBorders/>
            <w:shd w:fill="FFFFFF" w:val="clear"/>
            <w:vAlign w:val="center"/>
          </w:tcPr>
          <w:p>
            <w:pPr>
              <w:pStyle w:val="TableContents"/>
              <w:bidi w:val="0"/>
              <w:spacing w:before="0" w:after="283"/>
              <w:jc w:val="left"/>
              <w:rPr/>
            </w:pPr>
            <w:r>
              <w:rPr/>
              <w:t>Advances from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6" w:name="xdx_40A_eus-gaap--RepaymentsOfLinesOfCre"/>
            <w:bookmarkEnd w:id="346"/>
          </w:p>
        </w:tc>
      </w:tr>
      <w:tr>
        <w:trPr/>
        <w:tc>
          <w:tcPr>
            <w:tcW w:w="6598" w:type="dxa"/>
            <w:tcBorders/>
            <w:shd w:fill="FFFFFF" w:val="clear"/>
            <w:vAlign w:val="center"/>
          </w:tcPr>
          <w:p>
            <w:pPr>
              <w:pStyle w:val="TableContents"/>
              <w:bidi w:val="0"/>
              <w:spacing w:before="0" w:after="283"/>
              <w:jc w:val="left"/>
              <w:rPr/>
            </w:pPr>
            <w:r>
              <w:rPr/>
              <w:t>Repayments on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7" w:name="xdx_40F_eus-gaap--RepaymentsOfShortTermD"/>
            <w:bookmarkEnd w:id="347"/>
          </w:p>
        </w:tc>
      </w:tr>
      <w:tr>
        <w:trPr/>
        <w:tc>
          <w:tcPr>
            <w:tcW w:w="6598" w:type="dxa"/>
            <w:tcBorders/>
            <w:shd w:fill="FFFFFF" w:val="clear"/>
            <w:vAlign w:val="center"/>
          </w:tcPr>
          <w:p>
            <w:pPr>
              <w:pStyle w:val="TableContents"/>
              <w:bidi w:val="0"/>
              <w:spacing w:before="0" w:after="283"/>
              <w:jc w:val="left"/>
              <w:rPr/>
            </w:pPr>
            <w:r>
              <w:rPr/>
              <w:t>Repayments on short-term debt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8" w:name="xdx_40E_eus-gaap--ProceedsFromRelatedPar"/>
            <w:bookmarkEnd w:id="348"/>
          </w:p>
        </w:tc>
      </w:tr>
      <w:tr>
        <w:trPr/>
        <w:tc>
          <w:tcPr>
            <w:tcW w:w="6598" w:type="dxa"/>
            <w:tcBorders/>
            <w:shd w:fill="FFFFFF" w:val="clear"/>
            <w:vAlign w:val="center"/>
          </w:tcPr>
          <w:p>
            <w:pPr>
              <w:pStyle w:val="TableContents"/>
              <w:bidi w:val="0"/>
              <w:spacing w:before="0" w:after="283"/>
              <w:jc w:val="left"/>
              <w:rPr/>
            </w:pPr>
            <w:r>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9" w:name="xdx_408_eus-gaap--ProceedsFromIssuanceOf"/>
            <w:bookmarkEnd w:id="349"/>
          </w:p>
        </w:tc>
      </w:tr>
      <w:tr>
        <w:trPr/>
        <w:tc>
          <w:tcPr>
            <w:tcW w:w="6598"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50" w:name="xdx_400_eus-gaap--NetCashProvidedByUsedI"/>
            <w:bookmarkEnd w:id="350"/>
          </w:p>
        </w:tc>
      </w:tr>
      <w:tr>
        <w:trPr/>
        <w:tc>
          <w:tcPr>
            <w:tcW w:w="659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5,347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7,347</w:t>
            </w:r>
          </w:p>
        </w:tc>
        <w:tc>
          <w:tcPr>
            <w:tcW w:w="112" w:type="dxa"/>
            <w:tcBorders/>
            <w:shd w:fill="CCEEFF" w:val="clear"/>
            <w:vAlign w:val="center"/>
          </w:tcPr>
          <w:p>
            <w:pPr>
              <w:pStyle w:val="TableContents"/>
              <w:bidi w:val="0"/>
              <w:spacing w:before="0" w:after="283"/>
              <w:jc w:val="left"/>
              <w:rPr/>
            </w:pPr>
            <w:r>
              <w:rPr/>
              <w:t> </w:t>
            </w:r>
            <w:bookmarkStart w:id="351" w:name="xdx_401_eus-gaap--EffectOfExchangeRateOn"/>
            <w:bookmarkEnd w:id="351"/>
          </w:p>
        </w:tc>
      </w:tr>
      <w:tr>
        <w:trPr/>
        <w:tc>
          <w:tcPr>
            <w:tcW w:w="6598"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52" w:name="xdx_408_eus-gaap--CashCashEquivalentsRes"/>
            <w:bookmarkEnd w:id="352"/>
          </w:p>
        </w:tc>
      </w:tr>
      <w:tr>
        <w:trPr/>
        <w:tc>
          <w:tcPr>
            <w:tcW w:w="6598"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(122</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(304</w:t>
            </w:r>
          </w:p>
        </w:tc>
        <w:tc>
          <w:tcPr>
            <w:tcW w:w="112" w:type="dxa"/>
            <w:tcBorders/>
            <w:shd w:fill="CCEEFF" w:val="clear"/>
            <w:vAlign w:val="center"/>
          </w:tcPr>
          <w:p>
            <w:pPr>
              <w:pStyle w:val="TableContents"/>
              <w:bidi w:val="0"/>
              <w:spacing w:before="0" w:after="283"/>
              <w:jc w:val="left"/>
              <w:rPr/>
            </w:pPr>
            <w:r>
              <w:rPr/>
              <w:t>)</w:t>
            </w:r>
            <w:bookmarkStart w:id="353" w:name="xdx_404_eus-gaap--CashCashEquivalentsRes"/>
            <w:bookmarkEnd w:id="353"/>
          </w:p>
        </w:tc>
      </w:tr>
      <w:tr>
        <w:trPr/>
        <w:tc>
          <w:tcPr>
            <w:tcW w:w="6598"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1,087</w:t>
            </w:r>
          </w:p>
        </w:tc>
        <w:tc>
          <w:tcPr>
            <w:tcW w:w="112" w:type="dxa"/>
            <w:tcBorders/>
            <w:shd w:fill="FFFFFF" w:val="clear"/>
            <w:vAlign w:val="center"/>
          </w:tcPr>
          <w:p>
            <w:pPr>
              <w:pStyle w:val="TableContents"/>
              <w:bidi w:val="0"/>
              <w:spacing w:before="0" w:after="283"/>
              <w:jc w:val="left"/>
              <w:rPr/>
            </w:pPr>
            <w:r>
              <w:rPr/>
              <w:t> </w:t>
            </w:r>
            <w:bookmarkStart w:id="354" w:name="xdx_407_eus-gaap--CashCashEquivalentsRes"/>
            <w:bookmarkEnd w:id="354"/>
          </w:p>
        </w:tc>
      </w:tr>
      <w:tr>
        <w:trPr/>
        <w:tc>
          <w:tcPr>
            <w:tcW w:w="6598"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783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5" w:name="xdx_40C_eus-gaap--SupplementalCashFlowIn"/>
      <w:bookmarkStart w:id="356" w:name="xdx_40C_eus-gaap--SupplementalCashFlowIn"/>
      <w:bookmarkEnd w:id="356"/>
    </w:p>
    <w:tbl>
      <w:tblPr>
        <w:tblW w:w="8205" w:type="dxa"/>
        <w:jc w:val="left"/>
        <w:tblInd w:w="0" w:type="dxa"/>
        <w:tblLayout w:type="fixed"/>
        <w:tblCellMar>
          <w:top w:w="0" w:type="dxa"/>
          <w:left w:w="0" w:type="dxa"/>
          <w:bottom w:w="0" w:type="dxa"/>
          <w:right w:w="0" w:type="dxa"/>
        </w:tblCellMar>
      </w:tblPr>
      <w:tblGrid>
        <w:gridCol w:w="6710"/>
        <w:gridCol w:w="60"/>
        <w:gridCol w:w="60"/>
        <w:gridCol w:w="560"/>
        <w:gridCol w:w="60"/>
        <w:gridCol w:w="60"/>
        <w:gridCol w:w="60"/>
        <w:gridCol w:w="560"/>
        <w:gridCol w:w="75"/>
      </w:tblGrid>
      <w:tr>
        <w:trPr/>
        <w:tc>
          <w:tcPr>
            <w:tcW w:w="671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57" w:name="xdx_40B_eus-gaap--InterestPaidNet_i01_zU"/>
            <w:bookmarkEnd w:id="357"/>
          </w:p>
        </w:tc>
      </w:tr>
      <w:tr>
        <w:trPr/>
        <w:tc>
          <w:tcPr>
            <w:tcW w:w="671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58" w:name="xdx_40F_eus-gaap--IncomeTaxesPaidNet_i01"/>
            <w:bookmarkEnd w:id="358"/>
          </w:p>
        </w:tc>
      </w:tr>
      <w:tr>
        <w:trPr/>
        <w:tc>
          <w:tcPr>
            <w:tcW w:w="671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59" w:name="xdx_40C_eus-gaap--NoncashInvestingAndFin"/>
            <w:bookmarkEnd w:id="359"/>
          </w:p>
        </w:tc>
      </w:tr>
      <w:tr>
        <w:trPr/>
        <w:tc>
          <w:tcPr>
            <w:tcW w:w="6710" w:type="dxa"/>
            <w:tcBorders/>
            <w:shd w:fill="CCEEFF" w:val="clear"/>
            <w:vAlign w:val="center"/>
          </w:tcPr>
          <w:p>
            <w:pPr>
              <w:pStyle w:val="TableContents"/>
              <w:bidi w:val="0"/>
              <w:spacing w:before="0" w:after="283"/>
              <w:jc w:val="left"/>
              <w:rPr>
                <w:i/>
              </w:rPr>
            </w:pPr>
            <w:r>
              <w:rPr>
                <w:i/>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0" w:name="xdx_403_ecustom--SharesIssuedForHudsonCo"/>
            <w:bookmarkEnd w:id="360"/>
          </w:p>
        </w:tc>
      </w:tr>
      <w:tr>
        <w:trPr/>
        <w:tc>
          <w:tcPr>
            <w:tcW w:w="6710" w:type="dxa"/>
            <w:tcBorders/>
            <w:shd w:fill="FFFFFF" w:val="clear"/>
            <w:vAlign w:val="center"/>
          </w:tcPr>
          <w:p>
            <w:pPr>
              <w:pStyle w:val="TableContents"/>
              <w:bidi w:val="0"/>
              <w:spacing w:before="0" w:after="283"/>
              <w:jc w:val="left"/>
              <w:rPr/>
            </w:pPr>
            <w:r>
              <w:rPr/>
              <w:t>Shares issued for Hudson consulting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233</w:t>
            </w:r>
          </w:p>
        </w:tc>
        <w:tc>
          <w:tcPr>
            <w:tcW w:w="75" w:type="dxa"/>
            <w:tcBorders/>
            <w:shd w:fill="FFFFFF" w:val="clear"/>
            <w:vAlign w:val="center"/>
          </w:tcPr>
          <w:p>
            <w:pPr>
              <w:pStyle w:val="TableContents"/>
              <w:bidi w:val="0"/>
              <w:spacing w:before="0" w:after="283"/>
              <w:jc w:val="left"/>
              <w:rPr/>
            </w:pPr>
            <w:r>
              <w:rPr/>
              <w:t> </w:t>
            </w:r>
            <w:bookmarkStart w:id="361" w:name="xdx_400_ecustom--ConsiderationTransferre"/>
            <w:bookmarkEnd w:id="361"/>
          </w:p>
        </w:tc>
      </w:tr>
      <w:tr>
        <w:trPr/>
        <w:tc>
          <w:tcPr>
            <w:tcW w:w="6710" w:type="dxa"/>
            <w:tcBorders/>
            <w:shd w:fill="CCEEFF" w:val="clear"/>
            <w:vAlign w:val="center"/>
          </w:tcPr>
          <w:p>
            <w:pPr>
              <w:pStyle w:val="TableContents"/>
              <w:bidi w:val="0"/>
              <w:spacing w:before="0" w:after="283"/>
              <w:jc w:val="left"/>
              <w:rPr/>
            </w:pPr>
            <w:r>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1,662</w:t>
            </w:r>
          </w:p>
        </w:tc>
        <w:tc>
          <w:tcPr>
            <w:tcW w:w="75" w:type="dxa"/>
            <w:tcBorders/>
            <w:shd w:fill="CCEEFF" w:val="clear"/>
            <w:vAlign w:val="center"/>
          </w:tcPr>
          <w:p>
            <w:pPr>
              <w:pStyle w:val="TableContents"/>
              <w:bidi w:val="0"/>
              <w:spacing w:before="0" w:after="283"/>
              <w:jc w:val="left"/>
              <w:rPr/>
            </w:pPr>
            <w:r>
              <w:rPr/>
              <w:t> </w:t>
            </w:r>
            <w:bookmarkStart w:id="362" w:name="xdx_406_ecustom--AssetsAcquiredInAcquisi"/>
            <w:bookmarkEnd w:id="362"/>
          </w:p>
        </w:tc>
      </w:tr>
      <w:tr>
        <w:trPr/>
        <w:tc>
          <w:tcPr>
            <w:tcW w:w="6710" w:type="dxa"/>
            <w:tcBorders/>
            <w:shd w:fill="FFFFFF" w:val="clear"/>
            <w:vAlign w:val="center"/>
          </w:tcPr>
          <w:p>
            <w:pPr>
              <w:pStyle w:val="TableContents"/>
              <w:bidi w:val="0"/>
              <w:spacing w:before="0" w:after="283"/>
              <w:jc w:val="left"/>
              <w:rPr/>
            </w:pPr>
            <w:r>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8,393</w:t>
            </w:r>
          </w:p>
        </w:tc>
        <w:tc>
          <w:tcPr>
            <w:tcW w:w="75" w:type="dxa"/>
            <w:tcBorders/>
            <w:shd w:fill="FFFFFF" w:val="clear"/>
            <w:vAlign w:val="center"/>
          </w:tcPr>
          <w:p>
            <w:pPr>
              <w:pStyle w:val="TableContents"/>
              <w:bidi w:val="0"/>
              <w:spacing w:before="0" w:after="283"/>
              <w:jc w:val="left"/>
              <w:rPr/>
            </w:pPr>
            <w:r>
              <w:rPr/>
              <w:t> </w:t>
            </w:r>
            <w:bookmarkStart w:id="363" w:name="xdx_409_ecustom--LiabilitiesAssumedInAcq"/>
            <w:bookmarkEnd w:id="363"/>
          </w:p>
        </w:tc>
      </w:tr>
      <w:tr>
        <w:trPr/>
        <w:tc>
          <w:tcPr>
            <w:tcW w:w="6710" w:type="dxa"/>
            <w:tcBorders/>
            <w:shd w:fill="CCEEFF" w:val="clear"/>
            <w:vAlign w:val="center"/>
          </w:tcPr>
          <w:p>
            <w:pPr>
              <w:pStyle w:val="TableContents"/>
              <w:bidi w:val="0"/>
              <w:spacing w:before="0" w:after="283"/>
              <w:jc w:val="left"/>
              <w:rPr/>
            </w:pPr>
            <w:r>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3,986</w:t>
            </w:r>
          </w:p>
        </w:tc>
        <w:tc>
          <w:tcPr>
            <w:tcW w:w="75" w:type="dxa"/>
            <w:tcBorders/>
            <w:shd w:fill="CCEEFF" w:val="clear"/>
            <w:vAlign w:val="center"/>
          </w:tcPr>
          <w:p>
            <w:pPr>
              <w:pStyle w:val="TableContents"/>
              <w:bidi w:val="0"/>
              <w:spacing w:before="0" w:after="283"/>
              <w:jc w:val="left"/>
              <w:rPr/>
            </w:pPr>
            <w:r>
              <w:rPr/>
              <w:t> </w:t>
            </w:r>
            <w:bookmarkStart w:id="364" w:name="xdx_400_eus-gaap--DebtConversionConverte"/>
            <w:bookmarkEnd w:id="364"/>
          </w:p>
        </w:tc>
      </w:tr>
      <w:tr>
        <w:trPr/>
        <w:tc>
          <w:tcPr>
            <w:tcW w:w="6710" w:type="dxa"/>
            <w:tcBorders/>
            <w:shd w:fill="FFFFFF" w:val="clear"/>
            <w:vAlign w:val="center"/>
          </w:tcPr>
          <w:p>
            <w:pPr>
              <w:pStyle w:val="TableContents"/>
              <w:bidi w:val="0"/>
              <w:spacing w:before="0" w:after="283"/>
              <w:jc w:val="left"/>
              <w:rPr/>
            </w:pPr>
            <w:r>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5" w:name="xdx_40A_ecustom--SharesIssuedForPaymentO"/>
            <w:bookmarkEnd w:id="365"/>
          </w:p>
        </w:tc>
      </w:tr>
      <w:tr>
        <w:trPr/>
        <w:tc>
          <w:tcPr>
            <w:tcW w:w="6710" w:type="dxa"/>
            <w:tcBorders/>
            <w:shd w:fill="CCEEFF" w:val="clear"/>
            <w:vAlign w:val="center"/>
          </w:tcPr>
          <w:p>
            <w:pPr>
              <w:pStyle w:val="TableContents"/>
              <w:bidi w:val="0"/>
              <w:spacing w:before="0" w:after="283"/>
              <w:jc w:val="left"/>
              <w:rPr/>
            </w:pPr>
            <w:r>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66" w:name="xdx_40C_ecustom--SharesIssuedFor1800Diag"/>
            <w:bookmarkEnd w:id="366"/>
          </w:p>
        </w:tc>
      </w:tr>
      <w:tr>
        <w:trPr/>
        <w:tc>
          <w:tcPr>
            <w:tcW w:w="6710" w:type="dxa"/>
            <w:tcBorders/>
            <w:shd w:fill="FFFFFF" w:val="clear"/>
            <w:vAlign w:val="center"/>
          </w:tcPr>
          <w:p>
            <w:pPr>
              <w:pStyle w:val="TableContents"/>
              <w:bidi w:val="0"/>
              <w:spacing w:before="0" w:after="283"/>
              <w:jc w:val="left"/>
              <w:rPr/>
            </w:pPr>
            <w:r>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7" w:name="xdx_403_ecustom--VestingOfDeferredStockA"/>
            <w:bookmarkEnd w:id="367"/>
          </w:p>
        </w:tc>
      </w:tr>
      <w:tr>
        <w:trPr/>
        <w:tc>
          <w:tcPr>
            <w:tcW w:w="6710" w:type="dxa"/>
            <w:tcBorders/>
            <w:shd w:fill="FFFFFF" w:val="clear"/>
            <w:vAlign w:val="center"/>
          </w:tcPr>
          <w:p>
            <w:pPr>
              <w:pStyle w:val="TableContents"/>
              <w:bidi w:val="0"/>
              <w:spacing w:before="0" w:after="283"/>
              <w:jc w:val="left"/>
              <w:rPr/>
            </w:pPr>
            <w:r>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368" w:name="xdx_040_c20260101__20260331_zZcEiTLwgsT9"/>
      <w:bookmarkEnd w:id="36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9" w:name="TM_005"/>
      <w:bookmarkEnd w:id="369"/>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0" w:name="xdx_80C_eus-gaap--OrganizationConsolidat"/>
      <w:bookmarkEnd w:id="370"/>
      <w:r>
        <w:rPr>
          <w:rFonts w:ascii="Times New Roman;Times;Serif" w:hAnsi="Times New Roman;Times;Serif"/>
          <w:b/>
          <w:i w:val="false"/>
          <w:caps w:val="false"/>
          <w:smallCaps w:val="false"/>
          <w:sz w:val="20"/>
        </w:rPr>
        <w:t xml:space="preserve">1. </w:t>
      </w:r>
      <w:bookmarkStart w:id="371" w:name="xdx_82B_zygWSOY6F2fc"/>
      <w:bookmarkEnd w:id="371"/>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(the “Company” or “Banzai”) was incorporated in Delaware on </w:t>
      </w:r>
      <w:bookmarkStart w:id="372" w:name="xdx_906_edei--EntityIncorporationDateOfI"/>
      <w:bookmarkEnd w:id="372"/>
      <w:r>
        <w:rPr>
          <w:rFonts w:ascii="Times New Roman;Times;Serif" w:hAnsi="Times New Roman;Times;Serif"/>
          <w:b w:val="false"/>
          <w:i w:val="false"/>
          <w:caps w:val="false"/>
          <w:smallCaps w:val="false"/>
          <w:sz w:val="20"/>
        </w:rPr>
        <w:t>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3" w:name="xdx_80A_eus-gaap--SubstantialDoubtAboutG"/>
      <w:bookmarkEnd w:id="373"/>
      <w:r>
        <w:rPr>
          <w:rFonts w:ascii="Times New Roman;Times;Serif" w:hAnsi="Times New Roman;Times;Serif"/>
          <w:b/>
          <w:i w:val="false"/>
          <w:caps w:val="false"/>
          <w:smallCaps w:val="false"/>
          <w:sz w:val="20"/>
        </w:rPr>
        <w:t xml:space="preserve">2. </w:t>
      </w:r>
      <w:bookmarkStart w:id="374" w:name="xdx_82E_zG1oOJoaPWfi"/>
      <w:bookmarkEnd w:id="374"/>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of approximately $</w:t>
      </w:r>
      <w:bookmarkStart w:id="375" w:name="xdx_90D_eus-gaap--Cash_iI_pn5n6_c2026033"/>
      <w:bookmarkEnd w:id="375"/>
      <w:r>
        <w:rPr>
          <w:rFonts w:ascii="Times New Roman;Times;Serif" w:hAnsi="Times New Roman;Times;Serif"/>
          <w:b w:val="false"/>
          <w:i w:val="false"/>
          <w:caps w:val="false"/>
          <w:smallCaps w:val="false"/>
          <w:sz w:val="20"/>
        </w:rPr>
        <w:t>0.1 million. For the three months ended March 31, 2026, the Company used approximately $</w:t>
      </w:r>
      <w:bookmarkStart w:id="376" w:name="xdx_90F_eus-gaap--NetCashProvidedByUsedI"/>
      <w:bookmarkEnd w:id="376"/>
      <w:r>
        <w:rPr>
          <w:rFonts w:ascii="Times New Roman;Times;Serif" w:hAnsi="Times New Roman;Times;Serif"/>
          <w:b w:val="false"/>
          <w:i w:val="false"/>
          <w:caps w:val="false"/>
          <w:smallCaps w:val="false"/>
          <w:sz w:val="20"/>
        </w:rPr>
        <w:t>5.5 million in cash for operating activities. The Company has incurred recurring net losses from operations and negative cash flows from operating activities since inception. As of March 31, 2026, the Company had an accumulated deficit of approximately $</w:t>
      </w:r>
      <w:bookmarkStart w:id="377" w:name="xdx_90A_eus-gaap--RetainedEarningsAccumu"/>
      <w:bookmarkEnd w:id="377"/>
      <w:r>
        <w:rPr>
          <w:rFonts w:ascii="Times New Roman;Times;Serif" w:hAnsi="Times New Roman;Times;Serif"/>
          <w:b w:val="false"/>
          <w:i w:val="false"/>
          <w:caps w:val="false"/>
          <w:smallCaps w:val="false"/>
          <w:sz w:val="20"/>
        </w:rPr>
        <w:t>109.2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8" w:name="xdx_801_eus-gaap--SignificantAccountingP"/>
      <w:bookmarkEnd w:id="378"/>
      <w:r>
        <w:rPr>
          <w:rFonts w:ascii="Times New Roman;Times;Serif" w:hAnsi="Times New Roman;Times;Serif"/>
          <w:b/>
          <w:i w:val="false"/>
          <w:caps w:val="false"/>
          <w:smallCaps w:val="false"/>
          <w:sz w:val="20"/>
        </w:rPr>
        <w:t xml:space="preserve">3. </w:t>
      </w:r>
      <w:bookmarkStart w:id="379" w:name="xdx_828_zi2K0BHsHZb7"/>
      <w:bookmarkEnd w:id="379"/>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0" w:name="xdx_84A_eus-gaap--BasisOfPresentationAnd"/>
      <w:bookmarkEnd w:id="380"/>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1" w:name="xdx_844_eus-gaap--CreditLossFinancialIns"/>
      <w:bookmarkEnd w:id="381"/>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2" w:name="xdx_898_eus-gaap--AccountsReceivableAllo"/>
      <w:bookmarkEnd w:id="382"/>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383" w:name="xdx_8BD_zY9ByqBqV8D"/>
      <w:bookmarkEnd w:id="383"/>
      <w:r>
        <w:rPr>
          <w:rFonts w:ascii="Times New Roman;Times;Serif" w:hAnsi="Times New Roman;Times;Serif"/>
          <w:b w:val="false"/>
          <w:i w:val="false"/>
          <w:caps w:val="false"/>
          <w:smallCaps w:val="false"/>
          <w:sz w:val="20"/>
        </w:rPr>
        <w:t>Summary of Changes in Allowance for Credit Losses</w:t>
      </w:r>
    </w:p>
    <w:tbl>
      <w:tblPr>
        <w:tblW w:w="4130" w:type="dxa"/>
        <w:jc w:val="left"/>
        <w:tblInd w:w="0" w:type="dxa"/>
        <w:tblLayout w:type="fixed"/>
        <w:tblCellMar>
          <w:top w:w="0" w:type="dxa"/>
          <w:left w:w="0" w:type="dxa"/>
          <w:bottom w:w="0" w:type="dxa"/>
          <w:right w:w="0" w:type="dxa"/>
        </w:tblCellMar>
      </w:tblPr>
      <w:tblGrid>
        <w:gridCol w:w="3485"/>
        <w:gridCol w:w="60"/>
        <w:gridCol w:w="140"/>
        <w:gridCol w:w="335"/>
        <w:gridCol w:w="110"/>
      </w:tblGrid>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4" w:name="xdx_495_20260101__20260331_zjvQ3CiJTnG6"/>
            <w:bookmarkEnd w:id="384"/>
          </w:p>
        </w:tc>
        <w:tc>
          <w:tcPr>
            <w:tcW w:w="3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5" w:name="xdx_404_eus-gaap--AllowanceForDoubtfulAc"/>
            <w:bookmarkEnd w:id="385"/>
          </w:p>
        </w:tc>
      </w:tr>
      <w:tr>
        <w:trPr/>
        <w:tc>
          <w:tcPr>
            <w:tcW w:w="348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bookmarkStart w:id="386" w:name="xdx_406_eus-gaap--AllowanceForDoubtfulAc"/>
            <w:bookmarkEnd w:id="386"/>
          </w:p>
        </w:tc>
      </w:tr>
      <w:tr>
        <w:trPr/>
        <w:tc>
          <w:tcPr>
            <w:tcW w:w="3485" w:type="dxa"/>
            <w:tcBorders/>
            <w:shd w:fill="FFFFFF" w:val="clear"/>
            <w:vAlign w:val="center"/>
          </w:tcPr>
          <w:p>
            <w:pPr>
              <w:pStyle w:val="TableContents"/>
              <w:bidi w:val="0"/>
              <w:spacing w:before="0" w:after="283"/>
              <w:jc w:val="left"/>
              <w:rPr/>
            </w:pPr>
            <w:r>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bookmarkStart w:id="387" w:name="xdx_40C_eus-gaap--AllowanceForDoubtfulAc"/>
            <w:bookmarkEnd w:id="387"/>
          </w:p>
        </w:tc>
      </w:tr>
      <w:tr>
        <w:trPr/>
        <w:tc>
          <w:tcPr>
            <w:tcW w:w="3485"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8" w:name="xdx_8A7_zZ9a176bA7A7"/>
      <w:bookmarkEnd w:id="38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9" w:name="xdx_84A_ecustom--WarrantLiabilitiesPolic"/>
      <w:bookmarkEnd w:id="389"/>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0" w:name="xdx_84E_eus-gaap--EarningsPerSharePolicy"/>
      <w:bookmarkEnd w:id="390"/>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1" w:name="xdx_890_eus-gaap--ScheduleOfEarningsPerS"/>
      <w:bookmarkEnd w:id="391"/>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bookmarkStart w:id="392" w:name="xdx_8B0_zyGQnJXAgBe1"/>
      <w:bookmarkEnd w:id="392"/>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245"/>
        <w:gridCol w:w="60"/>
        <w:gridCol w:w="311"/>
        <w:gridCol w:w="1411"/>
        <w:gridCol w:w="211"/>
        <w:gridCol w:w="133"/>
        <w:gridCol w:w="311"/>
        <w:gridCol w:w="1411"/>
        <w:gridCol w:w="112"/>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393" w:name="xdx_409_ecustom--NumeratorAbstract_iB_zJ"/>
            <w:bookmarkEnd w:id="393"/>
          </w:p>
        </w:tc>
      </w:tr>
      <w:tr>
        <w:trPr/>
        <w:tc>
          <w:tcPr>
            <w:tcW w:w="624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94" w:name="xdx_902_eus-gaap--NetIncomeLossAvailable"/>
            <w:bookmarkStart w:id="395" w:name="xdx_903_eus-gaap--NetIncomeLossAvailable"/>
            <w:bookmarkEnd w:id="394"/>
            <w:bookmarkEnd w:id="395"/>
            <w:r>
              <w:rPr/>
              <w:t>(8,417</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96" w:name="xdx_90D_eus-gaap--NetIncomeLossAvailable"/>
            <w:bookmarkStart w:id="397" w:name="xdx_90B_eus-gaap--NetIncomeLossAvailable"/>
            <w:bookmarkEnd w:id="396"/>
            <w:bookmarkEnd w:id="397"/>
            <w:r>
              <w:rPr/>
              <w:t>(3,644</w:t>
            </w:r>
          </w:p>
        </w:tc>
        <w:tc>
          <w:tcPr>
            <w:tcW w:w="112" w:type="dxa"/>
            <w:tcBorders/>
            <w:shd w:fill="FFFFFF" w:val="clear"/>
            <w:vAlign w:val="center"/>
          </w:tcPr>
          <w:p>
            <w:pPr>
              <w:pStyle w:val="TableContents"/>
              <w:bidi w:val="0"/>
              <w:spacing w:before="0" w:after="283"/>
              <w:jc w:val="left"/>
              <w:rPr/>
            </w:pPr>
            <w:r>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98" w:name="xdx_40A_ecustom--DenominatorAbstract_iB_"/>
            <w:bookmarkEnd w:id="398"/>
          </w:p>
        </w:tc>
      </w:tr>
      <w:tr>
        <w:trPr/>
        <w:tc>
          <w:tcPr>
            <w:tcW w:w="624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pPr>
            <w:r>
              <w:rPr/>
              <w:t>Weighted average shares—basic and diluted (in thousands)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bookmarkStart w:id="399" w:name="xdx_909_eus-gaap--WeightedAverageNumberO"/>
            <w:bookmarkStart w:id="400" w:name="xdx_90E_eus-gaap--WeightedAverageNumberO"/>
            <w:bookmarkEnd w:id="399"/>
            <w:bookmarkEnd w:id="400"/>
            <w:r>
              <w:rPr/>
              <w:t>720</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bookmarkStart w:id="401" w:name="xdx_908_eus-gaap--WeightedAverageNumberO"/>
            <w:bookmarkStart w:id="402" w:name="xdx_90C_eus-gaap--WeightedAverageNumberO"/>
            <w:bookmarkEnd w:id="401"/>
            <w:bookmarkEnd w:id="402"/>
            <w:r>
              <w:rPr/>
              <w:t>120</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403" w:name="xdx_907_eus-gaap--EarningsPerShareDilute"/>
            <w:bookmarkStart w:id="404" w:name="xdx_90B_eus-gaap--EarningsPerShareBasic_"/>
            <w:bookmarkEnd w:id="403"/>
            <w:bookmarkEnd w:id="404"/>
            <w:r>
              <w:rPr/>
              <w:t>(11.69</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405" w:name="xdx_90C_eus-gaap--EarningsPerShareDilute"/>
            <w:bookmarkStart w:id="406" w:name="xdx_906_eus-gaap--EarningsPerShareBasic_"/>
            <w:bookmarkEnd w:id="405"/>
            <w:bookmarkEnd w:id="406"/>
            <w:r>
              <w:rPr/>
              <w:t>(30.37</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07" w:name="xdx_8AB_zqJnBZqGavb1"/>
      <w:bookmarkEnd w:id="40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8" w:name="xdx_89B_eus-gaap--ScheduleOfAntidilutive"/>
      <w:bookmarkEnd w:id="408"/>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bookmarkStart w:id="409" w:name="xdx_8BD_zGs40NkAAWJ2"/>
      <w:bookmarkEnd w:id="409"/>
      <w:r>
        <w:rPr>
          <w:rFonts w:ascii="Times New Roman;Times;Serif" w:hAnsi="Times New Roman;Times;Serif"/>
          <w:b w:val="false"/>
          <w:i w:val="false"/>
          <w:caps w:val="false"/>
          <w:smallCaps w:val="false"/>
          <w:sz w:val="20"/>
        </w:rPr>
        <w:t>Schedule of Antidilutive Securities Excluded from Computation of Earnings Per Share</w:t>
      </w:r>
    </w:p>
    <w:tbl>
      <w:tblPr>
        <w:tblW w:w="4860" w:type="dxa"/>
        <w:jc w:val="left"/>
        <w:tblInd w:w="0" w:type="dxa"/>
        <w:tblLayout w:type="fixed"/>
        <w:tblCellMar>
          <w:top w:w="0" w:type="dxa"/>
          <w:left w:w="0" w:type="dxa"/>
          <w:bottom w:w="0" w:type="dxa"/>
          <w:right w:w="0" w:type="dxa"/>
        </w:tblCellMar>
      </w:tblPr>
      <w:tblGrid>
        <w:gridCol w:w="3005"/>
        <w:gridCol w:w="60"/>
        <w:gridCol w:w="60"/>
        <w:gridCol w:w="800"/>
        <w:gridCol w:w="60"/>
        <w:gridCol w:w="60"/>
        <w:gridCol w:w="60"/>
        <w:gridCol w:w="680"/>
        <w:gridCol w:w="75"/>
      </w:tblGrid>
      <w:tr>
        <w:trPr/>
        <w:tc>
          <w:tcPr>
            <w:tcW w:w="3005" w:type="dxa"/>
            <w:tcBorders/>
            <w:vAlign w:val="center"/>
          </w:tcPr>
          <w:p>
            <w:pPr>
              <w:pStyle w:val="TableContents"/>
              <w:bidi w:val="0"/>
              <w:spacing w:before="0" w:after="283"/>
              <w:jc w:val="center"/>
              <w:rPr>
                <w:bCs/>
              </w:rPr>
            </w:pPr>
            <w:r>
              <w:rPr>
                <w:bCs/>
              </w:rPr>
              <w:t>﻿</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0" w:name="xdx_98E_eus-gaap--AntidilutiveSecurities"/>
            <w:bookmarkEnd w:id="410"/>
          </w:p>
        </w:tc>
        <w:tc>
          <w:tcPr>
            <w:tcW w:w="80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1" w:name="xdx_988_eus-gaap--AntidilutiveSecurities"/>
            <w:bookmarkEnd w:id="411"/>
          </w:p>
        </w:tc>
        <w:tc>
          <w:tcPr>
            <w:tcW w:w="680" w:type="dxa"/>
            <w:tcBorders/>
            <w:shd w:fill="CCEEFF" w:val="cle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2" w:name="xdx_989_eus-gaap--AntidilutiveSecurities"/>
            <w:bookmarkEnd w:id="412"/>
          </w:p>
        </w:tc>
        <w:tc>
          <w:tcPr>
            <w:tcW w:w="800" w:type="dxa"/>
            <w:tcBorders/>
            <w:shd w:fill="FFFFFF" w:val="clear"/>
            <w:vAlign w:val="center"/>
          </w:tcPr>
          <w:p>
            <w:pPr>
              <w:pStyle w:val="TableContents"/>
              <w:bidi w:val="0"/>
              <w:spacing w:before="0" w:after="283"/>
              <w:jc w:val="right"/>
              <w:rPr/>
            </w:pPr>
            <w:r>
              <w:rPr/>
              <w:t>26,708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3" w:name="xdx_986_eus-gaap--AntidilutiveSecurities"/>
            <w:bookmarkEnd w:id="413"/>
          </w:p>
        </w:tc>
        <w:tc>
          <w:tcPr>
            <w:tcW w:w="680" w:type="dxa"/>
            <w:tcBorders/>
            <w:shd w:fill="FFFFFF" w:val="clear"/>
            <w:vAlign w:val="center"/>
          </w:tcPr>
          <w:p>
            <w:pPr>
              <w:pStyle w:val="TableContents"/>
              <w:bidi w:val="0"/>
              <w:spacing w:before="0" w:after="283"/>
              <w:jc w:val="right"/>
              <w:rPr/>
            </w:pPr>
            <w:r>
              <w:rPr/>
              <w:t>13,039</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4" w:name="xdx_988_eus-gaap--AntidilutiveSecurities"/>
            <w:bookmarkEnd w:id="414"/>
          </w:p>
        </w:tc>
        <w:tc>
          <w:tcPr>
            <w:tcW w:w="800" w:type="dxa"/>
            <w:tcBorders/>
            <w:shd w:fill="CCEEFF" w:val="clear"/>
            <w:vAlign w:val="center"/>
          </w:tcPr>
          <w:p>
            <w:pPr>
              <w:pStyle w:val="TableContents"/>
              <w:bidi w:val="0"/>
              <w:spacing w:before="0" w:after="283"/>
              <w:jc w:val="right"/>
              <w:rPr/>
            </w:pPr>
            <w:r>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5" w:name="xdx_989_eus-gaap--AntidilutiveSecurities"/>
            <w:bookmarkEnd w:id="415"/>
          </w:p>
        </w:tc>
        <w:tc>
          <w:tcPr>
            <w:tcW w:w="680"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6" w:name="xdx_984_eus-gaap--AntidilutiveSecurities"/>
            <w:bookmarkEnd w:id="416"/>
          </w:p>
        </w:tc>
        <w:tc>
          <w:tcPr>
            <w:tcW w:w="800" w:type="dxa"/>
            <w:tcBorders/>
            <w:shd w:fill="FFFFFF" w:val="cle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7" w:name="xdx_989_eus-gaap--AntidilutiveSecurities"/>
            <w:bookmarkEnd w:id="417"/>
          </w:p>
        </w:tc>
        <w:tc>
          <w:tcPr>
            <w:tcW w:w="680" w:type="dxa"/>
            <w:tcBorders/>
            <w:shd w:fill="FFFFFF" w:val="cle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8" w:name="xdx_98D_eus-gaap--AntidilutiveSecurities"/>
            <w:bookmarkEnd w:id="418"/>
          </w:p>
        </w:tc>
        <w:tc>
          <w:tcPr>
            <w:tcW w:w="800" w:type="dxa"/>
            <w:tcBorders/>
            <w:shd w:fill="CCEEFF" w:val="clear"/>
            <w:vAlign w:val="center"/>
          </w:tcPr>
          <w:p>
            <w:pPr>
              <w:pStyle w:val="TableContents"/>
              <w:bidi w:val="0"/>
              <w:spacing w:before="0" w:after="283"/>
              <w:jc w:val="right"/>
              <w:rPr/>
            </w:pPr>
            <w:r>
              <w:rPr/>
              <w:t>100,716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9" w:name="xdx_987_eus-gaap--AntidilutiveSecurities"/>
            <w:bookmarkEnd w:id="419"/>
          </w:p>
        </w:tc>
        <w:tc>
          <w:tcPr>
            <w:tcW w:w="680" w:type="dxa"/>
            <w:tcBorders/>
            <w:shd w:fill="CCEEFF" w:val="clear"/>
            <w:vAlign w:val="center"/>
          </w:tcPr>
          <w:p>
            <w:pPr>
              <w:pStyle w:val="TableContents"/>
              <w:bidi w:val="0"/>
              <w:spacing w:before="0" w:after="283"/>
              <w:jc w:val="right"/>
              <w:rPr/>
            </w:pPr>
            <w:r>
              <w:rPr/>
              <w:t>22,638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0" w:name="xdx_986_eus-gaap--AntidilutiveSecurities"/>
            <w:bookmarkEnd w:id="420"/>
          </w:p>
        </w:tc>
        <w:tc>
          <w:tcPr>
            <w:tcW w:w="800" w:type="dxa"/>
            <w:tcBorders/>
            <w:shd w:fill="FFFFFF" w:val="clear"/>
            <w:vAlign w:val="center"/>
          </w:tcPr>
          <w:p>
            <w:pPr>
              <w:pStyle w:val="TableContents"/>
              <w:bidi w:val="0"/>
              <w:spacing w:before="0" w:after="283"/>
              <w:jc w:val="right"/>
              <w:rPr/>
            </w:pPr>
            <w:r>
              <w:rPr/>
              <w:t>14,912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1" w:name="xdx_985_eus-gaap--AntidilutiveSecurities"/>
            <w:bookmarkEnd w:id="421"/>
          </w:p>
        </w:tc>
        <w:tc>
          <w:tcPr>
            <w:tcW w:w="680" w:type="dxa"/>
            <w:tcBorders/>
            <w:shd w:fill="FFFFFF" w:val="clear"/>
            <w:vAlign w:val="center"/>
          </w:tcPr>
          <w:p>
            <w:pPr>
              <w:pStyle w:val="TableContents"/>
              <w:bidi w:val="0"/>
              <w:spacing w:before="0" w:after="283"/>
              <w:jc w:val="right"/>
              <w:rPr/>
            </w:pPr>
            <w:r>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2" w:name="xdx_98A_eus-gaap--AntidilutiveSecurities"/>
            <w:bookmarkEnd w:id="422"/>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3" w:name="xdx_98C_eus-gaap--AntidilutiveSecurities"/>
            <w:bookmarkEnd w:id="423"/>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4" w:name="xdx_98E_eus-gaap--AntidilutiveSecurities"/>
            <w:bookmarkEnd w:id="42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144,197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5" w:name="xdx_986_eus-gaap--AntidilutiveSecurities"/>
            <w:bookmarkEnd w:id="42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37,563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6" w:name="xdx_8AD_zoZXUYtrREh5"/>
      <w:bookmarkEnd w:id="42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4A_eus-gaap--DerivativesPolicyTextB"/>
      <w:bookmarkEnd w:id="427"/>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8" w:name="xdx_849_eus-gaap--FairValueOfFinancialIn"/>
      <w:bookmarkEnd w:id="428"/>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9" w:name="xdx_848_ecustom--FairValueOptionElection"/>
      <w:bookmarkEnd w:id="429"/>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0" w:name="xdx_84D_eus-gaap--NewAccountingPronounce"/>
      <w:bookmarkEnd w:id="430"/>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w:t>
      </w:r>
      <w:r>
        <w:rPr>
          <w:rFonts w:ascii="Times New Roman;Times;Serif" w:hAnsi="Times New Roman;Times;Serif"/>
          <w:b w:val="false"/>
          <w:i w:val="false"/>
          <w:caps w:val="false"/>
          <w:smallCaps w:val="false"/>
          <w:sz w:val="20"/>
        </w:rPr>
        <w:t xml:space="preserve"> The adoption of this guidance did not have a material impact on our condensed consolidated financial statements and related disclosures.</w:t>
      </w:r>
    </w:p>
    <w:p>
      <w:pPr>
        <w:pStyle w:val="TextBody"/>
        <w:bidi w:val="0"/>
        <w:spacing w:before="0" w:after="0"/>
        <w:ind w:left="0" w:right="0" w:hanging="0"/>
        <w:jc w:val="both"/>
        <w:rPr>
          <w:caps w:val="false"/>
          <w:smallCaps w:val="false"/>
        </w:rPr>
      </w:pPr>
      <w:bookmarkStart w:id="431" w:name="xdx_857_zNhAoRU6EVTh"/>
      <w:bookmarkEnd w:id="43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2" w:name="xdx_80A_eus-gaap--BusinessCombinationDis"/>
      <w:bookmarkEnd w:id="432"/>
      <w:r>
        <w:rPr>
          <w:rFonts w:ascii="Times New Roman;Times;Serif" w:hAnsi="Times New Roman;Times;Serif"/>
          <w:b/>
          <w:i w:val="false"/>
          <w:caps w:val="false"/>
          <w:smallCaps w:val="false"/>
          <w:sz w:val="20"/>
        </w:rPr>
        <w:t xml:space="preserve">4. </w:t>
      </w:r>
      <w:bookmarkStart w:id="433" w:name="xdx_823_zhb5gf3sEgBl"/>
      <w:bookmarkEnd w:id="433"/>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w:t>
      </w:r>
      <w:bookmarkStart w:id="434" w:name="xdx_90E_eus-gaap--PaymentsToAcquireBusin"/>
      <w:bookmarkEnd w:id="434"/>
      <w:r>
        <w:rPr>
          <w:rFonts w:ascii="Times New Roman;Times;Serif" w:hAnsi="Times New Roman;Times;Serif"/>
          <w:b w:val="false"/>
          <w:i w:val="false"/>
          <w:caps w:val="false"/>
          <w:smallCaps w:val="false"/>
          <w:sz w:val="20"/>
        </w:rPr>
        <w:t>2,745 in cash (the “Vidello Cash Consideration”), whereby $</w:t>
      </w:r>
      <w:bookmarkStart w:id="435" w:name="xdx_903_ecustom--BusinessAcquisitionAmou"/>
      <w:bookmarkEnd w:id="435"/>
      <w:r>
        <w:rPr>
          <w:rFonts w:ascii="Times New Roman;Times;Serif" w:hAnsi="Times New Roman;Times;Serif"/>
          <w:b w:val="false"/>
          <w:i w:val="false"/>
          <w:caps w:val="false"/>
          <w:smallCaps w:val="false"/>
          <w:sz w:val="20"/>
        </w:rPr>
        <w:t xml:space="preserve">2,500 are withheld for indemnification expenses and other holdback provisions in accordance with the Vidello Merger Agreement, and issued </w:t>
      </w:r>
      <w:bookmarkStart w:id="436" w:name="xdx_90D_eus-gaap--BusinessAcquisitionEqu"/>
      <w:bookmarkEnd w:id="436"/>
      <w:r>
        <w:rPr>
          <w:rFonts w:ascii="Times New Roman;Times;Serif" w:hAnsi="Times New Roman;Times;Serif"/>
          <w:b w:val="false"/>
          <w:i w:val="false"/>
          <w:caps w:val="false"/>
          <w:smallCaps w:val="false"/>
          <w:sz w:val="20"/>
        </w:rPr>
        <w:t>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w:t>
      </w:r>
      <w:bookmarkStart w:id="437" w:name="xdx_906_ecustom--BusinessAcquisitionAmou"/>
      <w:bookmarkEnd w:id="437"/>
      <w:r>
        <w:rPr>
          <w:rFonts w:ascii="Times New Roman;Times;Serif" w:hAnsi="Times New Roman;Times;Serif"/>
          <w:b w:val="false"/>
          <w:i w:val="false"/>
          <w:caps w:val="false"/>
          <w:smallCaps w:val="false"/>
          <w:sz w:val="20"/>
        </w:rPr>
        <w:t>1,000 as security for the obligations of Company Shareholders for a period of twelve months (the “Indemnification Holdback Amount”), (2) the withholding of $</w:t>
      </w:r>
      <w:bookmarkStart w:id="438" w:name="xdx_900_ecustom--BusinessAcquisitionAmou"/>
      <w:bookmarkEnd w:id="438"/>
      <w:r>
        <w:rPr>
          <w:rFonts w:ascii="Times New Roman;Times;Serif" w:hAnsi="Times New Roman;Times;Serif"/>
          <w:b w:val="false"/>
          <w:i w:val="false"/>
          <w:caps w:val="false"/>
          <w:smallCaps w:val="false"/>
          <w:sz w:val="20"/>
        </w:rPr>
        <w:t>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w:t>
      </w:r>
      <w:bookmarkStart w:id="439" w:name="xdx_90F_ecustom--BusinessAcquisitionAmou"/>
      <w:bookmarkEnd w:id="439"/>
      <w:r>
        <w:rPr>
          <w:rFonts w:ascii="Times New Roman;Times;Serif" w:hAnsi="Times New Roman;Times;Serif"/>
          <w:b w:val="false"/>
          <w:i w:val="false"/>
          <w:caps w:val="false"/>
          <w:smallCaps w:val="false"/>
          <w:sz w:val="20"/>
        </w:rPr>
        <w:t xml:space="preserve">1,000 subject to certain revenue related conditions being met during the </w:t>
      </w:r>
      <w:bookmarkStart w:id="440" w:name="xdx_909_ecustom--BusinessAcquisitionReve"/>
      <w:bookmarkEnd w:id="440"/>
      <w:r>
        <w:rPr>
          <w:rFonts w:ascii="Times New Roman;Times;Serif" w:hAnsi="Times New Roman;Times;Serif"/>
          <w:b w:val="false"/>
          <w:i w:val="false"/>
          <w:caps w:val="false"/>
          <w:smallCaps w:val="false"/>
          <w:sz w:val="20"/>
        </w:rPr>
        <w:t>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w:t>
      </w:r>
      <w:bookmarkStart w:id="441" w:name="xdx_901_eus-gaap--BusinessCombinationSep"/>
      <w:bookmarkEnd w:id="441"/>
      <w:r>
        <w:rPr>
          <w:rFonts w:ascii="Times New Roman;Times;Serif" w:hAnsi="Times New Roman;Times;Serif"/>
          <w:b w:val="false"/>
          <w:i w:val="false"/>
          <w:caps w:val="false"/>
          <w:smallCaps w:val="false"/>
          <w:sz w:val="20"/>
        </w:rPr>
        <w:t>486 of expense after foreign currency translation in the consolidated statements of operations related to the Transition Holdback Amount in the line Vidello earnout expense. During the three months ended September 30, 2025, the Company paid the contractual amount of $</w:t>
      </w:r>
      <w:bookmarkStart w:id="442" w:name="xdx_904_eus-gaap--PaymentForContingentCo"/>
      <w:bookmarkEnd w:id="442"/>
      <w:r>
        <w:rPr>
          <w:rFonts w:ascii="Times New Roman;Times;Serif" w:hAnsi="Times New Roman;Times;Serif"/>
          <w:b w:val="false"/>
          <w:i w:val="false"/>
          <w:caps w:val="false"/>
          <w:smallCaps w:val="false"/>
          <w:sz w:val="20"/>
        </w:rPr>
        <w:t>500 to the Vidello Shareholders for the Transition Holdback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September 30, 2025, the </w:t>
      </w:r>
      <w:bookmarkStart w:id="443" w:name="xdx_90C_ecustom--BusinessCombinationHold"/>
      <w:bookmarkEnd w:id="443"/>
      <w:r>
        <w:rPr>
          <w:rFonts w:ascii="Times New Roman;Times;Serif" w:hAnsi="Times New Roman;Times;Serif"/>
          <w:b w:val="false"/>
          <w:i w:val="false"/>
          <w:caps w:val="false"/>
          <w:smallCaps w:val="false"/>
          <w:sz w:val="20"/>
        </w:rPr>
        <w:t>180 day measurement period for the Revenue Holdback lapsed and the revenue conditions as defined in the Vidello Merger Agreement had not been met. As such the Company recognized a gain on the extinguishment of Vidello revenue holdback of $</w:t>
      </w:r>
      <w:bookmarkStart w:id="444" w:name="xdx_905_eus-gaap--BusinessCombinationCon"/>
      <w:bookmarkEnd w:id="444"/>
      <w:r>
        <w:rPr>
          <w:rFonts w:ascii="Times New Roman;Times;Serif" w:hAnsi="Times New Roman;Times;Serif"/>
          <w:b w:val="false"/>
          <w:i w:val="false"/>
          <w:caps w:val="false"/>
          <w:smallCaps w:val="false"/>
          <w:sz w:val="20"/>
        </w:rPr>
        <w:t>973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w:t>
      </w:r>
      <w:bookmarkStart w:id="445" w:name="xdx_901_ecustom--BusinessAcquisitionLock"/>
      <w:bookmarkEnd w:id="445"/>
      <w:r>
        <w:rPr>
          <w:rFonts w:ascii="Times New Roman;Times;Serif" w:hAnsi="Times New Roman;Times;Serif"/>
          <w:b w:val="false"/>
          <w:i w:val="false"/>
          <w:caps w:val="false"/>
          <w:smallCaps w:val="false"/>
          <w:sz w:val="20"/>
        </w:rPr>
        <w:t>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incurred transaction costs of approximately $</w:t>
      </w:r>
      <w:bookmarkStart w:id="446" w:name="xdx_90A_eus-gaap--BusinessAcquisitionCos"/>
      <w:bookmarkEnd w:id="446"/>
      <w:r>
        <w:rPr>
          <w:rFonts w:ascii="Times New Roman;Times;Serif" w:hAnsi="Times New Roman;Times;Serif"/>
          <w:b w:val="false"/>
          <w:i w:val="false"/>
          <w:caps w:val="false"/>
          <w:smallCaps w:val="false"/>
          <w:sz w:val="20"/>
        </w:rPr>
        <w:t>730 which are included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w:t>
      </w:r>
      <w:bookmarkStart w:id="447" w:name="xdx_905_eus-gaap--BusinessCombinationCon"/>
      <w:bookmarkEnd w:id="447"/>
      <w:r>
        <w:rPr>
          <w:rFonts w:ascii="Times New Roman;Times;Serif" w:hAnsi="Times New Roman;Times;Serif"/>
          <w:b w:val="false"/>
          <w:i w:val="false"/>
          <w:caps w:val="false"/>
          <w:smallCaps w:val="false"/>
          <w:sz w:val="20"/>
        </w:rPr>
        <w:t>6,268 summarized as follows:</w:t>
      </w:r>
    </w:p>
    <w:p>
      <w:pPr>
        <w:pStyle w:val="TextBody"/>
        <w:bidi w:val="0"/>
        <w:spacing w:before="0" w:after="0"/>
        <w:ind w:left="0" w:right="0" w:hanging="0"/>
        <w:jc w:val="left"/>
        <w:rPr>
          <w:caps w:val="false"/>
          <w:smallCaps w:val="false"/>
        </w:rPr>
      </w:pPr>
      <w:bookmarkStart w:id="448" w:name="xdx_898_eus-gaap--ScheduleOfBusinessAcqu"/>
      <w:bookmarkEnd w:id="448"/>
      <w:r>
        <w:rPr>
          <w:caps w:val="false"/>
          <w:smallCaps w:val="false"/>
        </w:rPr>
        <w:t> </w:t>
      </w:r>
      <w:bookmarkStart w:id="449" w:name="xdx_8BD_zmnZqnwKSs02"/>
      <w:bookmarkEnd w:id="449"/>
      <w:r>
        <w:rPr>
          <w:rFonts w:ascii="Times New Roman;Times;Serif" w:hAnsi="Times New Roman;Times;Serif"/>
          <w:b w:val="false"/>
          <w:i w:val="false"/>
          <w:caps w:val="false"/>
          <w:smallCaps w:val="false"/>
          <w:sz w:val="20"/>
        </w:rPr>
        <w:t>Summary of Preliminary Fair Value of the Consideration Transferred</w:t>
      </w:r>
    </w:p>
    <w:tbl>
      <w:tblPr>
        <w:tblW w:w="5410" w:type="dxa"/>
        <w:jc w:val="left"/>
        <w:tblInd w:w="0" w:type="dxa"/>
        <w:tblLayout w:type="fixed"/>
        <w:tblCellMar>
          <w:top w:w="0" w:type="dxa"/>
          <w:left w:w="0" w:type="dxa"/>
          <w:bottom w:w="0" w:type="dxa"/>
          <w:right w:w="0" w:type="dxa"/>
        </w:tblCellMar>
      </w:tblPr>
      <w:tblGrid>
        <w:gridCol w:w="4415"/>
        <w:gridCol w:w="60"/>
        <w:gridCol w:w="172"/>
        <w:gridCol w:w="688"/>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4_20250131__20250131_zLnjH4g8w9vc"/>
            <w:bookmarkEnd w:id="45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451" w:name="xdx_40A_ecustom--BusinessCombinationCash"/>
            <w:bookmarkEnd w:id="451"/>
          </w:p>
        </w:tc>
      </w:tr>
      <w:tr>
        <w:trPr/>
        <w:tc>
          <w:tcPr>
            <w:tcW w:w="4415" w:type="dxa"/>
            <w:tcBorders/>
            <w:shd w:fill="CCEEFF" w:val="clear"/>
            <w:vAlign w:val="center"/>
          </w:tcPr>
          <w:p>
            <w:pPr>
              <w:pStyle w:val="TableContents"/>
              <w:bidi w:val="0"/>
              <w:spacing w:before="0" w:after="283"/>
              <w:jc w:val="left"/>
              <w:rPr/>
            </w:pPr>
            <w:r>
              <w:rPr/>
              <w:t>Cash paid at closing</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2,745</w:t>
            </w:r>
          </w:p>
        </w:tc>
        <w:tc>
          <w:tcPr>
            <w:tcW w:w="75" w:type="dxa"/>
            <w:tcBorders/>
            <w:shd w:fill="CCEEFF" w:val="clear"/>
            <w:vAlign w:val="center"/>
          </w:tcPr>
          <w:p>
            <w:pPr>
              <w:pStyle w:val="TableContents"/>
              <w:bidi w:val="0"/>
              <w:spacing w:before="0" w:after="283"/>
              <w:jc w:val="left"/>
              <w:rPr/>
            </w:pPr>
            <w:r>
              <w:rPr/>
              <w:t> </w:t>
            </w:r>
            <w:bookmarkStart w:id="452" w:name="xdx_407_eus-gaap--BusinessCombinationCon"/>
            <w:bookmarkEnd w:id="452"/>
          </w:p>
        </w:tc>
      </w:tr>
      <w:tr>
        <w:trPr/>
        <w:tc>
          <w:tcPr>
            <w:tcW w:w="4415" w:type="dxa"/>
            <w:tcBorders/>
            <w:shd w:fill="FFFFFF" w:val="clear"/>
            <w:vAlign w:val="center"/>
          </w:tcPr>
          <w:p>
            <w:pPr>
              <w:pStyle w:val="TableContents"/>
              <w:bidi w:val="0"/>
              <w:spacing w:before="0" w:after="283"/>
              <w:jc w:val="left"/>
              <w:rPr/>
            </w:pPr>
            <w:r>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1,662</w:t>
            </w:r>
          </w:p>
        </w:tc>
        <w:tc>
          <w:tcPr>
            <w:tcW w:w="75" w:type="dxa"/>
            <w:tcBorders/>
            <w:shd w:fill="FFFFFF" w:val="clear"/>
            <w:vAlign w:val="center"/>
          </w:tcPr>
          <w:p>
            <w:pPr>
              <w:pStyle w:val="TableContents"/>
              <w:bidi w:val="0"/>
              <w:spacing w:before="0" w:after="283"/>
              <w:jc w:val="left"/>
              <w:rPr/>
            </w:pPr>
            <w:r>
              <w:rPr/>
              <w:t> </w:t>
            </w:r>
            <w:bookmarkStart w:id="453" w:name="xdx_401_ecustom--BusinessCombinationFair"/>
            <w:bookmarkEnd w:id="453"/>
          </w:p>
        </w:tc>
      </w:tr>
      <w:tr>
        <w:trPr/>
        <w:tc>
          <w:tcPr>
            <w:tcW w:w="4415" w:type="dxa"/>
            <w:tcBorders/>
            <w:shd w:fill="CCEEFF" w:val="clear"/>
            <w:vAlign w:val="center"/>
          </w:tcPr>
          <w:p>
            <w:pPr>
              <w:pStyle w:val="TableContents"/>
              <w:bidi w:val="0"/>
              <w:spacing w:before="0" w:after="283"/>
              <w:jc w:val="left"/>
              <w:rPr/>
            </w:pPr>
            <w:r>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1,861</w:t>
            </w:r>
          </w:p>
        </w:tc>
        <w:tc>
          <w:tcPr>
            <w:tcW w:w="75" w:type="dxa"/>
            <w:tcBorders/>
            <w:shd w:fill="CCEEFF" w:val="clear"/>
            <w:vAlign w:val="center"/>
          </w:tcPr>
          <w:p>
            <w:pPr>
              <w:pStyle w:val="TableContents"/>
              <w:bidi w:val="0"/>
              <w:spacing w:before="0" w:after="283"/>
              <w:jc w:val="left"/>
              <w:rPr/>
            </w:pPr>
            <w:r>
              <w:rPr/>
              <w:t> </w:t>
            </w:r>
            <w:bookmarkStart w:id="454" w:name="xdx_406_eus-gaap--BusinessCombinationCon"/>
            <w:bookmarkEnd w:id="454"/>
          </w:p>
        </w:tc>
      </w:tr>
      <w:tr>
        <w:trPr/>
        <w:tc>
          <w:tcPr>
            <w:tcW w:w="4415" w:type="dxa"/>
            <w:tcBorders/>
            <w:shd w:fill="FFFFFF" w:val="clear"/>
            <w:vAlign w:val="center"/>
          </w:tcPr>
          <w:p>
            <w:pPr>
              <w:pStyle w:val="TableContents"/>
              <w:bidi w:val="0"/>
              <w:spacing w:before="0" w:after="283"/>
              <w:jc w:val="left"/>
              <w:rPr/>
            </w:pPr>
            <w:r>
              <w:rPr/>
              <w:t>Total consideration paid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5" w:name="xdx_8AB_z7dtTMfitl42"/>
      <w:bookmarkEnd w:id="45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6" w:name="xdx_891_eus-gaap--ScheduleOfRecognizedId"/>
      <w:bookmarkEnd w:id="456"/>
      <w:r>
        <w:rPr>
          <w:rFonts w:ascii="Times New Roman;Times;Serif" w:hAnsi="Times New Roman;Times;Serif"/>
          <w:b w:val="false"/>
          <w:i w:val="false"/>
          <w:caps w:val="false"/>
          <w:smallCaps w:val="false"/>
          <w:sz w:val="20"/>
        </w:rPr>
        <w:t>The Company allocated the purchase price of the Vidello Merger to the assets acquired and liabilities assumed as of the acquisition date, as follows:</w:t>
      </w:r>
    </w:p>
    <w:p>
      <w:pPr>
        <w:pStyle w:val="TextBody"/>
        <w:bidi w:val="0"/>
        <w:spacing w:before="0" w:after="0"/>
        <w:ind w:left="0" w:right="0" w:hanging="0"/>
        <w:jc w:val="left"/>
        <w:rPr>
          <w:caps w:val="false"/>
          <w:smallCaps w:val="false"/>
        </w:rPr>
      </w:pPr>
      <w:r>
        <w:rPr>
          <w:caps w:val="false"/>
          <w:smallCaps w:val="false"/>
        </w:rPr>
        <w:t> </w:t>
      </w:r>
      <w:bookmarkStart w:id="457" w:name="xdx_8BA_zR2TXucZCJog"/>
      <w:bookmarkEnd w:id="457"/>
      <w:r>
        <w:rPr>
          <w:rFonts w:ascii="Times New Roman;Times;Serif" w:hAnsi="Times New Roman;Times;Serif"/>
          <w:b w:val="false"/>
          <w:i w:val="false"/>
          <w:caps w:val="false"/>
          <w:smallCaps w:val="false"/>
          <w:sz w:val="20"/>
        </w:rPr>
        <w:t>Summary of Provisional Purchase Price Allocation Relating to Vidello Merger</w:t>
      </w:r>
    </w:p>
    <w:tbl>
      <w:tblPr>
        <w:tblW w:w="5160" w:type="dxa"/>
        <w:jc w:val="left"/>
        <w:tblInd w:w="0" w:type="dxa"/>
        <w:tblLayout w:type="fixed"/>
        <w:tblCellMar>
          <w:top w:w="0" w:type="dxa"/>
          <w:left w:w="0" w:type="dxa"/>
          <w:bottom w:w="0" w:type="dxa"/>
          <w:right w:w="0" w:type="dxa"/>
        </w:tblCellMar>
      </w:tblPr>
      <w:tblGrid>
        <w:gridCol w:w="4325"/>
        <w:gridCol w:w="60"/>
        <w:gridCol w:w="140"/>
        <w:gridCol w:w="560"/>
        <w:gridCol w:w="7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8" w:name="xdx_49F_20250131_zTjPT3dR8Tqk"/>
            <w:bookmarkEnd w:id="458"/>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59" w:name="xdx_409_eus-gaap--BusinessCombinationRec"/>
            <w:bookmarkEnd w:id="459"/>
          </w:p>
        </w:tc>
      </w:tr>
      <w:tr>
        <w:trPr/>
        <w:tc>
          <w:tcPr>
            <w:tcW w:w="4325" w:type="dxa"/>
            <w:tcBorders/>
            <w:shd w:fill="CCEEFF" w:val="clear"/>
            <w:vAlign w:val="center"/>
          </w:tcPr>
          <w:p>
            <w:pPr>
              <w:pStyle w:val="TableContents"/>
              <w:bidi w:val="0"/>
              <w:spacing w:before="0" w:after="283"/>
              <w:jc w:val="left"/>
              <w:rPr>
                <w:b/>
              </w:rPr>
            </w:pPr>
            <w:r>
              <w:rPr>
                <w:b/>
              </w:rPr>
              <w:t>Assets acquired:</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460" w:name="xdx_407_eus-gaap--BusinessCombinationRec"/>
            <w:bookmarkEnd w:id="460"/>
          </w:p>
        </w:tc>
      </w:tr>
      <w:tr>
        <w:trPr/>
        <w:tc>
          <w:tcPr>
            <w:tcW w:w="43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461" w:name="xdx_400_eus-gaap--BusinessCombinationRec"/>
            <w:bookmarkEnd w:id="461"/>
          </w:p>
        </w:tc>
      </w:tr>
      <w:tr>
        <w:trPr/>
        <w:tc>
          <w:tcPr>
            <w:tcW w:w="43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bookmarkStart w:id="462" w:name="xdx_40F_eus-gaap--BusinessCombinationRec"/>
            <w:bookmarkEnd w:id="462"/>
          </w:p>
        </w:tc>
      </w:tr>
      <w:tr>
        <w:trPr/>
        <w:tc>
          <w:tcPr>
            <w:tcW w:w="4325" w:type="dxa"/>
            <w:tcBorders/>
            <w:shd w:fill="FFFFFF" w:val="clear"/>
            <w:vAlign w:val="center"/>
          </w:tcPr>
          <w:p>
            <w:pPr>
              <w:pStyle w:val="TableContents"/>
              <w:bidi w:val="0"/>
              <w:spacing w:before="0" w:after="283"/>
              <w:jc w:val="left"/>
              <w:rPr/>
            </w:pPr>
            <w:r>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bookmarkStart w:id="463" w:name="xdx_409_eus-gaap--BusinessCombinationRec"/>
            <w:bookmarkEnd w:id="463"/>
          </w:p>
        </w:tc>
      </w:tr>
      <w:tr>
        <w:trPr/>
        <w:tc>
          <w:tcPr>
            <w:tcW w:w="4325" w:type="dxa"/>
            <w:tcBorders/>
            <w:shd w:fill="CCEEFF" w:val="clear"/>
            <w:vAlign w:val="center"/>
          </w:tcPr>
          <w:p>
            <w:pPr>
              <w:pStyle w:val="TableContents"/>
              <w:bidi w:val="0"/>
              <w:spacing w:before="0" w:after="283"/>
              <w:jc w:val="left"/>
              <w:rPr/>
            </w:pPr>
            <w:r>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736</w:t>
            </w:r>
          </w:p>
        </w:tc>
        <w:tc>
          <w:tcPr>
            <w:tcW w:w="75" w:type="dxa"/>
            <w:tcBorders/>
            <w:shd w:fill="CCEEFF" w:val="clear"/>
            <w:vAlign w:val="center"/>
          </w:tcPr>
          <w:p>
            <w:pPr>
              <w:pStyle w:val="TableContents"/>
              <w:bidi w:val="0"/>
              <w:spacing w:before="0" w:after="283"/>
              <w:jc w:val="left"/>
              <w:rPr/>
            </w:pPr>
            <w:r>
              <w:rPr/>
              <w:t> </w:t>
            </w:r>
            <w:bookmarkStart w:id="464" w:name="xdx_403_eus-gaap--BusinessCombinationRec"/>
            <w:bookmarkEnd w:id="464"/>
          </w:p>
        </w:tc>
      </w:tr>
      <w:tr>
        <w:trPr/>
        <w:tc>
          <w:tcPr>
            <w:tcW w:w="4325" w:type="dxa"/>
            <w:tcBorders/>
            <w:shd w:fill="FFFFFF" w:val="clear"/>
            <w:vAlign w:val="center"/>
          </w:tcPr>
          <w:p>
            <w:pPr>
              <w:pStyle w:val="TableContents"/>
              <w:bidi w:val="0"/>
              <w:spacing w:before="0" w:after="283"/>
              <w:jc w:val="left"/>
              <w:rPr/>
            </w:pPr>
            <w:r>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bookmarkStart w:id="465" w:name="xdx_402_eus-gaap--BusinessCombinationRec"/>
            <w:bookmarkEnd w:id="465"/>
          </w:p>
        </w:tc>
      </w:tr>
      <w:tr>
        <w:trPr/>
        <w:tc>
          <w:tcPr>
            <w:tcW w:w="432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bookmarkStart w:id="466" w:name="xdx_40A_eus-gaap--BusinessCombinationRec"/>
            <w:bookmarkEnd w:id="466"/>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5,374</w:t>
            </w:r>
          </w:p>
        </w:tc>
        <w:tc>
          <w:tcPr>
            <w:tcW w:w="75" w:type="dxa"/>
            <w:tcBorders/>
            <w:shd w:fill="CCEEFF" w:val="clear"/>
            <w:vAlign w:val="center"/>
          </w:tcPr>
          <w:p>
            <w:pPr>
              <w:pStyle w:val="TableContents"/>
              <w:bidi w:val="0"/>
              <w:spacing w:before="0" w:after="283"/>
              <w:jc w:val="left"/>
              <w:rPr/>
            </w:pPr>
            <w:r>
              <w:rPr/>
              <w:t> </w:t>
            </w:r>
            <w:bookmarkStart w:id="467" w:name="xdx_407_eus-gaap--BusinessCombinationRec"/>
            <w:bookmarkEnd w:id="467"/>
          </w:p>
        </w:tc>
      </w:tr>
      <w:tr>
        <w:trPr/>
        <w:tc>
          <w:tcPr>
            <w:tcW w:w="4325" w:type="dxa"/>
            <w:tcBorders/>
            <w:shd w:fill="FFFFFF" w:val="clear"/>
            <w:vAlign w:val="center"/>
          </w:tcPr>
          <w:p>
            <w:pPr>
              <w:pStyle w:val="TableContents"/>
              <w:bidi w:val="0"/>
              <w:spacing w:before="0" w:after="283"/>
              <w:jc w:val="left"/>
              <w:rPr>
                <w:b/>
              </w:rPr>
            </w:pPr>
            <w:r>
              <w:rPr>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8" w:name="xdx_405_eus-gaap--BusinessCombinationRec"/>
            <w:bookmarkEnd w:id="468"/>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469" w:name="xdx_40A_ecustom--BusinessCombinationReco"/>
            <w:bookmarkEnd w:id="469"/>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bookmarkStart w:id="470" w:name="xdx_40C_eus-gaap--BusinessCombinationRec"/>
            <w:bookmarkEnd w:id="470"/>
          </w:p>
        </w:tc>
      </w:tr>
      <w:tr>
        <w:trPr/>
        <w:tc>
          <w:tcPr>
            <w:tcW w:w="4325" w:type="dxa"/>
            <w:tcBorders/>
            <w:shd w:fill="CCEEFF" w:val="clear"/>
            <w:vAlign w:val="center"/>
          </w:tcPr>
          <w:p>
            <w:pPr>
              <w:pStyle w:val="TableContents"/>
              <w:bidi w:val="0"/>
              <w:spacing w:before="0" w:after="283"/>
              <w:jc w:val="left"/>
              <w:rPr/>
            </w:pPr>
            <w:r>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448</w:t>
            </w:r>
          </w:p>
        </w:tc>
        <w:tc>
          <w:tcPr>
            <w:tcW w:w="75" w:type="dxa"/>
            <w:tcBorders/>
            <w:shd w:fill="CCEEFF" w:val="clear"/>
            <w:vAlign w:val="center"/>
          </w:tcPr>
          <w:p>
            <w:pPr>
              <w:pStyle w:val="TableContents"/>
              <w:bidi w:val="0"/>
              <w:spacing w:before="0" w:after="283"/>
              <w:jc w:val="left"/>
              <w:rPr/>
            </w:pPr>
            <w:r>
              <w:rPr/>
              <w:t> </w:t>
            </w:r>
            <w:bookmarkStart w:id="471" w:name="xdx_405_eus-gaap--BusinessCombinationRec"/>
            <w:bookmarkEnd w:id="471"/>
          </w:p>
        </w:tc>
      </w:tr>
      <w:tr>
        <w:trPr/>
        <w:tc>
          <w:tcPr>
            <w:tcW w:w="432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1,324</w:t>
            </w:r>
          </w:p>
        </w:tc>
        <w:tc>
          <w:tcPr>
            <w:tcW w:w="75" w:type="dxa"/>
            <w:tcBorders/>
            <w:shd w:fill="FFFFFF" w:val="clear"/>
            <w:vAlign w:val="center"/>
          </w:tcPr>
          <w:p>
            <w:pPr>
              <w:pStyle w:val="TableContents"/>
              <w:bidi w:val="0"/>
              <w:spacing w:before="0" w:after="283"/>
              <w:jc w:val="left"/>
              <w:rPr/>
            </w:pPr>
            <w:r>
              <w:rPr/>
              <w:t> </w:t>
            </w:r>
            <w:bookmarkStart w:id="472" w:name="xdx_401_ecustom--BusinessCombinationReco"/>
            <w:bookmarkEnd w:id="472"/>
          </w:p>
        </w:tc>
      </w:tr>
      <w:tr>
        <w:trPr/>
        <w:tc>
          <w:tcPr>
            <w:tcW w:w="432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bookmarkStart w:id="473" w:name="xdx_408_eus-gaap--BusinessCombinationRec"/>
            <w:bookmarkEnd w:id="473"/>
          </w:p>
        </w:tc>
      </w:tr>
      <w:tr>
        <w:trPr/>
        <w:tc>
          <w:tcPr>
            <w:tcW w:w="43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2,125</w:t>
            </w:r>
          </w:p>
        </w:tc>
        <w:tc>
          <w:tcPr>
            <w:tcW w:w="75" w:type="dxa"/>
            <w:tcBorders/>
            <w:shd w:fill="FFFFFF" w:val="clear"/>
            <w:vAlign w:val="center"/>
          </w:tcPr>
          <w:p>
            <w:pPr>
              <w:pStyle w:val="TableContents"/>
              <w:bidi w:val="0"/>
              <w:spacing w:before="0" w:after="283"/>
              <w:jc w:val="left"/>
              <w:rPr/>
            </w:pPr>
            <w:r>
              <w:rPr/>
              <w:t> </w:t>
            </w:r>
            <w:bookmarkStart w:id="474" w:name="xdx_400_eus-gaap--BusinessCombinationRec"/>
            <w:bookmarkEnd w:id="474"/>
          </w:p>
        </w:tc>
      </w:tr>
      <w:tr>
        <w:trPr/>
        <w:tc>
          <w:tcPr>
            <w:tcW w:w="4325" w:type="dxa"/>
            <w:tcBorders/>
            <w:shd w:fill="CCEEFF" w:val="clear"/>
            <w:vAlign w:val="center"/>
          </w:tcPr>
          <w:p>
            <w:pPr>
              <w:pStyle w:val="TableContents"/>
              <w:bidi w:val="0"/>
              <w:spacing w:before="0" w:after="283"/>
              <w:jc w:val="left"/>
              <w:rPr/>
            </w:pPr>
            <w:r>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75" w:name="xdx_40A_eus-gaap--Goodwill_iI_pn3n3_hus-"/>
            <w:bookmarkEnd w:id="475"/>
          </w:p>
        </w:tc>
      </w:tr>
      <w:tr>
        <w:trPr/>
        <w:tc>
          <w:tcPr>
            <w:tcW w:w="432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75" w:type="dxa"/>
            <w:tcBorders/>
            <w:shd w:fill="CCEEFF" w:val="clear"/>
            <w:vAlign w:val="center"/>
          </w:tcPr>
          <w:p>
            <w:pPr>
              <w:pStyle w:val="TableContents"/>
              <w:bidi w:val="0"/>
              <w:spacing w:before="0" w:after="283"/>
              <w:jc w:val="left"/>
              <w:rPr/>
            </w:pPr>
            <w:r>
              <w:rPr/>
              <w:t> </w:t>
            </w:r>
            <w:bookmarkStart w:id="476" w:name="xdx_40A_eus-gaap--BusinessCombinationRec"/>
            <w:bookmarkEnd w:id="476"/>
          </w:p>
        </w:tc>
      </w:tr>
      <w:tr>
        <w:trPr/>
        <w:tc>
          <w:tcPr>
            <w:tcW w:w="432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7" w:name="xdx_8A2_zDHd4rd8UZ9"/>
      <w:bookmarkEnd w:id="4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8" w:name="xdx_892_eus-gaap--ScheduleOfFiniteLivedI"/>
      <w:bookmarkEnd w:id="478"/>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bookmarkStart w:id="479" w:name="xdx_8B0_zgC1VU4kv0U7"/>
      <w:bookmarkEnd w:id="479"/>
      <w:r>
        <w:rPr>
          <w:rFonts w:ascii="Times New Roman;Times;Serif" w:hAnsi="Times New Roman;Times;Serif"/>
          <w:b w:val="false"/>
          <w:i w:val="false"/>
          <w:caps w:val="false"/>
          <w:smallCaps w:val="false"/>
          <w:sz w:val="20"/>
        </w:rPr>
        <w:t>Summary of Intangible Assets Acquired and their Associated Estimated Useful Lives</w:t>
      </w:r>
    </w:p>
    <w:tbl>
      <w:tblPr>
        <w:tblW w:w="2920" w:type="dxa"/>
        <w:jc w:val="left"/>
        <w:tblInd w:w="0" w:type="dxa"/>
        <w:tblLayout w:type="fixed"/>
        <w:tblCellMar>
          <w:top w:w="0" w:type="dxa"/>
          <w:left w:w="0" w:type="dxa"/>
          <w:bottom w:w="0" w:type="dxa"/>
          <w:right w:w="0" w:type="dxa"/>
        </w:tblCellMar>
      </w:tblPr>
      <w:tblGrid>
        <w:gridCol w:w="1910"/>
        <w:gridCol w:w="60"/>
        <w:gridCol w:w="950"/>
      </w:tblGrid>
      <w:tr>
        <w:trPr/>
        <w:tc>
          <w:tcPr>
            <w:tcW w:w="19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80" w:name="xdx_904_eus-gaap--AcquiredFiniteLivedInt"/>
            <w:bookmarkEnd w:id="480"/>
            <w:r>
              <w:rPr>
                <w:rFonts w:ascii="Times New Roman;Times;Serif" w:hAnsi="Times New Roman;Times;Serif"/>
                <w:b w:val="false"/>
                <w:i w:val="false"/>
                <w:caps w:val="false"/>
                <w:smallCaps w:val="false"/>
                <w:sz w:val="20"/>
              </w:rPr>
              <w:t>6 years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81" w:name="xdx_90E_eus-gaap--AcquiredFiniteLivedInt"/>
            <w:bookmarkEnd w:id="481"/>
            <w:r>
              <w:rPr>
                <w:rFonts w:ascii="Times New Roman;Times;Serif" w:hAnsi="Times New Roman;Times;Serif"/>
                <w:b w:val="false"/>
                <w:i w:val="false"/>
                <w:caps w:val="false"/>
                <w:smallCaps w:val="false"/>
                <w:sz w:val="20"/>
              </w:rPr>
              <w:t>10 years</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82" w:name="xdx_90B_eus-gaap--AcquiredFiniteLivedInt"/>
            <w:bookmarkEnd w:id="482"/>
            <w:r>
              <w:rPr>
                <w:rFonts w:ascii="Times New Roman;Times;Serif" w:hAnsi="Times New Roman;Times;Serif"/>
                <w:b w:val="false"/>
                <w:i w:val="false"/>
                <w:caps w:val="false"/>
                <w:smallCaps w:val="false"/>
                <w:sz w:val="20"/>
              </w:rPr>
              <w:t xml:space="preserve">7 - </w:t>
            </w:r>
            <w:bookmarkStart w:id="483" w:name="xdx_903_eus-gaap--AcquiredFiniteLivedInt"/>
            <w:bookmarkEnd w:id="483"/>
            <w:r>
              <w:rPr>
                <w:rFonts w:ascii="Times New Roman;Times;Serif" w:hAnsi="Times New Roman;Times;Serif"/>
                <w:b w:val="false"/>
                <w:i w:val="false"/>
                <w:caps w:val="false"/>
                <w:smallCaps w:val="false"/>
                <w:sz w:val="20"/>
              </w:rPr>
              <w:t>8 years</w:t>
            </w:r>
          </w:p>
        </w:tc>
      </w:tr>
    </w:tbl>
    <w:p>
      <w:pPr>
        <w:pStyle w:val="TextBody"/>
        <w:bidi w:val="0"/>
        <w:spacing w:before="0" w:after="0"/>
        <w:ind w:left="0" w:right="0" w:hanging="0"/>
        <w:jc w:val="both"/>
        <w:rPr>
          <w:caps w:val="false"/>
          <w:smallCaps w:val="false"/>
        </w:rPr>
      </w:pPr>
      <w:bookmarkStart w:id="484" w:name="xdx_8A0_zCSo618QqWaf"/>
      <w:bookmarkEnd w:id="4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unaudited condensed consolidated statements of operations for the three months ended March 31, 2026 and 2025 includes net loss of approximately $</w:t>
      </w:r>
      <w:bookmarkStart w:id="485" w:name="xdx_907_eus-gaap--NetIncomeLoss_pn3n3_c2"/>
      <w:bookmarkEnd w:id="485"/>
      <w:r>
        <w:rPr>
          <w:rFonts w:ascii="Times New Roman;Times;Serif" w:hAnsi="Times New Roman;Times;Serif"/>
          <w:b w:val="false"/>
          <w:i w:val="false"/>
          <w:caps w:val="false"/>
          <w:smallCaps w:val="false"/>
          <w:sz w:val="20"/>
        </w:rPr>
        <w:t>250 and net income of $</w:t>
      </w:r>
      <w:bookmarkStart w:id="486" w:name="xdx_900_eus-gaap--NetIncomeLoss_pn3n3_c2"/>
      <w:bookmarkEnd w:id="486"/>
      <w:r>
        <w:rPr>
          <w:rFonts w:ascii="Times New Roman;Times;Serif" w:hAnsi="Times New Roman;Times;Serif"/>
          <w:b w:val="false"/>
          <w:i w:val="false"/>
          <w:caps w:val="false"/>
          <w:smallCaps w:val="false"/>
          <w:sz w:val="20"/>
        </w:rPr>
        <w:t>734, respectively, of Vidello from the date of acquisition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7" w:name="xdx_89D_eus-gaap--BusinessAcquisitionPro"/>
      <w:bookmarkEnd w:id="487"/>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bookmarkStart w:id="488" w:name="xdx_8BA_zAeCZBNeEx18"/>
      <w:bookmarkEnd w:id="488"/>
      <w:r>
        <w:rPr>
          <w:rFonts w:ascii="Times New Roman;Times;Serif" w:hAnsi="Times New Roman;Times;Serif"/>
          <w:b w:val="false"/>
          <w:i w:val="false"/>
          <w:caps w:val="false"/>
          <w:smallCaps w:val="false"/>
          <w:sz w:val="20"/>
        </w:rPr>
        <w:t>Summary of Pro Forma Financial Information</w:t>
      </w:r>
    </w:p>
    <w:tbl>
      <w:tblPr>
        <w:tblW w:w="10205" w:type="dxa"/>
        <w:jc w:val="left"/>
        <w:tblInd w:w="0" w:type="dxa"/>
        <w:tblLayout w:type="fixed"/>
        <w:tblCellMar>
          <w:top w:w="0" w:type="dxa"/>
          <w:left w:w="0" w:type="dxa"/>
          <w:bottom w:w="0" w:type="dxa"/>
          <w:right w:w="0" w:type="dxa"/>
        </w:tblCellMar>
      </w:tblPr>
      <w:tblGrid>
        <w:gridCol w:w="5909"/>
        <w:gridCol w:w="60"/>
        <w:gridCol w:w="338"/>
        <w:gridCol w:w="1536"/>
        <w:gridCol w:w="229"/>
        <w:gridCol w:w="144"/>
        <w:gridCol w:w="338"/>
        <w:gridCol w:w="1536"/>
        <w:gridCol w:w="115"/>
      </w:tblGrid>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9" w:name="xdx_49E_20260101__20260331__us-gaap--Bus"/>
            <w:bookmarkEnd w:id="489"/>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bookmarkStart w:id="490" w:name="xdx_494_20250101__20250331__us-gaap--Bus"/>
            <w:bookmarkEnd w:id="490"/>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491" w:name="xdx_40E_eus-gaap--BusinessAcquisitionsPr"/>
            <w:bookmarkEnd w:id="491"/>
          </w:p>
        </w:tc>
      </w:tr>
      <w:tr>
        <w:trPr/>
        <w:tc>
          <w:tcPr>
            <w:tcW w:w="590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2,696</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3,609</w:t>
            </w:r>
          </w:p>
        </w:tc>
        <w:tc>
          <w:tcPr>
            <w:tcW w:w="115" w:type="dxa"/>
            <w:tcBorders/>
            <w:shd w:fill="CCEEFF" w:val="clear"/>
            <w:vAlign w:val="center"/>
          </w:tcPr>
          <w:p>
            <w:pPr>
              <w:pStyle w:val="TableContents"/>
              <w:bidi w:val="0"/>
              <w:spacing w:before="0" w:after="283"/>
              <w:jc w:val="left"/>
              <w:rPr/>
            </w:pPr>
            <w:r>
              <w:rPr/>
              <w:t> </w:t>
            </w:r>
            <w:bookmarkStart w:id="492" w:name="xdx_403_ecustom--BusinessAcquisitionProF"/>
            <w:bookmarkEnd w:id="492"/>
          </w:p>
        </w:tc>
      </w:tr>
      <w:tr>
        <w:trPr/>
        <w:tc>
          <w:tcPr>
            <w:tcW w:w="5909"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521</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796</w:t>
            </w:r>
          </w:p>
        </w:tc>
        <w:tc>
          <w:tcPr>
            <w:tcW w:w="115" w:type="dxa"/>
            <w:tcBorders/>
            <w:shd w:fill="FFFFFF" w:val="clear"/>
            <w:vAlign w:val="center"/>
          </w:tcPr>
          <w:p>
            <w:pPr>
              <w:pStyle w:val="TableContents"/>
              <w:bidi w:val="0"/>
              <w:spacing w:before="0" w:after="283"/>
              <w:jc w:val="left"/>
              <w:rPr/>
            </w:pPr>
            <w:r>
              <w:rPr/>
              <w:t> </w:t>
            </w:r>
            <w:bookmarkStart w:id="493" w:name="xdx_40A_ecustom--BusinessAcquisitionProF"/>
            <w:bookmarkEnd w:id="493"/>
          </w:p>
        </w:tc>
      </w:tr>
      <w:tr>
        <w:trPr/>
        <w:tc>
          <w:tcPr>
            <w:tcW w:w="590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7,955</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7,753</w:t>
            </w:r>
          </w:p>
        </w:tc>
        <w:tc>
          <w:tcPr>
            <w:tcW w:w="115" w:type="dxa"/>
            <w:tcBorders/>
            <w:shd w:fill="CCEEFF" w:val="clear"/>
            <w:vAlign w:val="center"/>
          </w:tcPr>
          <w:p>
            <w:pPr>
              <w:pStyle w:val="TableContents"/>
              <w:bidi w:val="0"/>
              <w:spacing w:before="0" w:after="283"/>
              <w:jc w:val="left"/>
              <w:rPr/>
            </w:pPr>
            <w:r>
              <w:rPr/>
              <w:t> </w:t>
            </w:r>
            <w:bookmarkStart w:id="494" w:name="xdx_40E_ecustom--BusinessAcquisitionProF"/>
            <w:bookmarkEnd w:id="494"/>
          </w:p>
        </w:tc>
      </w:tr>
      <w:tr>
        <w:trPr/>
        <w:tc>
          <w:tcPr>
            <w:tcW w:w="5909"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2,689</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(1,337</w:t>
            </w:r>
          </w:p>
        </w:tc>
        <w:tc>
          <w:tcPr>
            <w:tcW w:w="115" w:type="dxa"/>
            <w:tcBorders/>
            <w:shd w:fill="FFFFFF" w:val="clear"/>
            <w:vAlign w:val="center"/>
          </w:tcPr>
          <w:p>
            <w:pPr>
              <w:pStyle w:val="TableContents"/>
              <w:bidi w:val="0"/>
              <w:spacing w:before="0" w:after="283"/>
              <w:jc w:val="left"/>
              <w:rPr/>
            </w:pPr>
            <w:r>
              <w:rPr/>
              <w:t>)</w:t>
            </w:r>
            <w:bookmarkStart w:id="495" w:name="xdx_406_eus-gaap--BusinessCombinationPro"/>
            <w:bookmarkEnd w:id="495"/>
          </w:p>
        </w:tc>
      </w:tr>
      <w:tr>
        <w:trPr/>
        <w:tc>
          <w:tcPr>
            <w:tcW w:w="5909" w:type="dxa"/>
            <w:tcBorders/>
            <w:shd w:fill="CCEEFF" w:val="clear"/>
            <w:vAlign w:val="center"/>
          </w:tcPr>
          <w:p>
            <w:pPr>
              <w:pStyle w:val="TableContents"/>
              <w:bidi w:val="0"/>
              <w:spacing w:before="0" w:after="283"/>
              <w:jc w:val="left"/>
              <w:rPr/>
            </w:pPr>
            <w:r>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(8,469</w:t>
            </w:r>
          </w:p>
        </w:tc>
        <w:tc>
          <w:tcPr>
            <w:tcW w:w="229"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(3,603</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496" w:name="xdx_8A8_zvClvsAKmBBj"/>
      <w:bookmarkEnd w:id="49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7" w:name="xdx_801_eus-gaap--RelatedPartyTransactio"/>
      <w:bookmarkEnd w:id="497"/>
      <w:r>
        <w:rPr>
          <w:rFonts w:ascii="Times New Roman;Times;Serif" w:hAnsi="Times New Roman;Times;Serif"/>
          <w:b/>
          <w:i w:val="false"/>
          <w:caps w:val="false"/>
          <w:smallCaps w:val="false"/>
          <w:sz w:val="20"/>
        </w:rPr>
        <w:t xml:space="preserve">5. </w:t>
      </w:r>
      <w:bookmarkStart w:id="498" w:name="xdx_82C_zme91J60mW69"/>
      <w:bookmarkEnd w:id="49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w:t>
      </w:r>
      <w:bookmarkStart w:id="499" w:name="xdx_90D_eus-gaap--DebtInstrumentConverti"/>
      <w:bookmarkEnd w:id="499"/>
      <w:r>
        <w:rPr>
          <w:rFonts w:ascii="Times New Roman;Times;Serif" w:hAnsi="Times New Roman;Times;Serif"/>
          <w:b w:val="false"/>
          <w:i w:val="false"/>
          <w:caps w:val="false"/>
          <w:smallCaps w:val="false"/>
          <w:sz w:val="20"/>
        </w:rPr>
        <w:t xml:space="preserve">one term note and </w:t>
      </w:r>
      <w:bookmarkStart w:id="500" w:name="xdx_90C_eus-gaap--DebtInstrumentConverti"/>
      <w:bookmarkEnd w:id="500"/>
      <w:r>
        <w:rPr>
          <w:rFonts w:ascii="Times New Roman;Times;Serif" w:hAnsi="Times New Roman;Times;Serif"/>
          <w:b w:val="false"/>
          <w:i w:val="false"/>
          <w:caps w:val="false"/>
          <w:smallCaps w:val="false"/>
          <w:sz w:val="20"/>
        </w:rPr>
        <w:t xml:space="preserve">two convertible notes into </w:t>
      </w:r>
      <w:bookmarkStart w:id="501" w:name="xdx_900_eus-gaap--DebtInstrumentConverti"/>
      <w:bookmarkEnd w:id="501"/>
      <w:r>
        <w:rPr>
          <w:rFonts w:ascii="Times New Roman;Times;Serif" w:hAnsi="Times New Roman;Times;Serif"/>
          <w:b w:val="false"/>
          <w:i w:val="false"/>
          <w:caps w:val="false"/>
          <w:smallCaps w:val="false"/>
          <w:sz w:val="20"/>
        </w:rPr>
        <w:t xml:space="preserve">one new consolidated convertible note. The newly issued consolidated convertible note was issued on September 23, 2024. Additionally on </w:t>
      </w:r>
      <w:bookmarkStart w:id="502" w:name="xdx_900_eus-gaap--DebtInstrumentIssuance"/>
      <w:bookmarkEnd w:id="502"/>
      <w:r>
        <w:rPr>
          <w:rFonts w:ascii="Times New Roman;Times;Serif" w:hAnsi="Times New Roman;Times;Serif"/>
          <w:b w:val="false"/>
          <w:i w:val="false"/>
          <w:caps w:val="false"/>
          <w:smallCaps w:val="false"/>
          <w:sz w:val="20"/>
        </w:rPr>
        <w:t>September 23, 2024, the Company and CP BF entered into a share purchase agreement where the Company issued equity in the form of common stock, common stock warrants and pre-funded warrants to CP BF for the reduction of $</w:t>
      </w:r>
      <w:bookmarkStart w:id="503" w:name="xdx_905_ecustom--ReductionOfDebt_iI_pn6n"/>
      <w:bookmarkEnd w:id="503"/>
      <w:r>
        <w:rPr>
          <w:rFonts w:ascii="Times New Roman;Times;Serif" w:hAnsi="Times New Roman;Times;Serif"/>
          <w:b w:val="false"/>
          <w:i w:val="false"/>
          <w:caps w:val="false"/>
          <w:smallCaps w:val="false"/>
          <w:sz w:val="20"/>
        </w:rPr>
        <w:t xml:space="preserve">2 million of debt under the newly issued consolidated convertible note.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4" w:name="xdx_800_eus-gaap--RevenueFromContractWit"/>
      <w:bookmarkEnd w:id="504"/>
      <w:r>
        <w:rPr>
          <w:rFonts w:ascii="Times New Roman;Times;Serif" w:hAnsi="Times New Roman;Times;Serif"/>
          <w:b/>
          <w:i w:val="false"/>
          <w:caps w:val="false"/>
          <w:smallCaps w:val="false"/>
          <w:sz w:val="20"/>
        </w:rPr>
        <w:t xml:space="preserve">6. </w:t>
      </w:r>
      <w:bookmarkStart w:id="505" w:name="xdx_824_zmaoIWZiJLy3"/>
      <w:bookmarkEnd w:id="505"/>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w:t>
      </w:r>
      <w:bookmarkStart w:id="506" w:name="xdx_909_eus-gaap--RevenuePerformanceObli"/>
      <w:bookmarkEnd w:id="506"/>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w:t>
      </w:r>
      <w:bookmarkStart w:id="507" w:name="xdx_907_eus-gaap--RevenuePerformanceObli"/>
      <w:bookmarkEnd w:id="507"/>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w:t>
      </w:r>
      <w:bookmarkStart w:id="508" w:name="xdx_907_eus-gaap--RevenuePerformanceObli"/>
      <w:bookmarkEnd w:id="508"/>
      <w:r>
        <w:rPr>
          <w:rFonts w:ascii="Times New Roman;Times;Serif" w:hAnsi="Times New Roman;Times;Serif"/>
          <w:b w:val="false"/>
          <w:i w:val="false"/>
          <w:caps w:val="false"/>
          <w:smallCaps w:val="false"/>
          <w:sz w:val="20"/>
        </w:rPr>
        <w:t>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product is a video hosting and marketing platform designed to help businesses manage, customize, and optimize their video content. Revenue is generated through Vidello providing video hosting and marketing platform subscription software service for a set period of time. </w:t>
      </w:r>
      <w:bookmarkStart w:id="509" w:name="xdx_90D_eus-gaap--RevenuePerformanceObli"/>
      <w:bookmarkEnd w:id="509"/>
      <w:r>
        <w:rPr>
          <w:rFonts w:ascii="Times New Roman;Times;Serif" w:hAnsi="Times New Roman;Times;Serif"/>
          <w:b w:val="false"/>
          <w:i w:val="false"/>
          <w:caps w:val="false"/>
          <w:smallCaps w:val="false"/>
          <w:sz w:val="20"/>
        </w:rPr>
        <w:t>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510" w:name="xdx_900_ecustom--NumberOfCustomersWhichI"/>
      <w:bookmarkEnd w:id="510"/>
      <w:r>
        <w:rPr>
          <w:rFonts w:ascii="Times New Roman;Times;Serif" w:hAnsi="Times New Roman;Times;Serif"/>
          <w:b w:val="false"/>
          <w:i w:val="false"/>
          <w:caps w:val="false"/>
          <w:smallCaps w:val="false"/>
          <w:sz w:val="20"/>
        </w:rPr>
        <w:t>one customer for which the customer is also a vendor. For this one customer, the Company exchanged services for approximately $</w:t>
      </w:r>
      <w:bookmarkStart w:id="511" w:name="xdx_90B_ecustom--ServicesRevenueFromVend"/>
      <w:bookmarkEnd w:id="511"/>
      <w:r>
        <w:rPr>
          <w:rFonts w:ascii="Times New Roman;Times;Serif" w:hAnsi="Times New Roman;Times;Serif"/>
          <w:b w:val="false"/>
          <w:i w:val="false"/>
          <w:caps w:val="false"/>
          <w:smallCaps w:val="false"/>
          <w:sz w:val="20"/>
        </w:rPr>
        <w:t>31 and $</w:t>
      </w:r>
      <w:bookmarkStart w:id="512" w:name="xdx_905_ecustom--ServicesRevenueFromVend"/>
      <w:bookmarkEnd w:id="512"/>
      <w:r>
        <w:rPr>
          <w:rFonts w:ascii="Times New Roman;Times;Serif" w:hAnsi="Times New Roman;Times;Serif"/>
          <w:b w:val="false"/>
          <w:i w:val="false"/>
          <w:caps w:val="false"/>
          <w:smallCaps w:val="false"/>
          <w:sz w:val="20"/>
        </w:rPr>
        <w:t>208,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3" w:name="xdx_89B_eus-gaap--DisaggregationOfRevenu"/>
      <w:bookmarkEnd w:id="513"/>
      <w:r>
        <w:rPr>
          <w:rFonts w:ascii="Times New Roman;Times;Serif" w:hAnsi="Times New Roman;Times;Serif"/>
          <w:b w:val="false"/>
          <w:i w:val="false"/>
          <w:caps w:val="false"/>
          <w:smallCaps w:val="false"/>
          <w:sz w:val="20"/>
        </w:rPr>
        <w:t>The following table summarizes revenue by region based on the billing address of customers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514" w:name="xdx_8BA_zj4Qk2nfw4Dk"/>
      <w:bookmarkEnd w:id="514"/>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416"/>
        <w:gridCol w:w="60"/>
        <w:gridCol w:w="172"/>
        <w:gridCol w:w="688"/>
        <w:gridCol w:w="60"/>
        <w:gridCol w:w="60"/>
        <w:gridCol w:w="398"/>
        <w:gridCol w:w="1733"/>
        <w:gridCol w:w="215"/>
        <w:gridCol w:w="60"/>
        <w:gridCol w:w="172"/>
        <w:gridCol w:w="688"/>
        <w:gridCol w:w="60"/>
        <w:gridCol w:w="60"/>
        <w:gridCol w:w="290"/>
        <w:gridCol w:w="1841"/>
        <w:gridCol w:w="232"/>
      </w:tblGrid>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5" w:name="xdx_49F_20260101__20260331_zU9Yx9yPCdp9"/>
            <w:bookmarkEnd w:id="51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6" w:name="xdx_49B_20250101__20250331_zvrlxoPNzYZ9"/>
            <w:bookmarkEnd w:id="51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9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bookmarkStart w:id="517" w:name="xdx_409_eus-gaap--RevenueFromContractWit"/>
            <w:bookmarkEnd w:id="517"/>
          </w:p>
        </w:tc>
      </w:tr>
      <w:tr>
        <w:trPr/>
        <w:tc>
          <w:tcPr>
            <w:tcW w:w="341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bookmarkStart w:id="518" w:name="xdx_986_eus-gaap--ConcentrationRiskPerce"/>
            <w:bookmarkEnd w:id="518"/>
          </w:p>
        </w:tc>
        <w:tc>
          <w:tcPr>
            <w:tcW w:w="1733"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bookmarkStart w:id="519" w:name="xdx_982_eus-gaap--ConcentrationRiskPerce"/>
            <w:bookmarkEnd w:id="519"/>
          </w:p>
        </w:tc>
        <w:tc>
          <w:tcPr>
            <w:tcW w:w="1841" w:type="dxa"/>
            <w:tcBorders/>
            <w:shd w:fill="CCEEFF" w:val="clear"/>
            <w:vAlign w:val="center"/>
          </w:tcPr>
          <w:p>
            <w:pPr>
              <w:pStyle w:val="TableContents"/>
              <w:bidi w:val="0"/>
              <w:spacing w:before="0" w:after="283"/>
              <w:jc w:val="right"/>
              <w:rPr/>
            </w:pPr>
            <w:r>
              <w:rPr/>
              <w:t>77</w:t>
            </w:r>
          </w:p>
        </w:tc>
        <w:tc>
          <w:tcPr>
            <w:tcW w:w="232" w:type="dxa"/>
            <w:tcBorders/>
            <w:shd w:fill="CCEEFF" w:val="clear"/>
            <w:vAlign w:val="center"/>
          </w:tcPr>
          <w:p>
            <w:pPr>
              <w:pStyle w:val="TableContents"/>
              <w:bidi w:val="0"/>
              <w:spacing w:before="0" w:after="283"/>
              <w:jc w:val="left"/>
              <w:rPr/>
            </w:pPr>
            <w:r>
              <w:rPr/>
              <w:t>%</w:t>
            </w:r>
            <w:bookmarkStart w:id="520" w:name="xdx_407_eus-gaap--RevenueFromContractWit"/>
            <w:bookmarkEnd w:id="520"/>
          </w:p>
        </w:tc>
      </w:tr>
      <w:tr>
        <w:trPr/>
        <w:tc>
          <w:tcPr>
            <w:tcW w:w="341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bookmarkStart w:id="521" w:name="xdx_982_eus-gaap--ConcentrationRiskPerce"/>
            <w:bookmarkEnd w:id="521"/>
          </w:p>
        </w:tc>
        <w:tc>
          <w:tcPr>
            <w:tcW w:w="1733"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522" w:name="xdx_984_eus-gaap--ConcentrationRiskPerce"/>
            <w:bookmarkEnd w:id="522"/>
          </w:p>
        </w:tc>
        <w:tc>
          <w:tcPr>
            <w:tcW w:w="1841" w:type="dxa"/>
            <w:tcBorders/>
            <w:shd w:fill="FFFFFF" w:val="clear"/>
            <w:vAlign w:val="center"/>
          </w:tcPr>
          <w:p>
            <w:pPr>
              <w:pStyle w:val="TableContents"/>
              <w:bidi w:val="0"/>
              <w:spacing w:before="0" w:after="283"/>
              <w:jc w:val="right"/>
              <w:rPr/>
            </w:pPr>
            <w:r>
              <w:rPr/>
              <w:t>17</w:t>
            </w:r>
          </w:p>
        </w:tc>
        <w:tc>
          <w:tcPr>
            <w:tcW w:w="232" w:type="dxa"/>
            <w:tcBorders/>
            <w:shd w:fill="FFFFFF" w:val="clear"/>
            <w:vAlign w:val="center"/>
          </w:tcPr>
          <w:p>
            <w:pPr>
              <w:pStyle w:val="TableContents"/>
              <w:bidi w:val="0"/>
              <w:spacing w:before="0" w:after="283"/>
              <w:jc w:val="left"/>
              <w:rPr/>
            </w:pPr>
            <w:r>
              <w:rPr/>
              <w:t>%</w:t>
            </w:r>
            <w:bookmarkStart w:id="523" w:name="xdx_401_eus-gaap--RevenueFromContractWit"/>
            <w:bookmarkEnd w:id="523"/>
          </w:p>
        </w:tc>
      </w:tr>
      <w:tr>
        <w:trPr/>
        <w:tc>
          <w:tcPr>
            <w:tcW w:w="341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4" w:name="xdx_981_eus-gaap--ConcentrationRiskPerce"/>
            <w:bookmarkEnd w:id="524"/>
          </w:p>
        </w:tc>
        <w:tc>
          <w:tcPr>
            <w:tcW w:w="1733"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5" w:name="xdx_98D_eus-gaap--ConcentrationRiskPerce"/>
            <w:bookmarkEnd w:id="525"/>
          </w:p>
        </w:tc>
        <w:tc>
          <w:tcPr>
            <w:tcW w:w="184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232" w:type="dxa"/>
            <w:tcBorders/>
            <w:shd w:fill="CCEEFF" w:val="clear"/>
            <w:vAlign w:val="center"/>
          </w:tcPr>
          <w:p>
            <w:pPr>
              <w:pStyle w:val="TableContents"/>
              <w:bidi w:val="0"/>
              <w:spacing w:before="0" w:after="283"/>
              <w:jc w:val="left"/>
              <w:rPr/>
            </w:pPr>
            <w:r>
              <w:rPr/>
              <w:t>%</w:t>
            </w:r>
            <w:bookmarkStart w:id="526" w:name="xdx_40B_eus-gaap--RevenueFromContractWit"/>
            <w:bookmarkEnd w:id="526"/>
          </w:p>
        </w:tc>
      </w:tr>
      <w:tr>
        <w:trPr/>
        <w:tc>
          <w:tcPr>
            <w:tcW w:w="341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7" w:name="xdx_98E_eus-gaap--ConcentrationRiskPerce"/>
            <w:bookmarkEnd w:id="527"/>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3,379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8" w:name="xdx_98F_eus-gaap--ConcentrationRiskPerce"/>
            <w:bookmarkEnd w:id="528"/>
          </w:p>
        </w:tc>
        <w:tc>
          <w:tcPr>
            <w:tcW w:w="1841"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29" w:name="xdx_8A8_zpu3qvPfRyZ9"/>
      <w:bookmarkEnd w:id="52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receivable is recorded when an unconditional right to invoice and receive payment exists, such that only the passage of time is required before payment of consideration is due. </w:t>
      </w:r>
      <w:bookmarkStart w:id="530" w:name="xdx_90C_ecustom--AccountsReceivableContr"/>
      <w:bookmarkEnd w:id="530"/>
      <w:r>
        <w:rPr>
          <w:rFonts w:ascii="Times New Roman;Times;Serif" w:hAnsi="Times New Roman;Times;Serif"/>
          <w:b w:val="false"/>
          <w:i w:val="false"/>
          <w:caps w:val="false"/>
          <w:smallCaps w:val="false"/>
          <w:sz w:val="20"/>
        </w:rPr>
        <w:t>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1" w:name="xdx_898_eus-gaap--ScheduleOfAccountsNote"/>
      <w:bookmarkEnd w:id="531"/>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bookmarkStart w:id="532" w:name="xdx_8B2_zLwxYD3HkfCe"/>
      <w:bookmarkEnd w:id="532"/>
      <w:r>
        <w:rPr>
          <w:rFonts w:ascii="Times New Roman;Times;Serif" w:hAnsi="Times New Roman;Times;Serif"/>
          <w:b w:val="false"/>
          <w:i w:val="false"/>
          <w:caps w:val="false"/>
          <w:smallCaps w:val="false"/>
          <w:sz w:val="20"/>
        </w:rPr>
        <w:t>Summary of Accounts Receivable, Net</w:t>
      </w:r>
    </w:p>
    <w:tbl>
      <w:tblPr>
        <w:tblW w:w="3490" w:type="dxa"/>
        <w:jc w:val="left"/>
        <w:tblInd w:w="0" w:type="dxa"/>
        <w:tblLayout w:type="fixed"/>
        <w:tblCellMar>
          <w:top w:w="0" w:type="dxa"/>
          <w:left w:w="0" w:type="dxa"/>
          <w:bottom w:w="0" w:type="dxa"/>
          <w:right w:w="0" w:type="dxa"/>
        </w:tblCellMar>
      </w:tblPr>
      <w:tblGrid>
        <w:gridCol w:w="2915"/>
        <w:gridCol w:w="60"/>
        <w:gridCol w:w="60"/>
        <w:gridCol w:w="380"/>
        <w:gridCol w:w="75"/>
      </w:tblGrid>
      <w:tr>
        <w:trPr/>
        <w:tc>
          <w:tcPr>
            <w:tcW w:w="29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3" w:name="xdx_986_eus-gaap--AccountsReceivableNetC"/>
            <w:bookmarkEnd w:id="533"/>
          </w:p>
        </w:tc>
        <w:tc>
          <w:tcPr>
            <w:tcW w:w="380"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4" w:name="xdx_98E_eus-gaap--AccountsReceivableNetC"/>
            <w:bookmarkEnd w:id="534"/>
          </w:p>
        </w:tc>
        <w:tc>
          <w:tcPr>
            <w:tcW w:w="380" w:type="dxa"/>
            <w:tcBorders/>
            <w:shd w:fill="FFFFFF" w:val="clear"/>
            <w:vAlign w:val="center"/>
          </w:tcPr>
          <w:p>
            <w:pPr>
              <w:pStyle w:val="TableContents"/>
              <w:bidi w:val="0"/>
              <w:spacing w:before="0" w:after="283"/>
              <w:jc w:val="right"/>
              <w:rPr/>
            </w:pPr>
            <w:r>
              <w:rPr/>
              <w:t>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5" w:name="xdx_8AD_zs8nJAKxj2qh"/>
      <w:bookmarkEnd w:id="53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6" w:name="xdx_89D_eus-gaap--CapitalizedContractCos"/>
      <w:bookmarkEnd w:id="536"/>
      <w:r>
        <w:rPr>
          <w:rFonts w:ascii="Times New Roman;Times;Serif" w:hAnsi="Times New Roman;Times;Serif"/>
          <w:b w:val="false"/>
          <w:i w:val="false"/>
          <w:caps w:val="false"/>
          <w:smallCaps w:val="false"/>
          <w:sz w:val="20"/>
        </w:rPr>
        <w:t>The following summarizes the activity related to costs to obtain a contract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537" w:name="xdx_8BD_z3sUO33E6Gk1"/>
      <w:bookmarkEnd w:id="537"/>
      <w:r>
        <w:rPr>
          <w:rFonts w:ascii="Times New Roman;Times;Serif" w:hAnsi="Times New Roman;Times;Serif"/>
          <w:b w:val="false"/>
          <w:i w:val="false"/>
          <w:caps w:val="false"/>
          <w:smallCaps w:val="false"/>
          <w:sz w:val="20"/>
        </w:rPr>
        <w:t>Summary of Activity Related to Costs to Obtain Contract</w:t>
      </w:r>
    </w:p>
    <w:tbl>
      <w:tblPr>
        <w:tblW w:w="4010" w:type="dxa"/>
        <w:jc w:val="left"/>
        <w:tblInd w:w="0" w:type="dxa"/>
        <w:tblLayout w:type="fixed"/>
        <w:tblCellMar>
          <w:top w:w="0" w:type="dxa"/>
          <w:left w:w="0" w:type="dxa"/>
          <w:bottom w:w="0" w:type="dxa"/>
          <w:right w:w="0" w:type="dxa"/>
        </w:tblCellMar>
      </w:tblPr>
      <w:tblGrid>
        <w:gridCol w:w="3245"/>
        <w:gridCol w:w="60"/>
        <w:gridCol w:w="140"/>
        <w:gridCol w:w="455"/>
        <w:gridCol w:w="110"/>
      </w:tblGrid>
      <w:tr>
        <w:trPr/>
        <w:tc>
          <w:tcPr>
            <w:tcW w:w="324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8" w:name="xdx_98D_eus-gaap--CapitalizedContractCos"/>
            <w:bookmarkEnd w:id="538"/>
          </w:p>
        </w:tc>
        <w:tc>
          <w:tcPr>
            <w:tcW w:w="455"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9" w:name="xdx_984_ecustom--CommissionsIncurred_pn3"/>
            <w:bookmarkEnd w:id="539"/>
          </w:p>
        </w:tc>
        <w:tc>
          <w:tcPr>
            <w:tcW w:w="455" w:type="dxa"/>
            <w:tcBorders/>
            <w:shd w:fill="FFFFFF" w:val="clear"/>
            <w:vAlign w:val="center"/>
          </w:tcPr>
          <w:p>
            <w:pPr>
              <w:pStyle w:val="TableContents"/>
              <w:bidi w:val="0"/>
              <w:spacing w:before="0" w:after="283"/>
              <w:jc w:val="right"/>
              <w:rPr/>
            </w:pPr>
            <w:r>
              <w:rPr/>
              <w:t>161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0" w:name="xdx_981_ecustom--DeferredCommissionsReco"/>
            <w:bookmarkEnd w:id="540"/>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1" w:name="xdx_98F_eus-gaap--CapitalizedContractCos"/>
            <w:bookmarkEnd w:id="541"/>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42" w:name="xdx_981_eus-gaap--CapitalizedContractCos"/>
            <w:bookmarkEnd w:id="542"/>
          </w:p>
        </w:tc>
        <w:tc>
          <w:tcPr>
            <w:tcW w:w="455" w:type="dxa"/>
            <w:tcBorders/>
            <w:shd w:fill="FFFFFF" w:val="cle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3" w:name="xdx_987_ecustom--CommissionsIncurred_pn3"/>
            <w:bookmarkEnd w:id="543"/>
          </w:p>
        </w:tc>
        <w:tc>
          <w:tcPr>
            <w:tcW w:w="455"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4" w:name="xdx_983_ecustom--DeferredCommissionsReco"/>
            <w:bookmarkEnd w:id="544"/>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5" w:name="xdx_98C_eus-gaap--CapitalizedContractCos"/>
            <w:bookmarkEnd w:id="545"/>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6" w:name="xdx_8A7_zngul6TZOlEk"/>
      <w:bookmarkEnd w:id="54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w:t>
      </w:r>
      <w:bookmarkStart w:id="547" w:name="xdx_909_eus-gaap--ContractWithCustomerLi"/>
      <w:bookmarkEnd w:id="547"/>
      <w:r>
        <w:rPr>
          <w:rFonts w:ascii="Times New Roman;Times;Serif" w:hAnsi="Times New Roman;Times;Serif"/>
          <w:b w:val="false"/>
          <w:i w:val="false"/>
          <w:caps w:val="false"/>
          <w:smallCaps w:val="false"/>
          <w:sz w:val="20"/>
        </w:rPr>
        <w:t xml:space="preserve">1,658 and </w:t>
      </w:r>
      <w:r>
        <w:rPr>
          <w:rFonts w:ascii="Times New Roman;Times;Serif" w:hAnsi="Times New Roman;Times;Serif"/>
          <w:b w:val="false"/>
          <w:i w:val="false"/>
          <w:caps w:val="false"/>
          <w:smallCaps w:val="false"/>
          <w:sz w:val="20"/>
          <w:shd w:fill="FFFFFF" w:val="clear"/>
        </w:rPr>
        <w:t>$</w:t>
      </w:r>
      <w:bookmarkStart w:id="548" w:name="xdx_90D_eus-gaap--ContractWithCustomerLi"/>
      <w:bookmarkEnd w:id="548"/>
      <w:r>
        <w:rPr>
          <w:rFonts w:ascii="Times New Roman;Times;Serif" w:hAnsi="Times New Roman;Times;Serif"/>
          <w:b w:val="false"/>
          <w:i w:val="false"/>
          <w:caps w:val="false"/>
          <w:smallCaps w:val="false"/>
          <w:sz w:val="20"/>
          <w:shd w:fill="FFFFFF" w:val="clear"/>
        </w:rPr>
        <w:t>3,868</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9" w:name="xdx_894_eus-gaap--ContractWithCustomerAs"/>
      <w:bookmarkEnd w:id="549"/>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caps w:val="false"/>
          <w:smallCaps w:val="false"/>
        </w:rPr>
      </w:pPr>
      <w:r>
        <w:rPr>
          <w:caps w:val="false"/>
          <w:smallCaps w:val="false"/>
        </w:rPr>
        <w:t> </w:t>
      </w:r>
      <w:bookmarkStart w:id="550" w:name="xdx_8B4_zOqC6bc6Nbw"/>
      <w:bookmarkEnd w:id="550"/>
      <w:r>
        <w:rPr>
          <w:rFonts w:ascii="Times New Roman;Times;Serif" w:hAnsi="Times New Roman;Times;Serif"/>
          <w:b w:val="false"/>
          <w:i w:val="false"/>
          <w:caps w:val="false"/>
          <w:smallCaps w:val="false"/>
          <w:sz w:val="20"/>
        </w:rPr>
        <w:t>Summary of Changes in Total Deferred Revenue</w:t>
      </w:r>
    </w:p>
    <w:tbl>
      <w:tblPr>
        <w:tblW w:w="10205" w:type="dxa"/>
        <w:jc w:val="left"/>
        <w:tblInd w:w="0" w:type="dxa"/>
        <w:tblLayout w:type="fixed"/>
        <w:tblCellMar>
          <w:top w:w="0" w:type="dxa"/>
          <w:left w:w="0" w:type="dxa"/>
          <w:bottom w:w="0" w:type="dxa"/>
          <w:right w:w="0" w:type="dxa"/>
        </w:tblCellMar>
      </w:tblPr>
      <w:tblGrid>
        <w:gridCol w:w="5882"/>
        <w:gridCol w:w="60"/>
        <w:gridCol w:w="378"/>
        <w:gridCol w:w="1728"/>
        <w:gridCol w:w="95"/>
        <w:gridCol w:w="60"/>
        <w:gridCol w:w="343"/>
        <w:gridCol w:w="1546"/>
        <w:gridCol w:w="113"/>
      </w:tblGrid>
      <w:tr>
        <w:trPr/>
        <w:tc>
          <w:tcPr>
            <w:tcW w:w="58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1" w:name="xdx_49F_20260101__20260331_zYWAda8QFR3k"/>
            <w:bookmarkEnd w:id="551"/>
          </w:p>
        </w:tc>
        <w:tc>
          <w:tcPr>
            <w:tcW w:w="2106" w:type="dxa"/>
            <w:gridSpan w:val="2"/>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2" w:name="xdx_49D_20250101__20251231_z9CkTCHlrDx3"/>
            <w:bookmarkEnd w:id="552"/>
          </w:p>
        </w:tc>
        <w:tc>
          <w:tcPr>
            <w:tcW w:w="1889" w:type="dxa"/>
            <w:gridSpan w:val="2"/>
            <w:tcBorders/>
            <w:vAlign w:val="center"/>
          </w:tcPr>
          <w:p>
            <w:pPr>
              <w:pStyle w:val="TableContents"/>
              <w:bidi w:val="0"/>
              <w:spacing w:before="0" w:after="283"/>
              <w:jc w:val="center"/>
              <w:rPr>
                <w:b/>
              </w:rPr>
            </w:pPr>
            <w:r>
              <w:rPr>
                <w:b/>
              </w:rPr>
              <w:t>Year Ended</w:t>
            </w:r>
          </w:p>
        </w:tc>
        <w:tc>
          <w:tcPr>
            <w:tcW w:w="113" w:type="dxa"/>
            <w:tcBorders/>
            <w:vAlign w:val="center"/>
          </w:tcPr>
          <w:p>
            <w:pPr>
              <w:pStyle w:val="TableContents"/>
              <w:bidi w:val="0"/>
              <w:spacing w:before="0" w:after="283"/>
              <w:jc w:val="left"/>
              <w:rPr/>
            </w:pPr>
            <w:r>
              <w:rPr/>
              <w:t> </w:t>
            </w:r>
          </w:p>
        </w:tc>
      </w:tr>
      <w:tr>
        <w:trPr/>
        <w:tc>
          <w:tcPr>
            <w:tcW w:w="5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bookmarkStart w:id="553" w:name="xdx_40C_eus-gaap--ContractWithCustomerLi"/>
            <w:bookmarkEnd w:id="553"/>
          </w:p>
        </w:tc>
      </w:tr>
      <w:tr>
        <w:trPr/>
        <w:tc>
          <w:tcPr>
            <w:tcW w:w="5882" w:type="dxa"/>
            <w:tcBorders/>
            <w:shd w:fill="CCEEFF" w:val="clear"/>
            <w:vAlign w:val="center"/>
          </w:tcPr>
          <w:p>
            <w:pPr>
              <w:pStyle w:val="TableContents"/>
              <w:bidi w:val="0"/>
              <w:spacing w:before="0" w:after="283"/>
              <w:jc w:val="left"/>
              <w:rPr/>
            </w:pPr>
            <w:r>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546" w:type="dxa"/>
            <w:tcBorders/>
            <w:shd w:fill="CCEEFF" w:val="clear"/>
            <w:vAlign w:val="center"/>
          </w:tcPr>
          <w:p>
            <w:pPr>
              <w:pStyle w:val="TableContents"/>
              <w:bidi w:val="0"/>
              <w:spacing w:before="0" w:after="283"/>
              <w:jc w:val="right"/>
              <w:rPr/>
            </w:pPr>
            <w:r>
              <w:rPr/>
              <w:t>4,052</w:t>
            </w:r>
          </w:p>
        </w:tc>
        <w:tc>
          <w:tcPr>
            <w:tcW w:w="113" w:type="dxa"/>
            <w:tcBorders/>
            <w:shd w:fill="CCEEFF" w:val="clear"/>
            <w:vAlign w:val="center"/>
          </w:tcPr>
          <w:p>
            <w:pPr>
              <w:pStyle w:val="TableContents"/>
              <w:bidi w:val="0"/>
              <w:spacing w:before="0" w:after="283"/>
              <w:jc w:val="left"/>
              <w:rPr/>
            </w:pPr>
            <w:r>
              <w:rPr/>
              <w:t> </w:t>
            </w:r>
            <w:bookmarkStart w:id="554" w:name="xdx_40E_ecustom--ContractWithCustomerLia"/>
            <w:bookmarkEnd w:id="554"/>
          </w:p>
        </w:tc>
      </w:tr>
      <w:tr>
        <w:trPr/>
        <w:tc>
          <w:tcPr>
            <w:tcW w:w="5882" w:type="dxa"/>
            <w:tcBorders/>
            <w:shd w:fill="FFFFFF" w:val="clear"/>
            <w:vAlign w:val="center"/>
          </w:tcPr>
          <w:p>
            <w:pPr>
              <w:pStyle w:val="TableContents"/>
              <w:bidi w:val="0"/>
              <w:spacing w:before="0" w:after="283"/>
              <w:jc w:val="left"/>
              <w:rPr/>
            </w:pPr>
            <w:r>
              <w:rPr/>
              <w:t>Billings</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9,487</w:t>
            </w:r>
          </w:p>
        </w:tc>
        <w:tc>
          <w:tcPr>
            <w:tcW w:w="113" w:type="dxa"/>
            <w:tcBorders/>
            <w:shd w:fill="FFFFFF" w:val="clear"/>
            <w:vAlign w:val="center"/>
          </w:tcPr>
          <w:p>
            <w:pPr>
              <w:pStyle w:val="TableContents"/>
              <w:bidi w:val="0"/>
              <w:spacing w:before="0" w:after="283"/>
              <w:jc w:val="left"/>
              <w:rPr/>
            </w:pPr>
            <w:r>
              <w:rPr/>
              <w:t> </w:t>
            </w:r>
            <w:bookmarkStart w:id="555" w:name="xdx_401_ecustom--ContractWithCustomerLia"/>
            <w:bookmarkEnd w:id="555"/>
          </w:p>
        </w:tc>
      </w:tr>
      <w:tr>
        <w:trPr/>
        <w:tc>
          <w:tcPr>
            <w:tcW w:w="5882" w:type="dxa"/>
            <w:tcBorders/>
            <w:shd w:fill="CCEEFF" w:val="clear"/>
            <w:vAlign w:val="center"/>
          </w:tcPr>
          <w:p>
            <w:pPr>
              <w:pStyle w:val="TableContents"/>
              <w:bidi w:val="0"/>
              <w:spacing w:before="0" w:after="283"/>
              <w:jc w:val="left"/>
              <w:rPr/>
            </w:pPr>
            <w:r>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(3,868</w:t>
            </w:r>
          </w:p>
        </w:tc>
        <w:tc>
          <w:tcPr>
            <w:tcW w:w="113" w:type="dxa"/>
            <w:tcBorders/>
            <w:shd w:fill="CCEEFF" w:val="clear"/>
            <w:vAlign w:val="center"/>
          </w:tcPr>
          <w:p>
            <w:pPr>
              <w:pStyle w:val="TableContents"/>
              <w:bidi w:val="0"/>
              <w:spacing w:before="0" w:after="283"/>
              <w:jc w:val="left"/>
              <w:rPr/>
            </w:pPr>
            <w:r>
              <w:rPr/>
              <w:t>)</w:t>
            </w:r>
            <w:bookmarkStart w:id="556" w:name="xdx_403_ecustom--ContractWithCustomerLia"/>
            <w:bookmarkEnd w:id="556"/>
          </w:p>
        </w:tc>
      </w:tr>
      <w:tr>
        <w:trPr/>
        <w:tc>
          <w:tcPr>
            <w:tcW w:w="5882" w:type="dxa"/>
            <w:tcBorders/>
            <w:shd w:fill="FFFFFF" w:val="clear"/>
            <w:vAlign w:val="center"/>
          </w:tcPr>
          <w:p>
            <w:pPr>
              <w:pStyle w:val="TableContents"/>
              <w:bidi w:val="0"/>
              <w:spacing w:before="0" w:after="283"/>
              <w:jc w:val="left"/>
              <w:rPr/>
            </w:pPr>
            <w:r>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(6,383</w:t>
            </w:r>
          </w:p>
        </w:tc>
        <w:tc>
          <w:tcPr>
            <w:tcW w:w="113" w:type="dxa"/>
            <w:tcBorders/>
            <w:shd w:fill="FFFFFF" w:val="clear"/>
            <w:vAlign w:val="center"/>
          </w:tcPr>
          <w:p>
            <w:pPr>
              <w:pStyle w:val="TableContents"/>
              <w:bidi w:val="0"/>
              <w:spacing w:before="0" w:after="283"/>
              <w:jc w:val="left"/>
              <w:rPr/>
            </w:pPr>
            <w:r>
              <w:rPr/>
              <w:t>)</w:t>
            </w:r>
            <w:bookmarkStart w:id="557" w:name="xdx_400_eus-gaap--ContractWithCustomerLi"/>
            <w:bookmarkEnd w:id="557"/>
          </w:p>
        </w:tc>
      </w:tr>
      <w:tr>
        <w:trPr/>
        <w:tc>
          <w:tcPr>
            <w:tcW w:w="5882" w:type="dxa"/>
            <w:tcBorders/>
            <w:shd w:fill="CCEEFF" w:val="clear"/>
            <w:vAlign w:val="center"/>
          </w:tcPr>
          <w:p>
            <w:pPr>
              <w:pStyle w:val="TableContents"/>
              <w:bidi w:val="0"/>
              <w:spacing w:before="0" w:after="283"/>
              <w:jc w:val="left"/>
              <w:rPr/>
            </w:pPr>
            <w:r>
              <w:rPr/>
              <w:t>Acquired deferred revenue of Vidello (see Note 4 – Acquisitions)</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113" w:type="dxa"/>
            <w:tcBorders/>
            <w:shd w:fill="CCEEFF" w:val="clear"/>
            <w:vAlign w:val="center"/>
          </w:tcPr>
          <w:p>
            <w:pPr>
              <w:pStyle w:val="TableContents"/>
              <w:bidi w:val="0"/>
              <w:spacing w:before="0" w:after="283"/>
              <w:jc w:val="left"/>
              <w:rPr/>
            </w:pPr>
            <w:r>
              <w:rPr/>
              <w:t> </w:t>
            </w:r>
            <w:bookmarkStart w:id="558" w:name="xdx_404_eus-gaap--ContractWithCustomerLi"/>
            <w:bookmarkEnd w:id="558"/>
          </w:p>
        </w:tc>
      </w:tr>
      <w:tr>
        <w:trPr/>
        <w:tc>
          <w:tcPr>
            <w:tcW w:w="5882" w:type="dxa"/>
            <w:tcBorders/>
            <w:shd w:fill="FFFFFF" w:val="clear"/>
            <w:vAlign w:val="center"/>
          </w:tcPr>
          <w:p>
            <w:pPr>
              <w:pStyle w:val="TableContents"/>
              <w:bidi w:val="0"/>
              <w:spacing w:before="0" w:after="283"/>
              <w:jc w:val="left"/>
              <w:rPr/>
            </w:pPr>
            <w:r>
              <w:rPr/>
              <w:t>Total deferred revenue, end of period</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8" w:type="dxa"/>
            <w:tcBorders>
              <w:bottom w:val="double" w:sz="6" w:space="0" w:color="000000"/>
            </w:tcBorders>
            <w:shd w:fill="FFFFFF" w:val="clear"/>
            <w:tcMar>
              <w:bottom w:w="28" w:type="dxa"/>
            </w:tcMar>
            <w:vAlign w:val="center"/>
          </w:tcPr>
          <w:p>
            <w:pPr>
              <w:pStyle w:val="TableContents"/>
              <w:bidi w:val="0"/>
              <w:spacing w:before="0" w:after="283"/>
              <w:jc w:val="right"/>
              <w:rPr/>
            </w:pPr>
            <w:r>
              <w:rPr/>
              <w:t>3,664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6" w:type="dxa"/>
            <w:tcBorders>
              <w:bottom w:val="double" w:sz="6" w:space="0" w:color="000000"/>
            </w:tcBorders>
            <w:shd w:fill="FFFFFF" w:val="clear"/>
            <w:tcMar>
              <w:bottom w:w="28" w:type="dxa"/>
            </w:tcMar>
            <w:vAlign w:val="center"/>
          </w:tcPr>
          <w:p>
            <w:pPr>
              <w:pStyle w:val="TableContents"/>
              <w:bidi w:val="0"/>
              <w:spacing w:before="0" w:after="283"/>
              <w:jc w:val="right"/>
              <w:rPr/>
            </w:pPr>
            <w:r>
              <w:rPr/>
              <w:t>3,736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9" w:name="xdx_8A3_zfdBuvLtc8J2"/>
      <w:bookmarkEnd w:id="55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0" w:name="xdx_809_eus-gaap--FairValueDisclosuresTe"/>
      <w:bookmarkEnd w:id="560"/>
      <w:r>
        <w:rPr>
          <w:rFonts w:ascii="Times New Roman;Times;Serif" w:hAnsi="Times New Roman;Times;Serif"/>
          <w:b/>
          <w:i w:val="false"/>
          <w:caps w:val="false"/>
          <w:smallCaps w:val="false"/>
          <w:sz w:val="20"/>
        </w:rPr>
        <w:t xml:space="preserve">7. </w:t>
      </w:r>
      <w:bookmarkStart w:id="561" w:name="xdx_821_z6msFBVTSNt5"/>
      <w:bookmarkEnd w:id="561"/>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2" w:name="xdx_89D_eus-gaap--FairValueAssetsAndLiab"/>
      <w:bookmarkEnd w:id="562"/>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bookmarkStart w:id="563" w:name="xdx_8BE_ze0uaB9wcWwl"/>
      <w:bookmarkEnd w:id="563"/>
      <w:r>
        <w:rPr>
          <w:rFonts w:ascii="Times New Roman;Times;Serif" w:hAnsi="Times New Roman;Times;Serif"/>
          <w:b w:val="false"/>
          <w:i w:val="false"/>
          <w:caps w:val="false"/>
          <w:smallCaps w:val="false"/>
          <w:sz w:val="20"/>
        </w:rPr>
        <w:t>Schedule of Fair Value on Recurring Basis</w:t>
      </w:r>
    </w:p>
    <w:tbl>
      <w:tblPr>
        <w:tblW w:w="9738" w:type="dxa"/>
        <w:jc w:val="left"/>
        <w:tblInd w:w="0" w:type="dxa"/>
        <w:tblLayout w:type="fixed"/>
        <w:tblCellMar>
          <w:top w:w="0" w:type="dxa"/>
          <w:left w:w="0" w:type="dxa"/>
          <w:bottom w:w="0" w:type="dxa"/>
          <w:right w:w="0" w:type="dxa"/>
        </w:tblCellMar>
      </w:tblPr>
      <w:tblGrid>
        <w:gridCol w:w="5225"/>
        <w:gridCol w:w="60"/>
        <w:gridCol w:w="172"/>
        <w:gridCol w:w="403"/>
        <w:gridCol w:w="60"/>
        <w:gridCol w:w="60"/>
        <w:gridCol w:w="274"/>
        <w:gridCol w:w="1335"/>
        <w:gridCol w:w="60"/>
        <w:gridCol w:w="60"/>
        <w:gridCol w:w="333"/>
        <w:gridCol w:w="1621"/>
        <w:gridCol w:w="75"/>
      </w:tblGrid>
      <w:tr>
        <w:trPr/>
        <w:tc>
          <w:tcPr>
            <w:tcW w:w="5225"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4" w:name="xdx_497_20260331_zgsfjPUf0PIe"/>
            <w:bookmarkEnd w:id="564"/>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A_20251231_z2dd8REDZ7N8"/>
            <w:bookmarkEnd w:id="565"/>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566" w:name="xdx_40F_eus-gaap--AssetsAbstract_iB_z8q1"/>
            <w:bookmarkEnd w:id="566"/>
          </w:p>
        </w:tc>
      </w:tr>
      <w:tr>
        <w:trPr/>
        <w:tc>
          <w:tcPr>
            <w:tcW w:w="5225"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67" w:name="xdx_40E_eus-gaap--EmbeddedDerivativeFair"/>
            <w:bookmarkEnd w:id="567"/>
          </w:p>
        </w:tc>
      </w:tr>
      <w:tr>
        <w:trPr/>
        <w:tc>
          <w:tcPr>
            <w:tcW w:w="522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568" w:name="xdx_408_ecustom--DefiniteLivedIntangible"/>
            <w:bookmarkEnd w:id="568"/>
          </w:p>
        </w:tc>
      </w:tr>
      <w:tr>
        <w:trPr/>
        <w:tc>
          <w:tcPr>
            <w:tcW w:w="5225" w:type="dxa"/>
            <w:tcBorders/>
            <w:shd w:fill="CCEEFF" w:val="clear"/>
            <w:vAlign w:val="center"/>
          </w:tcPr>
          <w:p>
            <w:pPr>
              <w:pStyle w:val="TableContents"/>
              <w:bidi w:val="0"/>
              <w:spacing w:before="0" w:after="283"/>
              <w:jc w:val="left"/>
              <w:rPr/>
            </w:pPr>
            <w:r>
              <w:rPr/>
              <w:t>Definite-lived intangibles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7,737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8,027</w:t>
            </w:r>
          </w:p>
        </w:tc>
        <w:tc>
          <w:tcPr>
            <w:tcW w:w="75" w:type="dxa"/>
            <w:tcBorders/>
            <w:shd w:fill="CCEEFF" w:val="clear"/>
            <w:vAlign w:val="center"/>
          </w:tcPr>
          <w:p>
            <w:pPr>
              <w:pStyle w:val="TableContents"/>
              <w:bidi w:val="0"/>
              <w:spacing w:before="0" w:after="283"/>
              <w:jc w:val="left"/>
              <w:rPr/>
            </w:pPr>
            <w:r>
              <w:rPr/>
              <w:t> </w:t>
            </w:r>
            <w:bookmarkStart w:id="569" w:name="xdx_400_eus-gaap--Goodwill_i01I_pn3n3_hu"/>
            <w:bookmarkEnd w:id="569"/>
          </w:p>
        </w:tc>
      </w:tr>
      <w:tr>
        <w:trPr/>
        <w:tc>
          <w:tcPr>
            <w:tcW w:w="522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21,992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bookmarkStart w:id="570" w:name="xdx_401_eus-gaap--LiabilitiesAbstract_iB"/>
            <w:bookmarkEnd w:id="570"/>
          </w:p>
        </w:tc>
      </w:tr>
      <w:tr>
        <w:trPr/>
        <w:tc>
          <w:tcPr>
            <w:tcW w:w="522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71" w:name="xdx_403_ecustom--WarrantLiabilitiesPubli"/>
            <w:bookmarkEnd w:id="571"/>
          </w:p>
        </w:tc>
      </w:tr>
      <w:tr>
        <w:trPr/>
        <w:tc>
          <w:tcPr>
            <w:tcW w:w="5225" w:type="dxa"/>
            <w:tcBorders/>
            <w:shd w:fill="FFFFFF" w:val="clear"/>
            <w:vAlign w:val="center"/>
          </w:tcPr>
          <w:p>
            <w:pPr>
              <w:pStyle w:val="TableContents"/>
              <w:bidi w:val="0"/>
              <w:spacing w:before="0" w:after="283"/>
              <w:jc w:val="left"/>
              <w:rPr/>
            </w:pPr>
            <w:r>
              <w:rPr/>
              <w:t>Warrant liabilities – public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72" w:name="xdx_40B_ecustom--GEMWarrantLiabilities_i"/>
            <w:bookmarkEnd w:id="572"/>
          </w:p>
        </w:tc>
      </w:tr>
      <w:tr>
        <w:trPr/>
        <w:tc>
          <w:tcPr>
            <w:tcW w:w="5225" w:type="dxa"/>
            <w:tcBorders/>
            <w:shd w:fill="CCEEFF" w:val="clear"/>
            <w:vAlign w:val="center"/>
          </w:tcPr>
          <w:p>
            <w:pPr>
              <w:pStyle w:val="TableContents"/>
              <w:bidi w:val="0"/>
              <w:spacing w:before="0" w:after="283"/>
              <w:jc w:val="left"/>
              <w:rPr/>
            </w:pPr>
            <w:r>
              <w:rPr/>
              <w:t>GEM warrant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73" w:name="xdx_409_ecustom--EarnoutLiabilityCurrent"/>
            <w:bookmarkEnd w:id="573"/>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991</w:t>
            </w:r>
          </w:p>
        </w:tc>
        <w:tc>
          <w:tcPr>
            <w:tcW w:w="75" w:type="dxa"/>
            <w:tcBorders/>
            <w:shd w:fill="FFFFFF" w:val="clear"/>
            <w:vAlign w:val="center"/>
          </w:tcPr>
          <w:p>
            <w:pPr>
              <w:pStyle w:val="TableContents"/>
              <w:bidi w:val="0"/>
              <w:spacing w:before="0" w:after="283"/>
              <w:jc w:val="left"/>
              <w:rPr/>
            </w:pPr>
            <w:r>
              <w:rPr/>
              <w:t> </w:t>
            </w:r>
            <w:bookmarkStart w:id="574" w:name="xdx_401_eus-gaap--ConvertibleDebt_i01I_p"/>
            <w:bookmarkEnd w:id="574"/>
          </w:p>
        </w:tc>
      </w:tr>
      <w:tr>
        <w:trPr/>
        <w:tc>
          <w:tcPr>
            <w:tcW w:w="5225" w:type="dxa"/>
            <w:tcBorders/>
            <w:shd w:fill="CCEEFF" w:val="clear"/>
            <w:vAlign w:val="center"/>
          </w:tcPr>
          <w:p>
            <w:pPr>
              <w:pStyle w:val="TableContents"/>
              <w:bidi w:val="0"/>
              <w:spacing w:before="0" w:after="283"/>
              <w:jc w:val="left"/>
              <w:rPr/>
            </w:pPr>
            <w:r>
              <w:rPr/>
              <w:t>Yorkville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bookmarkStart w:id="575" w:name="xdx_407_eus-gaap--NotesPayable_i01I_pn3n"/>
            <w:bookmarkEnd w:id="575"/>
          </w:p>
        </w:tc>
      </w:tr>
      <w:tr>
        <w:trPr/>
        <w:tc>
          <w:tcPr>
            <w:tcW w:w="5225" w:type="dxa"/>
            <w:tcBorders/>
            <w:shd w:fill="FFFFFF" w:val="clear"/>
            <w:vAlign w:val="center"/>
          </w:tcPr>
          <w:p>
            <w:pPr>
              <w:pStyle w:val="TableContents"/>
              <w:bidi w:val="0"/>
              <w:spacing w:before="0" w:after="283"/>
              <w:jc w:val="left"/>
              <w:rPr/>
            </w:pPr>
            <w:r>
              <w:rPr/>
              <w:t>Agile term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1,728</w:t>
            </w:r>
          </w:p>
        </w:tc>
        <w:tc>
          <w:tcPr>
            <w:tcW w:w="75" w:type="dxa"/>
            <w:tcBorders/>
            <w:shd w:fill="FFFFFF" w:val="clear"/>
            <w:vAlign w:val="center"/>
          </w:tcPr>
          <w:p>
            <w:pPr>
              <w:pStyle w:val="TableContents"/>
              <w:bidi w:val="0"/>
              <w:spacing w:before="0" w:after="283"/>
              <w:jc w:val="left"/>
              <w:rPr/>
            </w:pPr>
            <w:r>
              <w:rPr/>
              <w:t> </w:t>
            </w:r>
            <w:bookmarkStart w:id="576" w:name="xdx_409_eus-gaap--ConvertibleNotesPayabl"/>
            <w:bookmarkEnd w:id="576"/>
          </w:p>
        </w:tc>
      </w:tr>
      <w:tr>
        <w:trPr/>
        <w:tc>
          <w:tcPr>
            <w:tcW w:w="5225" w:type="dxa"/>
            <w:tcBorders/>
            <w:shd w:fill="CCEEFF" w:val="clear"/>
            <w:vAlign w:val="center"/>
          </w:tcPr>
          <w:p>
            <w:pPr>
              <w:pStyle w:val="TableContents"/>
              <w:bidi w:val="0"/>
              <w:spacing w:before="0" w:after="283"/>
              <w:jc w:val="left"/>
              <w:rPr/>
            </w:pPr>
            <w:r>
              <w:rPr/>
              <w:t>1800 Diagonal convertible notes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747</w:t>
            </w:r>
          </w:p>
        </w:tc>
        <w:tc>
          <w:tcPr>
            <w:tcW w:w="75" w:type="dxa"/>
            <w:tcBorders/>
            <w:shd w:fill="CCEEFF" w:val="clear"/>
            <w:vAlign w:val="center"/>
          </w:tcPr>
          <w:p>
            <w:pPr>
              <w:pStyle w:val="TableContents"/>
              <w:bidi w:val="0"/>
              <w:spacing w:before="0" w:after="283"/>
              <w:jc w:val="left"/>
              <w:rPr/>
            </w:pPr>
            <w:r>
              <w:rPr/>
              <w:t> </w:t>
            </w:r>
            <w:bookmarkStart w:id="577" w:name="xdx_409_eus-gaap--ConvertibleDebtFairVal"/>
            <w:bookmarkEnd w:id="577"/>
          </w:p>
        </w:tc>
      </w:tr>
      <w:tr>
        <w:trPr/>
        <w:tc>
          <w:tcPr>
            <w:tcW w:w="5225" w:type="dxa"/>
            <w:tcBorders/>
            <w:shd w:fill="FFFFFF" w:val="clear"/>
            <w:vAlign w:val="center"/>
          </w:tcPr>
          <w:p>
            <w:pPr>
              <w:pStyle w:val="TableContents"/>
              <w:bidi w:val="0"/>
              <w:spacing w:before="0" w:after="283"/>
              <w:jc w:val="left"/>
              <w:rPr/>
            </w:pPr>
            <w:r>
              <w:rPr/>
              <w:t>Private Placement Convertible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1,856</w:t>
            </w:r>
          </w:p>
        </w:tc>
        <w:tc>
          <w:tcPr>
            <w:tcW w:w="75" w:type="dxa"/>
            <w:tcBorders/>
            <w:shd w:fill="FFFFFF" w:val="clear"/>
            <w:vAlign w:val="center"/>
          </w:tcPr>
          <w:p>
            <w:pPr>
              <w:pStyle w:val="TableContents"/>
              <w:bidi w:val="0"/>
              <w:spacing w:before="0" w:after="283"/>
              <w:jc w:val="left"/>
              <w:rPr/>
            </w:pPr>
            <w:r>
              <w:rPr/>
              <w:t> </w:t>
            </w:r>
            <w:bookmarkStart w:id="578" w:name="xdx_404_ecustom--PrivatePlacementWarrant"/>
            <w:bookmarkEnd w:id="578"/>
          </w:p>
        </w:tc>
      </w:tr>
      <w:tr>
        <w:trPr/>
        <w:tc>
          <w:tcPr>
            <w:tcW w:w="5225"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bookmarkStart w:id="579" w:name="xdx_406_eus-gaap--EmbeddedDerivativeFair"/>
            <w:bookmarkEnd w:id="579"/>
          </w:p>
        </w:tc>
      </w:tr>
      <w:tr>
        <w:trPr/>
        <w:tc>
          <w:tcPr>
            <w:tcW w:w="5225" w:type="dxa"/>
            <w:tcBorders/>
            <w:shd w:fill="FFFFFF" w:val="clear"/>
            <w:vAlign w:val="center"/>
          </w:tcPr>
          <w:p>
            <w:pPr>
              <w:pStyle w:val="TableContents"/>
              <w:bidi w:val="0"/>
              <w:spacing w:before="0" w:after="283"/>
              <w:jc w:val="left"/>
              <w:rPr/>
            </w:pPr>
            <w:r>
              <w:rPr/>
              <w:t>Bifurcated embedded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580" w:name="xdx_40A_ecustom--BootCapitalNote_i01I_pn"/>
            <w:bookmarkEnd w:id="580"/>
          </w:p>
        </w:tc>
      </w:tr>
      <w:tr>
        <w:trPr/>
        <w:tc>
          <w:tcPr>
            <w:tcW w:w="5225" w:type="dxa"/>
            <w:tcBorders/>
            <w:shd w:fill="CCEEFF" w:val="clear"/>
            <w:vAlign w:val="center"/>
          </w:tcPr>
          <w:p>
            <w:pPr>
              <w:pStyle w:val="TableContents"/>
              <w:bidi w:val="0"/>
              <w:spacing w:before="0" w:after="283"/>
              <w:jc w:val="left"/>
              <w:rPr/>
            </w:pPr>
            <w:r>
              <w:rPr/>
              <w:t>Boot Capital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1" w:name="xdx_8A8_zxu59jQZTIu7"/>
      <w:bookmarkEnd w:id="5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2" w:name="xdx_892_ecustom--SummaryOfChangesInTheFa"/>
      <w:bookmarkEnd w:id="582"/>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March 31, 2026.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bookmarkStart w:id="583" w:name="xdx_8BE_z4rBCKohDEZ2"/>
      <w:bookmarkEnd w:id="583"/>
      <w:r>
        <w:rPr>
          <w:rFonts w:ascii="Times New Roman;Times;Serif" w:hAnsi="Times New Roman;Times;Serif"/>
          <w:b w:val="false"/>
          <w:i w:val="false"/>
          <w:caps w:val="false"/>
          <w:smallCaps w:val="false"/>
          <w:sz w:val="20"/>
        </w:rPr>
        <w:t>Summary of Changes in the Fair Value of the Warrants Liability</w:t>
      </w:r>
    </w:p>
    <w:tbl>
      <w:tblPr>
        <w:tblW w:w="4809" w:type="dxa"/>
        <w:jc w:val="left"/>
        <w:tblInd w:w="0" w:type="dxa"/>
        <w:tblLayout w:type="fixed"/>
        <w:tblCellMar>
          <w:top w:w="0" w:type="dxa"/>
          <w:left w:w="0" w:type="dxa"/>
          <w:bottom w:w="0" w:type="dxa"/>
          <w:right w:w="0" w:type="dxa"/>
        </w:tblCellMar>
      </w:tblPr>
      <w:tblGrid>
        <w:gridCol w:w="2960"/>
        <w:gridCol w:w="60"/>
        <w:gridCol w:w="599"/>
        <w:gridCol w:w="1115"/>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 Warrants</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w:t>
            </w:r>
            <w:bookmarkStart w:id="584" w:name="xdx_982_ecustom--PublicWarrantsLiability"/>
            <w:bookmarkEnd w:id="584"/>
          </w:p>
        </w:tc>
        <w:tc>
          <w:tcPr>
            <w:tcW w:w="11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5" w:name="xdx_985_ecustom--ChangeInFairValueOfPubl"/>
            <w:bookmarkEnd w:id="585"/>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6" w:name="xdx_983_ecustom--PublicWarrantsLiability"/>
            <w:bookmarkEnd w:id="586"/>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7" w:name="xdx_8AD_zerItYZDeJJ2"/>
      <w:bookmarkEnd w:id="58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9E_ecustom--SummaryOfChangesInTheFa"/>
      <w:bookmarkEnd w:id="588"/>
      <w:r>
        <w:rPr>
          <w:rFonts w:ascii="Times New Roman;Times;Serif" w:hAnsi="Times New Roman;Times;Serif"/>
          <w:b w:val="false"/>
          <w:i w:val="false"/>
          <w:caps w:val="false"/>
          <w:smallCaps w:val="false"/>
          <w:sz w:val="20"/>
        </w:rPr>
        <w:t>The following table summarizes the changes in the fair value of the GEM Warrants liability for the year ended March 31, 2026:</w:t>
      </w:r>
    </w:p>
    <w:p>
      <w:pPr>
        <w:pStyle w:val="TextBody"/>
        <w:bidi w:val="0"/>
        <w:spacing w:before="0" w:after="0"/>
        <w:ind w:left="0" w:right="0" w:hanging="0"/>
        <w:jc w:val="both"/>
        <w:rPr>
          <w:caps w:val="false"/>
          <w:smallCaps w:val="false"/>
        </w:rPr>
      </w:pPr>
      <w:r>
        <w:rPr>
          <w:caps w:val="false"/>
          <w:smallCaps w:val="false"/>
        </w:rPr>
        <w:t> </w:t>
      </w:r>
      <w:bookmarkStart w:id="589" w:name="xdx_8B4_z55mXZ1qOaQb"/>
      <w:bookmarkEnd w:id="589"/>
      <w:r>
        <w:rPr>
          <w:rFonts w:ascii="Times New Roman;Times;Serif" w:hAnsi="Times New Roman;Times;Serif"/>
          <w:b w:val="false"/>
          <w:i w:val="false"/>
          <w:caps w:val="false"/>
          <w:smallCaps w:val="false"/>
          <w:sz w:val="20"/>
        </w:rPr>
        <w:t>Summary of Changes in the Fair Value of the Warrants Liability</w:t>
      </w:r>
    </w:p>
    <w:tbl>
      <w:tblPr>
        <w:tblW w:w="4590" w:type="dxa"/>
        <w:jc w:val="left"/>
        <w:tblInd w:w="0" w:type="dxa"/>
        <w:tblLayout w:type="fixed"/>
        <w:tblCellMar>
          <w:top w:w="0" w:type="dxa"/>
          <w:left w:w="0" w:type="dxa"/>
          <w:bottom w:w="0" w:type="dxa"/>
          <w:right w:w="0" w:type="dxa"/>
        </w:tblCellMar>
      </w:tblPr>
      <w:tblGrid>
        <w:gridCol w:w="2960"/>
        <w:gridCol w:w="60"/>
        <w:gridCol w:w="140"/>
        <w:gridCol w:w="1355"/>
        <w:gridCol w:w="75"/>
      </w:tblGrid>
      <w:tr>
        <w:trPr/>
        <w:tc>
          <w:tcPr>
            <w:tcW w:w="29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GEM Warrants</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0" w:name="xdx_98C_ecustom--GemWarrantsLiability_iS"/>
            <w:bookmarkEnd w:id="590"/>
          </w:p>
        </w:tc>
        <w:tc>
          <w:tcPr>
            <w:tcW w:w="13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1" w:name="xdx_986_ecustom--ChangeInFairValueOfGemW"/>
            <w:bookmarkEnd w:id="591"/>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2" w:name="xdx_984_ecustom--GemWarrantsLiability_iE"/>
            <w:bookmarkEnd w:id="592"/>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3" w:name="xdx_8A2_zZLvVIl5gnQ1"/>
      <w:bookmarkEnd w:id="59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March 31, 2026:</w:t>
      </w:r>
    </w:p>
    <w:p>
      <w:pPr>
        <w:pStyle w:val="TextBody"/>
        <w:bidi w:val="0"/>
        <w:spacing w:before="0" w:after="0"/>
        <w:ind w:left="0" w:right="0" w:hanging="0"/>
        <w:jc w:val="both"/>
        <w:rPr>
          <w:caps w:val="false"/>
          <w:smallCaps w:val="false"/>
        </w:rPr>
      </w:pPr>
      <w:bookmarkStart w:id="594" w:name="xdx_89F_ecustom--SummaryOfChangesInFairV"/>
      <w:bookmarkEnd w:id="594"/>
      <w:r>
        <w:rPr>
          <w:caps w:val="false"/>
          <w:smallCaps w:val="false"/>
        </w:rPr>
        <w:t> </w:t>
      </w:r>
      <w:bookmarkStart w:id="595" w:name="xdx_8B1_zBrx22Vu3aR3"/>
      <w:bookmarkEnd w:id="595"/>
      <w:r>
        <w:rPr>
          <w:rFonts w:ascii="Times New Roman;Times;Serif" w:hAnsi="Times New Roman;Times;Serif"/>
          <w:b w:val="false"/>
          <w:i w:val="false"/>
          <w:caps w:val="false"/>
          <w:smallCaps w:val="false"/>
          <w:sz w:val="20"/>
        </w:rPr>
        <w:t>Summary of Changes in Fair Value of Yorkville Convertible Note</w:t>
      </w:r>
    </w:p>
    <w:tbl>
      <w:tblPr>
        <w:tblW w:w="6645" w:type="dxa"/>
        <w:jc w:val="left"/>
        <w:tblInd w:w="0" w:type="dxa"/>
        <w:tblLayout w:type="fixed"/>
        <w:tblCellMar>
          <w:top w:w="0" w:type="dxa"/>
          <w:left w:w="0" w:type="dxa"/>
          <w:bottom w:w="0" w:type="dxa"/>
          <w:right w:w="0" w:type="dxa"/>
        </w:tblCellMar>
      </w:tblPr>
      <w:tblGrid>
        <w:gridCol w:w="4715"/>
        <w:gridCol w:w="60"/>
        <w:gridCol w:w="352"/>
        <w:gridCol w:w="1408"/>
        <w:gridCol w:w="110"/>
      </w:tblGrid>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jc w:val="center"/>
              <w:rPr>
                <w:b/>
              </w:rPr>
            </w:pPr>
            <w:r>
              <w:rPr>
                <w:b/>
              </w:rPr>
              <w:t>Yorkville</w:t>
            </w:r>
          </w:p>
          <w:p>
            <w:pPr>
              <w:pStyle w:val="TableContents"/>
              <w:bidi w:val="0"/>
              <w:spacing w:before="0" w:after="283"/>
              <w:jc w:val="center"/>
              <w:rPr>
                <w:b/>
              </w:rPr>
            </w:pPr>
            <w:r>
              <w:rPr>
                <w:b/>
              </w:rPr>
              <w:t>Convertible Note</w:t>
            </w:r>
          </w:p>
        </w:tc>
        <w:tc>
          <w:tcPr>
            <w:tcW w:w="11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bookmarkStart w:id="596" w:name="xdx_98A_eus-gaap--ConvertibleDebt_iS_pn3"/>
            <w:bookmarkEnd w:id="596"/>
          </w:p>
        </w:tc>
        <w:tc>
          <w:tcPr>
            <w:tcW w:w="1408" w:type="dxa"/>
            <w:tcBorders/>
            <w:shd w:fill="CCEEFF" w:val="clear"/>
            <w:vAlign w:val="center"/>
          </w:tcPr>
          <w:p>
            <w:pPr>
              <w:pStyle w:val="TableContents"/>
              <w:bidi w:val="0"/>
              <w:spacing w:before="0" w:after="283"/>
              <w:jc w:val="right"/>
              <w:rPr/>
            </w:pPr>
            <w:r>
              <w:rPr/>
              <w:t>1,200</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Repayment in cash of Yorkville convertible notes</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bookmarkStart w:id="597" w:name="xdx_98E_eus-gaap--RepaymentsOfConvertibl"/>
            <w:bookmarkEnd w:id="597"/>
          </w:p>
        </w:tc>
        <w:tc>
          <w:tcPr>
            <w:tcW w:w="1408" w:type="dxa"/>
            <w:tcBorders/>
            <w:shd w:fill="FFFFFF" w:val="clear"/>
            <w:vAlign w:val="center"/>
          </w:tcPr>
          <w:p>
            <w:pPr>
              <w:pStyle w:val="TableContents"/>
              <w:bidi w:val="0"/>
              <w:spacing w:before="0" w:after="283"/>
              <w:jc w:val="right"/>
              <w:rPr/>
            </w:pPr>
            <w:r>
              <w:rPr/>
              <w:t>(647</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8" w:name="xdx_983_ecustom--ChangeInFairValueOfYork"/>
            <w:bookmarkEnd w:id="598"/>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9" w:name="xdx_980_eus-gaap--ConvertibleDebt_iE_pn3"/>
            <w:bookmarkEnd w:id="599"/>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571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0" w:name="xdx_8A2_zj0xgPB1tYj1"/>
      <w:bookmarkEnd w:id="60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(Liabilities)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w:t>
      </w:r>
      <w:bookmarkStart w:id="601" w:name="xdx_905_eus-gaap--DerivativeFairValueOfD"/>
      <w:bookmarkEnd w:id="601"/>
      <w:r>
        <w:rPr>
          <w:rFonts w:ascii="Times New Roman;Times;Serif" w:hAnsi="Times New Roman;Times;Serif"/>
          <w:b w:val="false"/>
          <w:i w:val="false"/>
          <w:caps w:val="false"/>
          <w:smallCaps w:val="false"/>
          <w:sz w:val="20"/>
        </w:rPr>
        <w:t>12. The fair value of the Derivative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2" w:name="xdx_893_ecustom--ScheduleOfDerivativeAss"/>
      <w:bookmarkEnd w:id="602"/>
      <w:r>
        <w:rPr>
          <w:rFonts w:ascii="Times New Roman;Times;Serif" w:hAnsi="Times New Roman;Times;Serif"/>
          <w:b w:val="false"/>
          <w:i w:val="false"/>
          <w:caps w:val="false"/>
          <w:smallCaps w:val="false"/>
          <w:sz w:val="20"/>
        </w:rPr>
        <w:t>The following table summarizes the changes in the fair value of the Derivative asset (liability) for the three months ended March 31, 2026,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bookmarkStart w:id="603" w:name="xdx_8B3_zJ7QGqFEnmKg"/>
      <w:bookmarkEnd w:id="603"/>
      <w:r>
        <w:rPr>
          <w:rFonts w:ascii="Times New Roman;Times;Serif" w:hAnsi="Times New Roman;Times;Serif"/>
          <w:b w:val="false"/>
          <w:i w:val="false"/>
          <w:caps w:val="false"/>
          <w:smallCaps w:val="false"/>
          <w:sz w:val="20"/>
        </w:rPr>
        <w:t>Schedule of Derivative Asset (Liability)</w:t>
      </w:r>
    </w:p>
    <w:tbl>
      <w:tblPr>
        <w:tblW w:w="10205" w:type="dxa"/>
        <w:jc w:val="left"/>
        <w:tblInd w:w="0" w:type="dxa"/>
        <w:tblLayout w:type="fixed"/>
        <w:tblCellMar>
          <w:top w:w="0" w:type="dxa"/>
          <w:left w:w="0" w:type="dxa"/>
          <w:bottom w:w="0" w:type="dxa"/>
          <w:right w:w="0" w:type="dxa"/>
        </w:tblCellMar>
      </w:tblPr>
      <w:tblGrid>
        <w:gridCol w:w="7453"/>
        <w:gridCol w:w="60"/>
        <w:gridCol w:w="760"/>
        <w:gridCol w:w="1821"/>
        <w:gridCol w:w="111"/>
      </w:tblGrid>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Derivative Asset (Liability)</w:t>
            </w:r>
          </w:p>
        </w:tc>
        <w:tc>
          <w:tcPr>
            <w:tcW w:w="111" w:type="dxa"/>
            <w:tcBorders/>
            <w:vAlign w:val="center"/>
          </w:tcPr>
          <w:p>
            <w:pPr>
              <w:pStyle w:val="TableContents"/>
              <w:bidi w:val="0"/>
              <w:spacing w:before="0" w:after="283"/>
              <w:jc w:val="left"/>
              <w:rPr/>
            </w:pPr>
            <w:r>
              <w:rPr/>
              <w:t> </w:t>
            </w:r>
          </w:p>
        </w:tc>
      </w:tr>
      <w:tr>
        <w:trPr/>
        <w:tc>
          <w:tcPr>
            <w:tcW w:w="7453" w:type="dxa"/>
            <w:tcBorders/>
            <w:shd w:fill="CCEEFF" w:val="clear"/>
            <w:vAlign w:val="center"/>
          </w:tcPr>
          <w:p>
            <w:pPr>
              <w:pStyle w:val="TableContents"/>
              <w:bidi w:val="0"/>
              <w:spacing w:before="0" w:after="283"/>
              <w:jc w:val="left"/>
              <w:rPr/>
            </w:pPr>
            <w:r>
              <w:rPr/>
              <w:t>Balance at December 31, 2025 -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w:t>
            </w:r>
            <w:bookmarkStart w:id="604" w:name="xdx_984_eus-gaap--DerivativeAssetsLiabil"/>
            <w:bookmarkEnd w:id="604"/>
          </w:p>
        </w:tc>
        <w:tc>
          <w:tcPr>
            <w:tcW w:w="1821" w:type="dxa"/>
            <w:tcBorders/>
            <w:shd w:fill="CCEEFF" w:val="clear"/>
            <w:vAlign w:val="center"/>
          </w:tcPr>
          <w:p>
            <w:pPr>
              <w:pStyle w:val="TableContents"/>
              <w:bidi w:val="0"/>
              <w:spacing w:before="0" w:after="283"/>
              <w:jc w:val="right"/>
              <w:rPr/>
            </w:pPr>
            <w:r>
              <w:rPr/>
              <w:t>9</w:t>
            </w:r>
          </w:p>
        </w:tc>
        <w:tc>
          <w:tcPr>
            <w:tcW w:w="111" w:type="dxa"/>
            <w:tcBorders/>
            <w:shd w:fill="CCEEFF" w:val="clear"/>
            <w:vAlign w:val="center"/>
          </w:tcPr>
          <w:p>
            <w:pPr>
              <w:pStyle w:val="TableContents"/>
              <w:bidi w:val="0"/>
              <w:spacing w:before="0" w:after="283"/>
              <w:jc w:val="left"/>
              <w:rPr/>
            </w:pPr>
            <w:r>
              <w:rPr/>
              <w:t> </w:t>
            </w:r>
          </w:p>
        </w:tc>
      </w:tr>
      <w:tr>
        <w:trPr/>
        <w:tc>
          <w:tcPr>
            <w:tcW w:w="7453"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5" w:name="xdx_989_eus-gaap--EmbeddedDerivativeGain"/>
            <w:bookmarkEnd w:id="605"/>
          </w:p>
        </w:tc>
        <w:tc>
          <w:tcPr>
            <w:tcW w:w="1821"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jc w:val="left"/>
              <w:rPr/>
            </w:pPr>
            <w:r>
              <w:rPr/>
              <w:t>)</w:t>
            </w:r>
          </w:p>
        </w:tc>
      </w:tr>
      <w:tr>
        <w:trPr/>
        <w:tc>
          <w:tcPr>
            <w:tcW w:w="7453" w:type="dxa"/>
            <w:tcBorders/>
            <w:shd w:fill="CCEEFF" w:val="clear"/>
            <w:vAlign w:val="center"/>
          </w:tcPr>
          <w:p>
            <w:pPr>
              <w:pStyle w:val="TableContents"/>
              <w:bidi w:val="0"/>
              <w:spacing w:before="0" w:after="283"/>
              <w:jc w:val="left"/>
              <w:rPr/>
            </w:pPr>
            <w:r>
              <w:rPr/>
              <w:t>Balance at March 31, 2026 - Bifurcated embedded derivative liability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06" w:name="xdx_983_eus-gaap--DerivativeAssetsLiabil"/>
            <w:bookmarkEnd w:id="606"/>
          </w:p>
        </w:tc>
        <w:tc>
          <w:tcPr>
            <w:tcW w:w="1821"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07" w:name="xdx_8AC_zNmeVJ1SDOPa"/>
      <w:bookmarkEnd w:id="60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8" w:name="xdx_896_eus-gaap--FairValueNetDerivative"/>
      <w:bookmarkEnd w:id="608"/>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609" w:name="xdx_8BA_zplMu1Acz8le"/>
      <w:bookmarkEnd w:id="609"/>
      <w:r>
        <w:rPr>
          <w:rFonts w:ascii="Times New Roman;Times;Serif" w:hAnsi="Times New Roman;Times;Serif"/>
          <w:b w:val="false"/>
          <w:i w:val="false"/>
          <w:caps w:val="false"/>
          <w:smallCaps w:val="false"/>
          <w:sz w:val="20"/>
        </w:rPr>
        <w:t>Summary of Ranges of Inputs in Fair Value of the Private Placement Warrant Liability</w:t>
      </w:r>
    </w:p>
    <w:tbl>
      <w:tblPr>
        <w:tblW w:w="4214" w:type="dxa"/>
        <w:jc w:val="left"/>
        <w:tblInd w:w="0" w:type="dxa"/>
        <w:tblLayout w:type="fixed"/>
        <w:tblCellMar>
          <w:top w:w="0" w:type="dxa"/>
          <w:left w:w="0" w:type="dxa"/>
          <w:bottom w:w="0" w:type="dxa"/>
          <w:right w:w="0" w:type="dxa"/>
        </w:tblCellMar>
      </w:tblPr>
      <w:tblGrid>
        <w:gridCol w:w="2315"/>
        <w:gridCol w:w="60"/>
        <w:gridCol w:w="179"/>
        <w:gridCol w:w="1430"/>
        <w:gridCol w:w="230"/>
      </w:tblGrid>
      <w:tr>
        <w:trPr/>
        <w:tc>
          <w:tcPr>
            <w:tcW w:w="2315" w:type="dxa"/>
            <w:tcBorders/>
            <w:vAlign w:val="center"/>
          </w:tcPr>
          <w:p>
            <w:pPr>
              <w:pStyle w:val="TableContents"/>
              <w:bidi w:val="0"/>
              <w:spacing w:before="0" w:after="283"/>
              <w:jc w:val="left"/>
              <w:rPr>
                <w:b/>
              </w:rPr>
            </w:pPr>
            <w:r>
              <w:rPr>
                <w:b/>
              </w:rPr>
              <w:t>Key Inputs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bookmarkStart w:id="610" w:name="xdx_90F_eus-gaap--WarrantsAndRightsOutst"/>
            <w:bookmarkEnd w:id="610"/>
            <w:r>
              <w:rPr/>
              <w:t>0.95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Contractual term (years)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1" w:name="xdx_90D_eus-gaap--WarrantsAndRightsOutst"/>
            <w:bookmarkEnd w:id="611"/>
            <w:r>
              <w:rPr>
                <w:rFonts w:ascii="Times New Roman;Times;Serif" w:hAnsi="Times New Roman;Times;Serif"/>
                <w:sz w:val="20"/>
              </w:rPr>
              <w:t xml:space="preserve">2.25 - </w:t>
            </w:r>
            <w:bookmarkStart w:id="612" w:name="xdx_905_eus-gaap--WarrantsAndRightsOutst"/>
            <w:bookmarkEnd w:id="612"/>
            <w:r>
              <w:rPr>
                <w:rFonts w:ascii="Times New Roman;Times;Serif" w:hAnsi="Times New Roman;Times;Serif"/>
                <w:sz w:val="20"/>
              </w:rPr>
              <w:t>4.87</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bookmarkStart w:id="613" w:name="xdx_902_eus-gaap--WarrantsAndRightsOutst"/>
            <w:bookmarkEnd w:id="613"/>
            <w:r>
              <w:rPr>
                <w:rFonts w:ascii="Times New Roman;Times;Serif" w:hAnsi="Times New Roman;Times;Serif"/>
                <w:sz w:val="20"/>
              </w:rPr>
              <w:t xml:space="preserve">3.8% - </w:t>
            </w:r>
            <w:bookmarkStart w:id="614" w:name="xdx_906_eus-gaap--WarrantsAndRightsOutst"/>
            <w:bookmarkEnd w:id="614"/>
            <w:r>
              <w:rPr>
                <w:rFonts w:ascii="Times New Roman;Times;Serif" w:hAnsi="Times New Roman;Times;Serif"/>
                <w:sz w:val="20"/>
              </w:rPr>
              <w:t>3.9</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5" w:name="xdx_909_eus-gaap--WarrantsAndRightsOutst"/>
            <w:bookmarkEnd w:id="615"/>
            <w:r>
              <w:rPr>
                <w:rFonts w:ascii="Times New Roman;Times;Serif" w:hAnsi="Times New Roman;Times;Serif"/>
                <w:sz w:val="20"/>
              </w:rPr>
              <w:t xml:space="preserve">113% - </w:t>
            </w:r>
            <w:bookmarkStart w:id="616" w:name="xdx_906_eus-gaap--WarrantsAndRightsOutst"/>
            <w:bookmarkEnd w:id="616"/>
            <w:r>
              <w:rPr>
                <w:rFonts w:ascii="Times New Roman;Times;Serif" w:hAnsi="Times New Roman;Times;Serif"/>
                <w:sz w:val="20"/>
              </w:rPr>
              <w:t>125.3</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bookmarkStart w:id="617" w:name="xdx_90F_eus-gaap--WarrantsAndRightsOutst"/>
            <w:bookmarkEnd w:id="617"/>
            <w:r>
              <w:rPr>
                <w:rFonts w:ascii="Times New Roman;Times;Serif" w:hAnsi="Times New Roman;Times;Serif"/>
                <w:sz w:val="20"/>
              </w:rPr>
              <w:t>0.66 - $</w:t>
            </w:r>
            <w:bookmarkStart w:id="618" w:name="xdx_90F_eus-gaap--WarrantsAndRightsOutst"/>
            <w:bookmarkEnd w:id="618"/>
            <w:r>
              <w:rPr>
                <w:rFonts w:ascii="Times New Roman;Times;Serif" w:hAnsi="Times New Roman;Times;Serif"/>
                <w:sz w:val="20"/>
              </w:rPr>
              <w:t>2.50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bookmarkStart w:id="619" w:name="xdx_90E_eus-gaap--WarrantsAndRightsOutst"/>
            <w:bookmarkEnd w:id="619"/>
            <w:r>
              <w:rPr/>
              <w:t>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20" w:name="xdx_8A2_zDEl6snPoDxh"/>
      <w:bookmarkEnd w:id="620"/>
      <w:r>
        <w:rPr>
          <w:caps w:val="false"/>
          <w:smallCaps w:val="false"/>
        </w:rPr>
        <w:t> </w:t>
      </w:r>
    </w:p>
    <w:p>
      <w:pPr>
        <w:pStyle w:val="TextBody"/>
        <w:bidi w:val="0"/>
        <w:spacing w:before="0" w:after="0"/>
        <w:ind w:left="0" w:right="0" w:hanging="0"/>
        <w:jc w:val="left"/>
        <w:rPr>
          <w:caps w:val="false"/>
          <w:smallCaps w:val="false"/>
        </w:rPr>
      </w:pPr>
      <w:bookmarkStart w:id="621" w:name="xdx_895_ecustom--FairValueChangeOfPrivat"/>
      <w:bookmarkEnd w:id="621"/>
      <w:r>
        <w:rPr>
          <w:caps w:val="false"/>
          <w:smallCaps w:val="false"/>
        </w:rPr>
        <w:t> </w:t>
      </w:r>
      <w:bookmarkStart w:id="622" w:name="xdx_8BB_zeWFza5RhtN6"/>
      <w:bookmarkEnd w:id="622"/>
      <w:r>
        <w:rPr>
          <w:rFonts w:ascii="Times New Roman;Times;Serif" w:hAnsi="Times New Roman;Times;Serif"/>
          <w:b w:val="false"/>
          <w:i w:val="false"/>
          <w:caps w:val="false"/>
          <w:smallCaps w:val="false"/>
          <w:sz w:val="20"/>
        </w:rPr>
        <w:t>Summary of Changes in Fair Value of Private Placement Warrant Liability</w:t>
      </w:r>
    </w:p>
    <w:tbl>
      <w:tblPr>
        <w:tblW w:w="6610" w:type="dxa"/>
        <w:jc w:val="left"/>
        <w:tblInd w:w="0" w:type="dxa"/>
        <w:tblLayout w:type="fixed"/>
        <w:tblCellMar>
          <w:top w:w="0" w:type="dxa"/>
          <w:left w:w="0" w:type="dxa"/>
          <w:bottom w:w="0" w:type="dxa"/>
          <w:right w:w="0" w:type="dxa"/>
        </w:tblCellMar>
      </w:tblPr>
      <w:tblGrid>
        <w:gridCol w:w="3560"/>
        <w:gridCol w:w="60"/>
        <w:gridCol w:w="583"/>
        <w:gridCol w:w="2332"/>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w:t>
            </w:r>
            <w:bookmarkStart w:id="623" w:name="xdx_982_eus-gaap--FairValueNetDerivative"/>
            <w:bookmarkEnd w:id="623"/>
          </w:p>
        </w:tc>
        <w:tc>
          <w:tcPr>
            <w:tcW w:w="2332"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Loss on issuance – February Warrant</w:t>
            </w:r>
          </w:p>
        </w:tc>
        <w:tc>
          <w:tcPr>
            <w:tcW w:w="6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bookmarkStart w:id="624" w:name="xdx_986_ecustom--IssuanceOfPrivatePlacem"/>
            <w:bookmarkEnd w:id="624"/>
          </w:p>
        </w:tc>
        <w:tc>
          <w:tcPr>
            <w:tcW w:w="2332"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5" w:name="xdx_983_eus-gaap--FairValueNetDerivative"/>
            <w:bookmarkEnd w:id="625"/>
          </w:p>
        </w:tc>
        <w:tc>
          <w:tcPr>
            <w:tcW w:w="2332"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6" w:name="xdx_987_eus-gaap--FairValueNetDerivative"/>
            <w:bookmarkEnd w:id="626"/>
          </w:p>
        </w:tc>
        <w:tc>
          <w:tcPr>
            <w:tcW w:w="2332" w:type="dxa"/>
            <w:tcBorders>
              <w:bottom w:val="double" w:sz="6" w:space="0" w:color="000000"/>
            </w:tcBorders>
            <w:shd w:fill="FFFFFF" w:val="clear"/>
            <w:tcMar>
              <w:bottom w:w="28" w:type="dxa"/>
            </w:tcMar>
            <w:vAlign w:val="center"/>
          </w:tcPr>
          <w:p>
            <w:pPr>
              <w:pStyle w:val="TableContents"/>
              <w:bidi w:val="0"/>
              <w:spacing w:before="0" w:after="283"/>
              <w:jc w:val="right"/>
              <w:rPr/>
            </w:pPr>
            <w:r>
              <w:rPr/>
              <w:t>1,250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7" w:name="xdx_8A7_zDyEC68JmxU"/>
      <w:bookmarkEnd w:id="6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8" w:name="xdx_80C_ecustom--PrepaidExpensesAndOther"/>
      <w:bookmarkEnd w:id="628"/>
      <w:r>
        <w:rPr>
          <w:rFonts w:ascii="Times New Roman;Times;Serif" w:hAnsi="Times New Roman;Times;Serif"/>
          <w:b/>
          <w:i w:val="false"/>
          <w:caps w:val="false"/>
          <w:smallCaps w:val="false"/>
          <w:sz w:val="20"/>
        </w:rPr>
        <w:t xml:space="preserve">8. </w:t>
      </w:r>
      <w:bookmarkStart w:id="629" w:name="xdx_823_zcMDORjqJyF9"/>
      <w:bookmarkEnd w:id="629"/>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0" w:name="xdx_89A_eus-gaap--DeferredCostsCapitaliz"/>
      <w:bookmarkEnd w:id="630"/>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31" w:name="xdx_8B7_zU2glDUNja8k"/>
      <w:bookmarkEnd w:id="631"/>
      <w:r>
        <w:rPr>
          <w:rFonts w:ascii="Times New Roman;Times;Serif" w:hAnsi="Times New Roman;Times;Serif"/>
          <w:b w:val="false"/>
          <w:i w:val="false"/>
          <w:caps w:val="false"/>
          <w:smallCaps w:val="false"/>
          <w:sz w:val="20"/>
        </w:rPr>
        <w:t>Summary of Prepaid Expenses and Other Current Assets </w:t>
      </w:r>
    </w:p>
    <w:tbl>
      <w:tblPr>
        <w:tblW w:w="8293" w:type="dxa"/>
        <w:jc w:val="left"/>
        <w:tblInd w:w="0" w:type="dxa"/>
        <w:tblLayout w:type="fixed"/>
        <w:tblCellMar>
          <w:top w:w="0" w:type="dxa"/>
          <w:left w:w="0" w:type="dxa"/>
          <w:bottom w:w="0" w:type="dxa"/>
          <w:right w:w="0" w:type="dxa"/>
        </w:tblCellMar>
      </w:tblPr>
      <w:tblGrid>
        <w:gridCol w:w="4475"/>
        <w:gridCol w:w="60"/>
        <w:gridCol w:w="433"/>
        <w:gridCol w:w="1176"/>
        <w:gridCol w:w="60"/>
        <w:gridCol w:w="60"/>
        <w:gridCol w:w="526"/>
        <w:gridCol w:w="1428"/>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2" w:name="xdx_496_20260331_zwMwiP7UUk53"/>
            <w:bookmarkEnd w:id="63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3" w:name="xdx_499_20251231_zTRmNymKoYOh"/>
            <w:bookmarkEnd w:id="63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634" w:name="xdx_405_eus-gaap--PrepaidExpenseAndOther"/>
            <w:bookmarkEnd w:id="634"/>
          </w:p>
        </w:tc>
      </w:tr>
      <w:tr>
        <w:trPr/>
        <w:tc>
          <w:tcPr>
            <w:tcW w:w="447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35" w:name="xdx_402_ecustom--PrepaidSoftwareCosts_i0"/>
            <w:bookmarkEnd w:id="635"/>
          </w:p>
        </w:tc>
      </w:tr>
      <w:tr>
        <w:trPr/>
        <w:tc>
          <w:tcPr>
            <w:tcW w:w="4475" w:type="dxa"/>
            <w:tcBorders/>
            <w:shd w:fill="FFFFFF" w:val="clear"/>
            <w:vAlign w:val="center"/>
          </w:tcPr>
          <w:p>
            <w:pPr>
              <w:pStyle w:val="TableContents"/>
              <w:bidi w:val="0"/>
              <w:spacing w:before="0" w:after="283"/>
              <w:jc w:val="left"/>
              <w:rPr/>
            </w:pPr>
            <w:r>
              <w:rPr/>
              <w:t>Prepaid software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w:t>
            </w:r>
          </w:p>
        </w:tc>
        <w:tc>
          <w:tcPr>
            <w:tcW w:w="1176"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bookmarkStart w:id="636" w:name="xdx_40B_ecustom--ServiceTrade_i01I_pn3n3"/>
            <w:bookmarkEnd w:id="636"/>
          </w:p>
        </w:tc>
      </w:tr>
      <w:tr>
        <w:trPr/>
        <w:tc>
          <w:tcPr>
            <w:tcW w:w="4475" w:type="dxa"/>
            <w:tcBorders/>
            <w:shd w:fill="CCEEFF" w:val="clear"/>
            <w:vAlign w:val="center"/>
          </w:tcPr>
          <w:p>
            <w:pPr>
              <w:pStyle w:val="TableContents"/>
              <w:bidi w:val="0"/>
              <w:spacing w:before="0" w:after="283"/>
              <w:jc w:val="left"/>
              <w:rPr/>
            </w:pPr>
            <w:r>
              <w:rPr/>
              <w:t>Service trade</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bookmarkStart w:id="637" w:name="xdx_407_ecustom--EmployeeReceivable_i01I"/>
            <w:bookmarkEnd w:id="637"/>
          </w:p>
        </w:tc>
      </w:tr>
      <w:tr>
        <w:trPr/>
        <w:tc>
          <w:tcPr>
            <w:tcW w:w="4475" w:type="dxa"/>
            <w:tcBorders/>
            <w:shd w:fill="FFFFFF" w:val="clear"/>
            <w:vAlign w:val="center"/>
          </w:tcPr>
          <w:p>
            <w:pPr>
              <w:pStyle w:val="TableContents"/>
              <w:bidi w:val="0"/>
              <w:spacing w:before="0" w:after="283"/>
              <w:jc w:val="left"/>
              <w:rPr/>
            </w:pPr>
            <w:r>
              <w:rPr/>
              <w:t>Employee receivable</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bookmarkStart w:id="638" w:name="xdx_400_eus-gaap--PrepaidInsurance_i01I_"/>
            <w:bookmarkEnd w:id="638"/>
          </w:p>
        </w:tc>
      </w:tr>
      <w:tr>
        <w:trPr/>
        <w:tc>
          <w:tcPr>
            <w:tcW w:w="4475" w:type="dxa"/>
            <w:tcBorders/>
            <w:shd w:fill="CCEEFF" w:val="clear"/>
            <w:vAlign w:val="center"/>
          </w:tcPr>
          <w:p>
            <w:pPr>
              <w:pStyle w:val="TableContents"/>
              <w:bidi w:val="0"/>
              <w:spacing w:before="0" w:after="283"/>
              <w:jc w:val="left"/>
              <w:rPr/>
            </w:pPr>
            <w:r>
              <w:rPr/>
              <w:t>Prepaid insurance costs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bookmarkStart w:id="639" w:name="xdx_404_ecustom--PrepaidCommissions_i01I"/>
            <w:bookmarkEnd w:id="639"/>
          </w:p>
        </w:tc>
      </w:tr>
      <w:tr>
        <w:trPr/>
        <w:tc>
          <w:tcPr>
            <w:tcW w:w="447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96</w:t>
            </w:r>
          </w:p>
        </w:tc>
        <w:tc>
          <w:tcPr>
            <w:tcW w:w="75" w:type="dxa"/>
            <w:tcBorders/>
            <w:shd w:fill="FFFFFF" w:val="clear"/>
            <w:vAlign w:val="center"/>
          </w:tcPr>
          <w:p>
            <w:pPr>
              <w:pStyle w:val="TableContents"/>
              <w:bidi w:val="0"/>
              <w:spacing w:before="0" w:after="283"/>
              <w:jc w:val="left"/>
              <w:rPr/>
            </w:pPr>
            <w:r>
              <w:rPr/>
              <w:t> </w:t>
            </w:r>
            <w:bookmarkStart w:id="640" w:name="xdx_40D_ecustom--PrepaidConsultingCosts_"/>
            <w:bookmarkEnd w:id="64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41" w:name="xdx_404_eus-gaap--PrepaidAdvertising_i01"/>
            <w:bookmarkEnd w:id="641"/>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42" w:name="xdx_406_ecustom--PrepaidMerchantFees_i01"/>
            <w:bookmarkEnd w:id="642"/>
          </w:p>
        </w:tc>
      </w:tr>
      <w:tr>
        <w:trPr/>
        <w:tc>
          <w:tcPr>
            <w:tcW w:w="4475" w:type="dxa"/>
            <w:tcBorders/>
            <w:shd w:fill="CCEEFF" w:val="clear"/>
            <w:vAlign w:val="center"/>
          </w:tcPr>
          <w:p>
            <w:pPr>
              <w:pStyle w:val="TableContents"/>
              <w:bidi w:val="0"/>
              <w:spacing w:before="0" w:after="283"/>
              <w:jc w:val="left"/>
              <w:rPr/>
            </w:pPr>
            <w:r>
              <w:rPr/>
              <w:t>Prepaid merchant fees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jc w:val="left"/>
              <w:rPr/>
            </w:pPr>
            <w:r>
              <w:rPr/>
              <w:t> </w:t>
            </w:r>
            <w:bookmarkStart w:id="643" w:name="xdx_400_ecustom--PrepaidDataLicenseAndSu"/>
            <w:bookmarkEnd w:id="643"/>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44" w:name="xdx_407_eus-gaap--OtherAssetsCurrent_i01"/>
            <w:bookmarkEnd w:id="644"/>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45" w:name="xdx_40E_eus-gaap--PrepaidExpenseAndOther"/>
            <w:bookmarkEnd w:id="645"/>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6" w:name="xdx_801_eus-gaap--GoodwillAndIntangibleA"/>
      <w:bookmarkEnd w:id="646"/>
      <w:r>
        <w:rPr>
          <w:rFonts w:ascii="Times New Roman;Times;Serif" w:hAnsi="Times New Roman;Times;Serif"/>
          <w:b/>
          <w:i w:val="false"/>
          <w:caps w:val="false"/>
          <w:smallCaps w:val="false"/>
          <w:sz w:val="20"/>
        </w:rPr>
        <w:t xml:space="preserve">9. </w:t>
      </w:r>
      <w:bookmarkStart w:id="647" w:name="xdx_824_zygGPtcDgI83"/>
      <w:bookmarkEnd w:id="647"/>
      <w:r>
        <w:rPr>
          <w:rFonts w:ascii="Times New Roman;Times;Serif" w:hAnsi="Times New Roman;Times;Serif"/>
          <w:b/>
          <w:i w:val="false"/>
          <w:caps w:val="false"/>
          <w:smallCaps w:val="false"/>
          <w:sz w:val="20"/>
        </w:rPr>
        <w:t>Goodwill and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90_eus-gaap--ScheduleOfGoodwillText"/>
      <w:bookmarkEnd w:id="648"/>
      <w:r>
        <w:rPr>
          <w:rFonts w:ascii="Times New Roman;Times;Serif" w:hAnsi="Times New Roman;Times;Serif"/>
          <w:b w:val="false"/>
          <w:i w:val="false"/>
          <w:caps w:val="false"/>
          <w:smallCaps w:val="false"/>
          <w:sz w:val="20"/>
        </w:rPr>
        <w:t>The following is a summary of goodwill by reportable segment as of and for the three months ended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49" w:name="xdx_8B5_zuNbaa82VUJ8"/>
      <w:bookmarkEnd w:id="649"/>
      <w:r>
        <w:rPr>
          <w:rFonts w:ascii="Times New Roman;Times;Serif" w:hAnsi="Times New Roman;Times;Serif"/>
          <w:b w:val="false"/>
          <w:i w:val="false"/>
          <w:caps w:val="false"/>
          <w:smallCaps w:val="false"/>
          <w:sz w:val="20"/>
        </w:rPr>
        <w:t>Summary of Goodwill by Reportable Segment </w:t>
      </w:r>
    </w:p>
    <w:tbl>
      <w:tblPr>
        <w:tblW w:w="8905" w:type="dxa"/>
        <w:jc w:val="left"/>
        <w:tblInd w:w="0" w:type="dxa"/>
        <w:tblLayout w:type="fixed"/>
        <w:tblCellMar>
          <w:top w:w="0" w:type="dxa"/>
          <w:left w:w="0" w:type="dxa"/>
          <w:bottom w:w="0" w:type="dxa"/>
          <w:right w:w="0" w:type="dxa"/>
        </w:tblCellMar>
      </w:tblPr>
      <w:tblGrid>
        <w:gridCol w:w="3050"/>
        <w:gridCol w:w="60"/>
        <w:gridCol w:w="448"/>
        <w:gridCol w:w="1792"/>
        <w:gridCol w:w="60"/>
        <w:gridCol w:w="60"/>
        <w:gridCol w:w="148"/>
        <w:gridCol w:w="592"/>
        <w:gridCol w:w="60"/>
        <w:gridCol w:w="60"/>
        <w:gridCol w:w="175"/>
        <w:gridCol w:w="850"/>
        <w:gridCol w:w="60"/>
        <w:gridCol w:w="60"/>
        <w:gridCol w:w="231"/>
        <w:gridCol w:w="1124"/>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50" w:name="xdx_4BE_us-gaap--StatementBusinessSegmen"/>
            <w:bookmarkEnd w:id="650"/>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1" w:name="xdx_4BF_us-gaap--StatementBusinessSegmen"/>
            <w:bookmarkEnd w:id="651"/>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2" w:name="xdx_4B4_us-gaap--StatementBusinessSegmen"/>
            <w:bookmarkEnd w:id="652"/>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3" w:name="xdx_4B6_zm3QTWVhiydg"/>
            <w:bookmarkEnd w:id="653"/>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bookmarkStart w:id="654" w:name="xdx_43A_c20260101__20260331_eus-gaap--Go"/>
            <w:bookmarkEnd w:id="654"/>
          </w:p>
        </w:tc>
      </w:tr>
      <w:tr>
        <w:trPr/>
        <w:tc>
          <w:tcPr>
            <w:tcW w:w="3050" w:type="dxa"/>
            <w:tcBorders/>
            <w:shd w:fill="CCEEFF" w:val="clear"/>
            <w:vAlign w:val="center"/>
          </w:tcPr>
          <w:p>
            <w:pPr>
              <w:pStyle w:val="TableContents"/>
              <w:bidi w:val="0"/>
              <w:spacing w:before="0" w:after="283"/>
              <w:jc w:val="left"/>
              <w:rPr/>
            </w:pPr>
            <w:r>
              <w:rPr/>
              <w:t>Goodwill – December 31, 2025</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pPr>
            <w:r>
              <w:rPr/>
              <w:t>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16,801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21,992</w:t>
            </w:r>
          </w:p>
        </w:tc>
        <w:tc>
          <w:tcPr>
            <w:tcW w:w="75" w:type="dxa"/>
            <w:tcBorders/>
            <w:shd w:fill="CCEEFF" w:val="clear"/>
            <w:vAlign w:val="center"/>
          </w:tcPr>
          <w:p>
            <w:pPr>
              <w:pStyle w:val="TableContents"/>
              <w:bidi w:val="0"/>
              <w:spacing w:before="0" w:after="283"/>
              <w:jc w:val="left"/>
              <w:rPr/>
            </w:pPr>
            <w:r>
              <w:rPr/>
              <w:t> </w:t>
            </w:r>
            <w:bookmarkStart w:id="655" w:name="xdx_437_c20260101__20260331_eus-gaap--Go"/>
            <w:bookmarkEnd w:id="655"/>
          </w:p>
        </w:tc>
      </w:tr>
      <w:tr>
        <w:trPr/>
        <w:tc>
          <w:tcPr>
            <w:tcW w:w="3050" w:type="dxa"/>
            <w:tcBorders/>
            <w:shd w:fill="FFFFFF" w:val="clear"/>
            <w:vAlign w:val="center"/>
          </w:tcPr>
          <w:p>
            <w:pPr>
              <w:pStyle w:val="TableContents"/>
              <w:bidi w:val="0"/>
              <w:spacing w:before="0" w:after="283"/>
              <w:jc w:val="left"/>
              <w:rPr/>
            </w:pPr>
            <w:r>
              <w:rPr/>
              <w:t>Goodwill – March 31, 2026</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92" w:type="dxa"/>
            <w:tcBorders>
              <w:bottom w:val="double" w:sz="6" w:space="0" w:color="000000"/>
            </w:tcBorders>
            <w:shd w:fill="FFFFFF" w:val="clear"/>
            <w:tcMar>
              <w:bottom w:w="28" w:type="dxa"/>
            </w:tcMar>
            <w:vAlign w:val="center"/>
          </w:tcPr>
          <w:p>
            <w:pPr>
              <w:pStyle w:val="TableContents"/>
              <w:bidi w:val="0"/>
              <w:spacing w:before="0" w:after="283"/>
              <w:jc w:val="right"/>
              <w:rPr/>
            </w:pPr>
            <w:r>
              <w:rPr/>
              <w:t>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jc w:val="right"/>
              <w:rPr/>
            </w:pPr>
            <w:r>
              <w:rPr/>
              <w:t>3,019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16,801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6" w:name="xdx_8A5_zjLuccMQIZz5"/>
      <w:bookmarkEnd w:id="65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7" w:name="xdx_89F_eus-gaap--ScheduleOfFiniteLivedI"/>
      <w:bookmarkEnd w:id="657"/>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bookmarkStart w:id="658" w:name="xdx_8BE_zHgDcJKgE64a"/>
      <w:bookmarkEnd w:id="658"/>
      <w:r>
        <w:rPr>
          <w:rFonts w:ascii="Times New Roman;Times;Serif" w:hAnsi="Times New Roman;Times;Serif"/>
          <w:b w:val="false"/>
          <w:i w:val="false"/>
          <w:caps w:val="false"/>
          <w:smallCaps w:val="false"/>
          <w:sz w:val="20"/>
        </w:rPr>
        <w:t>Schedule of Identifiable Intangible Assets Subject to Amortization</w:t>
      </w:r>
    </w:p>
    <w:tbl>
      <w:tblPr>
        <w:tblW w:w="6664" w:type="dxa"/>
        <w:jc w:val="left"/>
        <w:tblInd w:w="0" w:type="dxa"/>
        <w:tblLayout w:type="fixed"/>
        <w:tblCellMar>
          <w:top w:w="0" w:type="dxa"/>
          <w:left w:w="0" w:type="dxa"/>
          <w:bottom w:w="0" w:type="dxa"/>
          <w:right w:w="0" w:type="dxa"/>
        </w:tblCellMar>
      </w:tblPr>
      <w:tblGrid>
        <w:gridCol w:w="3080"/>
        <w:gridCol w:w="60"/>
        <w:gridCol w:w="1745"/>
        <w:gridCol w:w="60"/>
        <w:gridCol w:w="290"/>
        <w:gridCol w:w="1319"/>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bookmarkStart w:id="659" w:name="xdx_494_20260331_z3ob0os3L1Ac"/>
            <w:bookmarkEnd w:id="659"/>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jc w:val="left"/>
              <w:rPr/>
            </w:pPr>
            <w:r>
              <w:rPr/>
              <w:t> </w:t>
            </w:r>
            <w:bookmarkStart w:id="660" w:name="xdx_40A_eus-gaap--FiniteLivedIntangibleA"/>
            <w:bookmarkEnd w:id="660"/>
          </w:p>
        </w:tc>
      </w:tr>
      <w:tr>
        <w:trPr/>
        <w:tc>
          <w:tcPr>
            <w:tcW w:w="308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bookmarkStart w:id="661" w:name="xdx_905_eus-gaap--AcquiredFiniteLivedInt"/>
            <w:bookmarkEnd w:id="661"/>
            <w:r>
              <w:rPr/>
              <w:t xml:space="preserve">6 - </w:t>
            </w:r>
            <w:bookmarkStart w:id="662" w:name="xdx_904_eus-gaap--AcquiredFiniteLivedInt"/>
            <w:bookmarkEnd w:id="662"/>
            <w:r>
              <w:rPr/>
              <w:t>7</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bookmarkStart w:id="663" w:name="xdx_40F_eus-gaap--FiniteLivedIntangibleA"/>
            <w:bookmarkEnd w:id="663"/>
          </w:p>
        </w:tc>
      </w:tr>
      <w:tr>
        <w:trPr/>
        <w:tc>
          <w:tcPr>
            <w:tcW w:w="308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bookmarkStart w:id="664" w:name="xdx_90A_eus-gaap--AcquiredFiniteLivedInt"/>
            <w:bookmarkEnd w:id="664"/>
            <w:r>
              <w:rPr/>
              <w:t xml:space="preserve">10 - </w:t>
            </w:r>
            <w:bookmarkStart w:id="665" w:name="xdx_90D_eus-gaap--AcquiredFiniteLivedInt"/>
            <w:bookmarkEnd w:id="665"/>
            <w:r>
              <w:rPr/>
              <w:t>15</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1,637</w:t>
            </w:r>
          </w:p>
        </w:tc>
        <w:tc>
          <w:tcPr>
            <w:tcW w:w="110" w:type="dxa"/>
            <w:tcBorders/>
            <w:shd w:fill="FFFFFF" w:val="clear"/>
            <w:vAlign w:val="center"/>
          </w:tcPr>
          <w:p>
            <w:pPr>
              <w:pStyle w:val="TableContents"/>
              <w:bidi w:val="0"/>
              <w:spacing w:before="0" w:after="283"/>
              <w:jc w:val="left"/>
              <w:rPr/>
            </w:pPr>
            <w:r>
              <w:rPr/>
              <w:t> </w:t>
            </w:r>
            <w:bookmarkStart w:id="666" w:name="xdx_403_eus-gaap--FiniteLivedIntangibleA"/>
            <w:bookmarkEnd w:id="666"/>
          </w:p>
        </w:tc>
      </w:tr>
      <w:tr>
        <w:trPr/>
        <w:tc>
          <w:tcPr>
            <w:tcW w:w="3080" w:type="dxa"/>
            <w:tcBorders/>
            <w:shd w:fill="CCEEFF" w:val="clear"/>
            <w:vAlign w:val="center"/>
          </w:tcPr>
          <w:p>
            <w:pPr>
              <w:pStyle w:val="TableContents"/>
              <w:bidi w:val="0"/>
              <w:spacing w:before="0" w:after="283"/>
              <w:jc w:val="left"/>
              <w:rPr/>
            </w:pPr>
            <w:r>
              <w:rPr/>
              <w:t>Technology</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bookmarkStart w:id="667" w:name="xdx_90B_eus-gaap--AcquiredFiniteLivedInt"/>
            <w:bookmarkEnd w:id="667"/>
            <w:r>
              <w:rPr/>
              <w:t xml:space="preserve">6 - </w:t>
            </w:r>
            <w:bookmarkStart w:id="668" w:name="xdx_90A_eus-gaap--AcquiredFiniteLivedInt"/>
            <w:bookmarkEnd w:id="668"/>
            <w:r>
              <w:rPr/>
              <w:t>8</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6,425</w:t>
            </w:r>
          </w:p>
        </w:tc>
        <w:tc>
          <w:tcPr>
            <w:tcW w:w="110" w:type="dxa"/>
            <w:tcBorders/>
            <w:shd w:fill="CCEEFF" w:val="clear"/>
            <w:vAlign w:val="center"/>
          </w:tcPr>
          <w:p>
            <w:pPr>
              <w:pStyle w:val="TableContents"/>
              <w:bidi w:val="0"/>
              <w:spacing w:before="0" w:after="283"/>
              <w:jc w:val="left"/>
              <w:rPr/>
            </w:pPr>
            <w:r>
              <w:rPr/>
              <w:t> </w:t>
            </w:r>
            <w:bookmarkStart w:id="669" w:name="xdx_400_eus-gaap--FiniteLivedIntangibleA"/>
            <w:bookmarkEnd w:id="669"/>
          </w:p>
        </w:tc>
      </w:tr>
      <w:tr>
        <w:trPr/>
        <w:tc>
          <w:tcPr>
            <w:tcW w:w="3080" w:type="dxa"/>
            <w:tcBorders/>
            <w:shd w:fill="FFFFFF" w:val="clear"/>
            <w:vAlign w:val="center"/>
          </w:tcPr>
          <w:p>
            <w:pPr>
              <w:pStyle w:val="TableContents"/>
              <w:bidi w:val="0"/>
              <w:spacing w:before="0" w:after="283"/>
              <w:jc w:val="left"/>
              <w:rPr/>
            </w:pPr>
            <w:r>
              <w:rPr/>
              <w:t>Intangible assets, gross</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9,202</w:t>
            </w:r>
          </w:p>
        </w:tc>
        <w:tc>
          <w:tcPr>
            <w:tcW w:w="110" w:type="dxa"/>
            <w:tcBorders/>
            <w:shd w:fill="FFFFFF" w:val="clear"/>
            <w:vAlign w:val="center"/>
          </w:tcPr>
          <w:p>
            <w:pPr>
              <w:pStyle w:val="TableContents"/>
              <w:bidi w:val="0"/>
              <w:spacing w:before="0" w:after="283"/>
              <w:jc w:val="left"/>
              <w:rPr/>
            </w:pPr>
            <w:r>
              <w:rPr/>
              <w:t> </w:t>
            </w:r>
            <w:bookmarkStart w:id="670" w:name="xdx_409_eus-gaap--FiniteLivedIntangibleA"/>
            <w:bookmarkEnd w:id="670"/>
          </w:p>
        </w:tc>
      </w:tr>
      <w:tr>
        <w:trPr/>
        <w:tc>
          <w:tcPr>
            <w:tcW w:w="3080" w:type="dxa"/>
            <w:tcBorders/>
            <w:shd w:fill="CCEEFF" w:val="clear"/>
            <w:vAlign w:val="center"/>
          </w:tcPr>
          <w:p>
            <w:pPr>
              <w:pStyle w:val="TableContents"/>
              <w:bidi w:val="0"/>
              <w:spacing w:before="0" w:after="283"/>
              <w:jc w:val="left"/>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(1,465</w:t>
            </w:r>
          </w:p>
        </w:tc>
        <w:tc>
          <w:tcPr>
            <w:tcW w:w="110" w:type="dxa"/>
            <w:tcBorders/>
            <w:shd w:fill="CCEEFF" w:val="clear"/>
            <w:vAlign w:val="center"/>
          </w:tcPr>
          <w:p>
            <w:pPr>
              <w:pStyle w:val="TableContents"/>
              <w:bidi w:val="0"/>
              <w:spacing w:before="0" w:after="283"/>
              <w:jc w:val="left"/>
              <w:rPr/>
            </w:pPr>
            <w:r>
              <w:rPr/>
              <w:t>)</w:t>
            </w:r>
            <w:bookmarkStart w:id="671" w:name="xdx_400_eus-gaap--FiniteLivedIntangibleA"/>
            <w:bookmarkEnd w:id="671"/>
          </w:p>
        </w:tc>
      </w:tr>
      <w:tr>
        <w:trPr/>
        <w:tc>
          <w:tcPr>
            <w:tcW w:w="30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7,737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2" w:name="xdx_8A9_zT2jM0wWkIf6"/>
      <w:bookmarkEnd w:id="6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related to intangible assets was $</w:t>
      </w:r>
      <w:bookmarkStart w:id="673" w:name="xdx_903_eus-gaap--AmortizationOfIntangib"/>
      <w:bookmarkEnd w:id="673"/>
      <w:r>
        <w:rPr>
          <w:rFonts w:ascii="Times New Roman;Times;Serif" w:hAnsi="Times New Roman;Times;Serif"/>
          <w:b w:val="false"/>
          <w:i w:val="false"/>
          <w:caps w:val="false"/>
          <w:smallCaps w:val="false"/>
          <w:sz w:val="20"/>
        </w:rPr>
        <w:t xml:space="preserve">304 for the </w:t>
      </w:r>
      <w:r>
        <w:rPr>
          <w:rFonts w:ascii="Times New Roman;Times;Serif" w:hAnsi="Times New Roman;Times;Serif"/>
          <w:b w:val="false"/>
          <w:i w:val="false"/>
          <w:caps w:val="false"/>
          <w:smallCaps w:val="false"/>
          <w:sz w:val="20"/>
          <w:shd w:fill="FFFFFF" w:val="clear"/>
        </w:rPr>
        <w:t>three months ended March 31, 2026</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bookmarkStart w:id="674" w:name="xdx_893_eus-gaap--ScheduleofFiniteLivedI"/>
      <w:bookmarkEnd w:id="674"/>
      <w:r>
        <w:rPr>
          <w:caps w:val="false"/>
          <w:smallCaps w:val="false"/>
        </w:rPr>
        <w:t> </w:t>
      </w:r>
      <w:bookmarkStart w:id="675" w:name="xdx_8B8_znSxzSGOgCw7"/>
      <w:bookmarkEnd w:id="675"/>
      <w:r>
        <w:rPr>
          <w:rFonts w:ascii="Times New Roman;Times;Serif" w:hAnsi="Times New Roman;Times;Serif"/>
          <w:b w:val="false"/>
          <w:i w:val="false"/>
          <w:caps w:val="false"/>
          <w:smallCaps w:val="false"/>
          <w:sz w:val="20"/>
        </w:rPr>
        <w:t>Schedule of Expected Amortization Expense</w:t>
      </w:r>
    </w:p>
    <w:tbl>
      <w:tblPr>
        <w:tblW w:w="2700" w:type="dxa"/>
        <w:jc w:val="left"/>
        <w:tblInd w:w="0" w:type="dxa"/>
        <w:tblLayout w:type="fixed"/>
        <w:tblCellMar>
          <w:top w:w="0" w:type="dxa"/>
          <w:left w:w="0" w:type="dxa"/>
          <w:bottom w:w="0" w:type="dxa"/>
          <w:right w:w="0" w:type="dxa"/>
        </w:tblCellMar>
      </w:tblPr>
      <w:tblGrid>
        <w:gridCol w:w="1865"/>
        <w:gridCol w:w="60"/>
        <w:gridCol w:w="140"/>
        <w:gridCol w:w="56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6" w:name="xdx_49A_20260331_zb6idzDRLva1"/>
            <w:bookmarkEnd w:id="676"/>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77" w:name="xdx_403_eus-gaap--FiniteLivedIntangibleA"/>
            <w:bookmarkEnd w:id="677"/>
          </w:p>
        </w:tc>
      </w:tr>
      <w:tr>
        <w:trPr/>
        <w:tc>
          <w:tcPr>
            <w:tcW w:w="186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911</w:t>
            </w:r>
          </w:p>
        </w:tc>
        <w:tc>
          <w:tcPr>
            <w:tcW w:w="75" w:type="dxa"/>
            <w:tcBorders/>
            <w:shd w:fill="CCEEFF" w:val="clear"/>
            <w:vAlign w:val="center"/>
          </w:tcPr>
          <w:p>
            <w:pPr>
              <w:pStyle w:val="TableContents"/>
              <w:bidi w:val="0"/>
              <w:spacing w:before="0" w:after="283"/>
              <w:jc w:val="left"/>
              <w:rPr/>
            </w:pPr>
            <w:r>
              <w:rPr/>
              <w:t> </w:t>
            </w:r>
            <w:bookmarkStart w:id="678" w:name="xdx_408_eus-gaap--FiniteLivedIntangibleA"/>
            <w:bookmarkEnd w:id="678"/>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79" w:name="xdx_40A_eus-gaap--FiniteLivedIntangibleA"/>
            <w:bookmarkEnd w:id="679"/>
          </w:p>
        </w:tc>
      </w:tr>
      <w:tr>
        <w:trPr/>
        <w:tc>
          <w:tcPr>
            <w:tcW w:w="1865" w:type="dxa"/>
            <w:tcBorders/>
            <w:shd w:fill="FFFFFF" w:val="clear"/>
            <w:vAlign w:val="center"/>
          </w:tcPr>
          <w:p>
            <w:pPr>
              <w:pStyle w:val="TableContents"/>
              <w:bidi w:val="0"/>
              <w:spacing w:before="0" w:after="283"/>
              <w:jc w:val="left"/>
              <w:rPr/>
            </w:pPr>
            <w:r>
              <w:rPr/>
              <w:t>Year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80" w:name="xdx_40A_eus-gaap--FiniteLivedIntangibleA"/>
            <w:bookmarkEnd w:id="680"/>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bookmarkStart w:id="681" w:name="xdx_409_eus-gaap--FiniteLivedIntangibleA"/>
            <w:bookmarkEnd w:id="681"/>
          </w:p>
        </w:tc>
      </w:tr>
      <w:tr>
        <w:trPr/>
        <w:tc>
          <w:tcPr>
            <w:tcW w:w="1865" w:type="dxa"/>
            <w:tcBorders/>
            <w:shd w:fill="CCEEFF" w:val="clear"/>
            <w:vAlign w:val="center"/>
          </w:tcPr>
          <w:p>
            <w:pPr>
              <w:pStyle w:val="TableContents"/>
              <w:bidi w:val="0"/>
              <w:spacing w:before="0" w:after="283"/>
              <w:jc w:val="left"/>
              <w:rPr/>
            </w:pPr>
            <w:r>
              <w:rPr/>
              <w:t>Year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bookmarkStart w:id="682" w:name="xdx_406_eus-gaap--FiniteLivedIntangibleA"/>
            <w:bookmarkEnd w:id="682"/>
          </w:p>
        </w:tc>
      </w:tr>
      <w:tr>
        <w:trPr/>
        <w:tc>
          <w:tcPr>
            <w:tcW w:w="18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83" w:name="xdx_40D_eus-gaap--FiniteLivedIntangibleA"/>
            <w:bookmarkEnd w:id="683"/>
          </w:p>
        </w:tc>
      </w:tr>
      <w:tr>
        <w:trPr/>
        <w:tc>
          <w:tcPr>
            <w:tcW w:w="1865" w:type="dxa"/>
            <w:tcBorders/>
            <w:shd w:fill="FFFFFF" w:val="clear"/>
            <w:vAlign w:val="center"/>
          </w:tcPr>
          <w:p>
            <w:pPr>
              <w:pStyle w:val="TableContents"/>
              <w:bidi w:val="0"/>
              <w:spacing w:before="0" w:after="283"/>
              <w:jc w:val="left"/>
              <w:rPr/>
            </w:pPr>
            <w:r>
              <w:rPr/>
              <w:t>Year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84" w:name="xdx_406_eus-gaap--FiniteLivedIntangibleA"/>
            <w:bookmarkEnd w:id="684"/>
          </w:p>
        </w:tc>
      </w:tr>
      <w:tr>
        <w:trPr/>
        <w:tc>
          <w:tcPr>
            <w:tcW w:w="186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bookmarkStart w:id="685" w:name="xdx_404_eus-gaap--FiniteLivedIntangibleA"/>
            <w:bookmarkEnd w:id="685"/>
          </w:p>
        </w:tc>
      </w:tr>
      <w:tr>
        <w:trPr/>
        <w:tc>
          <w:tcPr>
            <w:tcW w:w="1865" w:type="dxa"/>
            <w:tcBorders/>
            <w:shd w:fill="CCEEFF" w:val="clear"/>
            <w:vAlign w:val="center"/>
          </w:tcPr>
          <w:p>
            <w:pPr>
              <w:pStyle w:val="TableContents"/>
              <w:bidi w:val="0"/>
              <w:spacing w:before="0" w:after="283"/>
              <w:jc w:val="left"/>
              <w:rPr/>
            </w:pPr>
            <w:r>
              <w:rPr/>
              <w:t>Year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bookmarkStart w:id="686" w:name="xdx_406_eus-gaap--FiniteLivedIntangibleA"/>
            <w:bookmarkEnd w:id="686"/>
          </w:p>
        </w:tc>
      </w:tr>
      <w:tr>
        <w:trPr/>
        <w:tc>
          <w:tcPr>
            <w:tcW w:w="1865" w:type="dxa"/>
            <w:tcBorders/>
            <w:shd w:fill="CCEEFF" w:val="clear"/>
            <w:vAlign w:val="center"/>
          </w:tcPr>
          <w:p>
            <w:pPr>
              <w:pStyle w:val="TableContents"/>
              <w:bidi w:val="0"/>
              <w:spacing w:before="0" w:after="283"/>
              <w:jc w:val="left"/>
              <w:rPr/>
            </w:pPr>
            <w:r>
              <w:rPr/>
              <w:t>Year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7" w:name="xdx_405_eus-gaap--FiniteLivedIntangibleA"/>
            <w:bookmarkEnd w:id="687"/>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bookmarkStart w:id="688" w:name="xdx_405_ecustom--FiniteLivedIntangibleAs"/>
            <w:bookmarkEnd w:id="688"/>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89" w:name="xdx_8A7_z4Tm6PoqF22g"/>
      <w:bookmarkEnd w:id="68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0" w:name="xdx_80B_eus-gaap--AccountsPayableAccrued"/>
      <w:bookmarkEnd w:id="690"/>
      <w:r>
        <w:rPr>
          <w:rFonts w:ascii="Times New Roman;Times;Serif" w:hAnsi="Times New Roman;Times;Serif"/>
          <w:b/>
          <w:i w:val="false"/>
          <w:caps w:val="false"/>
          <w:smallCaps w:val="false"/>
          <w:sz w:val="20"/>
        </w:rPr>
        <w:t xml:space="preserve">10. </w:t>
      </w:r>
      <w:bookmarkStart w:id="691" w:name="xdx_82D_zR8szT4hIOri"/>
      <w:bookmarkEnd w:id="691"/>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2" w:name="xdx_895_eus-gaap--ScheduleOfAccountsPaya"/>
      <w:bookmarkEnd w:id="692"/>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bookmarkStart w:id="693" w:name="xdx_8B8_zxqgaKEaDxKi"/>
      <w:bookmarkEnd w:id="693"/>
      <w:r>
        <w:rPr>
          <w:rFonts w:ascii="Times New Roman;Times;Serif" w:hAnsi="Times New Roman;Times;Serif"/>
          <w:b w:val="false"/>
          <w:i w:val="false"/>
          <w:caps w:val="false"/>
          <w:smallCaps w:val="false"/>
          <w:sz w:val="20"/>
        </w:rPr>
        <w:t>Schedule of Accrued Expenses and Other Current Liabilities</w:t>
      </w:r>
    </w:p>
    <w:tbl>
      <w:tblPr>
        <w:tblW w:w="8700" w:type="dxa"/>
        <w:jc w:val="left"/>
        <w:tblInd w:w="0" w:type="dxa"/>
        <w:tblLayout w:type="fixed"/>
        <w:tblCellMar>
          <w:top w:w="0" w:type="dxa"/>
          <w:left w:w="0" w:type="dxa"/>
          <w:bottom w:w="0" w:type="dxa"/>
          <w:right w:w="0" w:type="dxa"/>
        </w:tblCellMar>
      </w:tblPr>
      <w:tblGrid>
        <w:gridCol w:w="4880"/>
        <w:gridCol w:w="60"/>
        <w:gridCol w:w="322"/>
        <w:gridCol w:w="1288"/>
        <w:gridCol w:w="60"/>
        <w:gridCol w:w="60"/>
        <w:gridCol w:w="391"/>
        <w:gridCol w:w="1564"/>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4" w:name="xdx_494_20260331_zrxRRIscZtb6"/>
            <w:bookmarkEnd w:id="694"/>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5" w:name="xdx_49A_20251231_zddRCAtBfYB1"/>
            <w:bookmarkEnd w:id="695"/>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96" w:name="xdx_405_ecustom--AccruedAccountingAndPro"/>
            <w:bookmarkEnd w:id="696"/>
          </w:p>
        </w:tc>
      </w:tr>
      <w:tr>
        <w:trPr/>
        <w:tc>
          <w:tcPr>
            <w:tcW w:w="4880" w:type="dxa"/>
            <w:tcBorders/>
            <w:shd w:fill="FFFFFF" w:val="clear"/>
            <w:vAlign w:val="center"/>
          </w:tcPr>
          <w:p>
            <w:pPr>
              <w:pStyle w:val="TableContents"/>
              <w:bidi w:val="0"/>
              <w:spacing w:before="0" w:after="283"/>
              <w:jc w:val="left"/>
              <w:rPr/>
            </w:pPr>
            <w:r>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2,365</w:t>
            </w:r>
          </w:p>
        </w:tc>
        <w:tc>
          <w:tcPr>
            <w:tcW w:w="75" w:type="dxa"/>
            <w:tcBorders/>
            <w:shd w:fill="FFFFFF" w:val="clear"/>
            <w:vAlign w:val="center"/>
          </w:tcPr>
          <w:p>
            <w:pPr>
              <w:pStyle w:val="TableContents"/>
              <w:bidi w:val="0"/>
              <w:spacing w:before="0" w:after="283"/>
              <w:jc w:val="left"/>
              <w:rPr/>
            </w:pPr>
            <w:r>
              <w:rPr/>
              <w:t> </w:t>
            </w:r>
            <w:bookmarkStart w:id="697" w:name="xdx_400_ecustom--SalesTaxPayableCurrent_"/>
            <w:bookmarkEnd w:id="697"/>
          </w:p>
        </w:tc>
      </w:tr>
      <w:tr>
        <w:trPr/>
        <w:tc>
          <w:tcPr>
            <w:tcW w:w="488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251</w:t>
            </w:r>
          </w:p>
        </w:tc>
        <w:tc>
          <w:tcPr>
            <w:tcW w:w="75" w:type="dxa"/>
            <w:tcBorders/>
            <w:shd w:fill="CCEEFF" w:val="clear"/>
            <w:vAlign w:val="center"/>
          </w:tcPr>
          <w:p>
            <w:pPr>
              <w:pStyle w:val="TableContents"/>
              <w:bidi w:val="0"/>
              <w:spacing w:before="0" w:after="283"/>
              <w:jc w:val="left"/>
              <w:rPr/>
            </w:pPr>
            <w:r>
              <w:rPr/>
              <w:t> </w:t>
            </w:r>
            <w:bookmarkStart w:id="698" w:name="xdx_40F_ecustom--ExciseTaxPayableCurrent"/>
            <w:bookmarkEnd w:id="698"/>
          </w:p>
        </w:tc>
      </w:tr>
      <w:tr>
        <w:trPr/>
        <w:tc>
          <w:tcPr>
            <w:tcW w:w="4880"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699" w:name="xdx_404_eus-gaap--AccruedIncomeTaxesCurr"/>
            <w:bookmarkEnd w:id="699"/>
          </w:p>
        </w:tc>
      </w:tr>
      <w:tr>
        <w:trPr/>
        <w:tc>
          <w:tcPr>
            <w:tcW w:w="4880" w:type="dxa"/>
            <w:tcBorders/>
            <w:shd w:fill="CCEEFF" w:val="clear"/>
            <w:vAlign w:val="center"/>
          </w:tcPr>
          <w:p>
            <w:pPr>
              <w:pStyle w:val="TableContents"/>
              <w:bidi w:val="0"/>
              <w:spacing w:before="0" w:after="283"/>
              <w:jc w:val="left"/>
              <w:rPr/>
            </w:pPr>
            <w:r>
              <w:rPr/>
              <w:t>Provision for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bookmarkStart w:id="700" w:name="xdx_408_ecustom--AccruedPayrollAndBenefi"/>
            <w:bookmarkEnd w:id="700"/>
          </w:p>
        </w:tc>
      </w:tr>
      <w:tr>
        <w:trPr/>
        <w:tc>
          <w:tcPr>
            <w:tcW w:w="4880" w:type="dxa"/>
            <w:tcBorders/>
            <w:shd w:fill="FFFFFF" w:val="clear"/>
            <w:vAlign w:val="center"/>
          </w:tcPr>
          <w:p>
            <w:pPr>
              <w:pStyle w:val="TableContents"/>
              <w:bidi w:val="0"/>
              <w:spacing w:before="0" w:after="283"/>
              <w:jc w:val="left"/>
              <w:rPr/>
            </w:pPr>
            <w:r>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440</w:t>
            </w:r>
          </w:p>
        </w:tc>
        <w:tc>
          <w:tcPr>
            <w:tcW w:w="75" w:type="dxa"/>
            <w:tcBorders/>
            <w:shd w:fill="FFFFFF" w:val="clear"/>
            <w:vAlign w:val="center"/>
          </w:tcPr>
          <w:p>
            <w:pPr>
              <w:pStyle w:val="TableContents"/>
              <w:bidi w:val="0"/>
              <w:spacing w:before="0" w:after="283"/>
              <w:jc w:val="left"/>
              <w:rPr/>
            </w:pPr>
            <w:r>
              <w:rPr/>
              <w:t> </w:t>
            </w:r>
            <w:bookmarkStart w:id="701" w:name="xdx_403_ecustom--AccruedLegalCosts_iI_ma"/>
            <w:bookmarkEnd w:id="701"/>
          </w:p>
        </w:tc>
      </w:tr>
      <w:tr>
        <w:trPr/>
        <w:tc>
          <w:tcPr>
            <w:tcW w:w="4880" w:type="dxa"/>
            <w:tcBorders/>
            <w:shd w:fill="CCEEFF" w:val="clear"/>
            <w:vAlign w:val="center"/>
          </w:tcPr>
          <w:p>
            <w:pPr>
              <w:pStyle w:val="TableContents"/>
              <w:bidi w:val="0"/>
              <w:spacing w:before="0" w:after="283"/>
              <w:jc w:val="left"/>
              <w:rPr/>
            </w:pPr>
            <w:r>
              <w:rPr/>
              <w:t>Accrued legal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bookmarkStart w:id="702" w:name="xdx_407_ecustom--AccruedSubscriptionCost"/>
            <w:bookmarkEnd w:id="702"/>
          </w:p>
        </w:tc>
      </w:tr>
      <w:tr>
        <w:trPr/>
        <w:tc>
          <w:tcPr>
            <w:tcW w:w="4880" w:type="dxa"/>
            <w:tcBorders/>
            <w:shd w:fill="FFFFFF" w:val="clear"/>
            <w:vAlign w:val="center"/>
          </w:tcPr>
          <w:p>
            <w:pPr>
              <w:pStyle w:val="TableContents"/>
              <w:bidi w:val="0"/>
              <w:spacing w:before="0" w:after="283"/>
              <w:jc w:val="left"/>
              <w:rPr/>
            </w:pPr>
            <w:r>
              <w:rPr/>
              <w:t>Accrued subscription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bookmarkStart w:id="703" w:name="xdx_404_ecustom--AccruedStreamingService"/>
            <w:bookmarkEnd w:id="703"/>
          </w:p>
        </w:tc>
      </w:tr>
      <w:tr>
        <w:trPr/>
        <w:tc>
          <w:tcPr>
            <w:tcW w:w="4880" w:type="dxa"/>
            <w:tcBorders/>
            <w:shd w:fill="CCEEFF" w:val="clear"/>
            <w:vAlign w:val="center"/>
          </w:tcPr>
          <w:p>
            <w:pPr>
              <w:pStyle w:val="TableContents"/>
              <w:bidi w:val="0"/>
              <w:spacing w:before="0" w:after="283"/>
              <w:jc w:val="left"/>
              <w:rPr/>
            </w:pPr>
            <w:r>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bookmarkStart w:id="704" w:name="xdx_404_eus-gaap--OtherLiabilitiesCurren"/>
            <w:bookmarkEnd w:id="704"/>
          </w:p>
        </w:tc>
      </w:tr>
      <w:tr>
        <w:trPr/>
        <w:tc>
          <w:tcPr>
            <w:tcW w:w="48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705" w:name="xdx_40F_eus-gaap--AccruedLiabilitiesAndO"/>
            <w:bookmarkEnd w:id="705"/>
          </w:p>
        </w:tc>
      </w:tr>
      <w:tr>
        <w:trPr/>
        <w:tc>
          <w:tcPr>
            <w:tcW w:w="488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4,354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6" w:name="xdx_800_eus-gaap--DebtDisclosureTextBloc"/>
      <w:bookmarkEnd w:id="706"/>
      <w:r>
        <w:rPr>
          <w:rFonts w:ascii="Times New Roman;Times;Serif" w:hAnsi="Times New Roman;Times;Serif"/>
          <w:b/>
          <w:i w:val="false"/>
          <w:caps w:val="false"/>
          <w:smallCaps w:val="false"/>
          <w:sz w:val="20"/>
        </w:rPr>
        <w:t xml:space="preserve">11. </w:t>
      </w:r>
      <w:bookmarkStart w:id="707" w:name="xdx_82A_zIpPJoVLNES5"/>
      <w:bookmarkEnd w:id="707"/>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w:t>
      </w:r>
      <w:bookmarkStart w:id="708" w:name="xdx_90E_eus-gaap--CommonStockValue_iI_pn"/>
      <w:bookmarkEnd w:id="708"/>
      <w:r>
        <w:rPr>
          <w:rFonts w:ascii="Times New Roman;Times;Serif" w:hAnsi="Times New Roman;Times;Serif"/>
          <w:b w:val="false"/>
          <w:i w:val="false"/>
          <w:caps w:val="false"/>
          <w:smallCaps w:val="false"/>
          <w:sz w:val="20"/>
        </w:rPr>
        <w:t xml:space="preserve">100 million and the Company was required to make and execute a warrant (“GEM Warrant”). The Company’s obligation to issue the GEM Warrant remained, granting GEM the right to purchase Class A Common Stock in an amount equal to </w:t>
      </w:r>
      <w:bookmarkStart w:id="709" w:name="xdx_90B_ecustom--PercentageOfRightToConv"/>
      <w:bookmarkEnd w:id="709"/>
      <w:r>
        <w:rPr>
          <w:rFonts w:ascii="Times New Roman;Times;Serif" w:hAnsi="Times New Roman;Times;Serif"/>
          <w:b w:val="false"/>
          <w:i w:val="false"/>
          <w:caps w:val="false"/>
          <w:smallCaps w:val="false"/>
          <w:sz w:val="20"/>
        </w:rPr>
        <w:t>3% of the total number of equity interests outstanding as of the Closing, calculated on a fully diluted basis, at an exercise price on the terms and conditions set forth therein, in exchange for issuance of a $</w:t>
      </w:r>
      <w:bookmarkStart w:id="710" w:name="xdx_906_eus-gaap--ConvertibleDebt_iI_pn5"/>
      <w:bookmarkEnd w:id="710"/>
      <w:r>
        <w:rPr>
          <w:rFonts w:ascii="Times New Roman;Times;Serif" w:hAnsi="Times New Roman;Times;Serif"/>
          <w:b w:val="false"/>
          <w:i w:val="false"/>
          <w:caps w:val="false"/>
          <w:smallCaps w:val="false"/>
          <w:sz w:val="20"/>
        </w:rPr>
        <w:t xml:space="preserve">2.0 million convertible debenture with a </w:t>
      </w:r>
      <w:bookmarkStart w:id="711" w:name="xdx_90D_eus-gaap--DebtInstrumentTerm_dtY"/>
      <w:bookmarkEnd w:id="711"/>
      <w:r>
        <w:rPr>
          <w:rFonts w:ascii="Times New Roman;Times;Serif" w:hAnsi="Times New Roman;Times;Serif"/>
          <w:b w:val="false"/>
          <w:i w:val="false"/>
          <w:caps w:val="false"/>
          <w:smallCaps w:val="false"/>
          <w:sz w:val="20"/>
        </w:rPr>
        <w:t xml:space="preserve">5 five-year maturity and </w:t>
      </w:r>
      <w:bookmarkStart w:id="712" w:name="xdx_901_ecustom--CouponRate_iI_pid_dp_uP"/>
      <w:bookmarkEnd w:id="712"/>
      <w:r>
        <w:rPr>
          <w:rFonts w:ascii="Times New Roman;Times;Serif" w:hAnsi="Times New Roman;Times;Serif"/>
          <w:b w:val="false"/>
          <w:i w:val="false"/>
          <w:caps w:val="false"/>
          <w:smallCaps w:val="false"/>
          <w:sz w:val="20"/>
        </w:rPr>
        <w:t>0% coupon. Due to the determination of the final terms of the planned $</w:t>
      </w:r>
      <w:bookmarkStart w:id="713" w:name="xdx_908_eus-gaap--ConvertibleDebt_iI_pn5"/>
      <w:bookmarkEnd w:id="713"/>
      <w:r>
        <w:rPr>
          <w:rFonts w:ascii="Times New Roman;Times;Serif" w:hAnsi="Times New Roman;Times;Serif"/>
          <w:b w:val="false"/>
          <w:i w:val="false"/>
          <w:caps w:val="false"/>
          <w:smallCaps w:val="false"/>
          <w:sz w:val="20"/>
        </w:rPr>
        <w:t>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w:t>
      </w:r>
      <w:bookmarkStart w:id="714" w:name="xdx_909_eus-gaap--DebtInstrumentFeeAmoun"/>
      <w:bookmarkEnd w:id="714"/>
      <w:r>
        <w:rPr>
          <w:rFonts w:ascii="Times New Roman;Times;Serif" w:hAnsi="Times New Roman;Times;Serif"/>
          <w:b w:val="false"/>
          <w:i w:val="false"/>
          <w:caps w:val="false"/>
          <w:smallCaps w:val="false"/>
          <w:sz w:val="20"/>
        </w:rPr>
        <w:t>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w:t>
      </w:r>
      <w:bookmarkStart w:id="715" w:name="xdx_90C_ecustom--DebtInstrumentCashAgree"/>
      <w:bookmarkEnd w:id="715"/>
      <w:r>
        <w:rPr>
          <w:rFonts w:ascii="Times New Roman;Times;Serif" w:hAnsi="Times New Roman;Times;Serif"/>
          <w:b w:val="false"/>
          <w:i w:val="false"/>
          <w:caps w:val="false"/>
          <w:smallCaps w:val="false"/>
          <w:sz w:val="20"/>
        </w:rPr>
        <w:t>1.2 million in cash within three business days of the GEM Settlement Agreement and (ii) issued to GEM, on February 5, 2024, an unsecured promissory zero coupon note in the amount of $</w:t>
      </w:r>
      <w:bookmarkStart w:id="716" w:name="xdx_902_eus-gaap--DebtInstrumentFaceAmou"/>
      <w:bookmarkEnd w:id="716"/>
      <w:r>
        <w:rPr>
          <w:rFonts w:ascii="Times New Roman;Times;Serif" w:hAnsi="Times New Roman;Times;Serif"/>
          <w:b w:val="false"/>
          <w:i w:val="false"/>
          <w:caps w:val="false"/>
          <w:smallCaps w:val="false"/>
          <w:sz w:val="20"/>
        </w:rPr>
        <w:t>1.0 million, payable in monthly installments of $</w:t>
      </w:r>
      <w:bookmarkStart w:id="717" w:name="xdx_900_eus-gaap--DebtInstrumentPeriodic"/>
      <w:bookmarkEnd w:id="717"/>
      <w:r>
        <w:rPr>
          <w:rFonts w:ascii="Times New Roman;Times;Serif" w:hAnsi="Times New Roman;Times;Serif"/>
          <w:b w:val="false"/>
          <w:i w:val="false"/>
          <w:caps w:val="false"/>
          <w:smallCaps w:val="false"/>
          <w:sz w:val="20"/>
        </w:rPr>
        <w:t>100 beginning on March 1, 2024, with the final payment to be made on December 1, 2024 (the “GEM Promissory Note”). The Company paid GEM the $</w:t>
      </w:r>
      <w:bookmarkStart w:id="718" w:name="xdx_907_eus-gaap--RepaymentsOfLongTermDe"/>
      <w:bookmarkEnd w:id="718"/>
      <w:r>
        <w:rPr>
          <w:rFonts w:ascii="Times New Roman;Times;Serif" w:hAnsi="Times New Roman;Times;Serif"/>
          <w:b w:val="false"/>
          <w:i w:val="false"/>
          <w:caps w:val="false"/>
          <w:smallCaps w:val="false"/>
          <w:sz w:val="20"/>
        </w:rPr>
        <w:t>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w:t>
      </w:r>
      <w:bookmarkStart w:id="719" w:name="xdx_90B_ecustom--SharesIssuableUnderProm"/>
      <w:bookmarkEnd w:id="719"/>
      <w:r>
        <w:rPr>
          <w:rFonts w:ascii="Times New Roman;Times;Serif" w:hAnsi="Times New Roman;Times;Serif"/>
          <w:b w:val="false"/>
          <w:i w:val="false"/>
          <w:caps w:val="false"/>
          <w:smallCaps w:val="false"/>
          <w:sz w:val="20"/>
        </w:rPr>
        <w:t>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issued an aggregate of </w:t>
      </w:r>
      <w:bookmarkStart w:id="720" w:name="xdx_905_ecustom--SharesIssuableUnderProm"/>
      <w:bookmarkEnd w:id="720"/>
      <w:r>
        <w:rPr>
          <w:rFonts w:ascii="Times New Roman;Times;Serif" w:hAnsi="Times New Roman;Times;Serif"/>
          <w:b w:val="false"/>
          <w:i w:val="false"/>
          <w:caps w:val="false"/>
          <w:smallCaps w:val="false"/>
          <w:sz w:val="20"/>
        </w:rPr>
        <w:t>950 shares of Class A Common Stock to GEM in lieu of monthly payment obligations and during the three months ended March 31, 2025 the Company paid an aggregate of $</w:t>
      </w:r>
      <w:bookmarkStart w:id="721" w:name="xdx_90C_eus-gaap--ConvertibleDebt_iI_c20"/>
      <w:bookmarkEnd w:id="721"/>
      <w:r>
        <w:rPr>
          <w:rFonts w:ascii="Times New Roman;Times;Serif" w:hAnsi="Times New Roman;Times;Serif"/>
          <w:b w:val="false"/>
          <w:i w:val="false"/>
          <w:caps w:val="false"/>
          <w:smallCaps w:val="false"/>
          <w:sz w:val="20"/>
        </w:rPr>
        <w:t>215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w:t>
      </w:r>
      <w:bookmarkStart w:id="722" w:name="xdx_90D_eus-gaap--DebtInstrumentFaceAmou"/>
      <w:bookmarkEnd w:id="722"/>
      <w:r>
        <w:rPr>
          <w:rFonts w:ascii="Times New Roman;Times;Serif" w:hAnsi="Times New Roman;Times;Serif"/>
          <w:b w:val="false"/>
          <w:i w:val="false"/>
          <w:caps w:val="false"/>
          <w:smallCaps w:val="false"/>
          <w:sz w:val="20"/>
        </w:rPr>
        <w:t>3.5 million, $</w:t>
      </w:r>
      <w:bookmarkStart w:id="723" w:name="xdx_90C_eus-gaap--DebtInstrumentFaceAmou"/>
      <w:bookmarkEnd w:id="723"/>
      <w:r>
        <w:rPr>
          <w:rFonts w:ascii="Times New Roman;Times;Serif" w:hAnsi="Times New Roman;Times;Serif"/>
          <w:b w:val="false"/>
          <w:i w:val="false"/>
          <w:caps w:val="false"/>
          <w:smallCaps w:val="false"/>
          <w:sz w:val="20"/>
        </w:rPr>
        <w:t>2.0 million of which was funded at the Closing in exchange for the issuance by the Company of a Convertible Promissory Note (the “December Yorkville Convertible Note”). The Company received net proceeds of $</w:t>
      </w:r>
      <w:bookmarkStart w:id="724" w:name="xdx_90D_eus-gaap--ProceedsFromIssuanceOf"/>
      <w:bookmarkEnd w:id="724"/>
      <w:r>
        <w:rPr>
          <w:rFonts w:ascii="Times New Roman;Times;Serif" w:hAnsi="Times New Roman;Times;Serif"/>
          <w:b w:val="false"/>
          <w:i w:val="false"/>
          <w:caps w:val="false"/>
          <w:smallCaps w:val="false"/>
          <w:sz w:val="20"/>
        </w:rPr>
        <w:t>1.8 million after a non-cash original issue discount of $</w:t>
      </w:r>
      <w:bookmarkStart w:id="725" w:name="xdx_901_eus-gaap--AmortizationOfDebtDisc"/>
      <w:bookmarkEnd w:id="725"/>
      <w:r>
        <w:rPr>
          <w:rFonts w:ascii="Times New Roman;Times;Serif" w:hAnsi="Times New Roman;Times;Serif"/>
          <w:b w:val="false"/>
          <w:i w:val="false"/>
          <w:caps w:val="false"/>
          <w:smallCaps w:val="false"/>
          <w:sz w:val="20"/>
        </w:rPr>
        <w:t>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w:t>
      </w:r>
      <w:bookmarkStart w:id="726" w:name="xdx_905_ecustom--IncreasedPrincipalAmoun"/>
      <w:bookmarkEnd w:id="726"/>
      <w:r>
        <w:rPr>
          <w:rFonts w:ascii="Times New Roman;Times;Serif" w:hAnsi="Times New Roman;Times;Serif"/>
          <w:b w:val="false"/>
          <w:i w:val="false"/>
          <w:caps w:val="false"/>
          <w:smallCaps w:val="false"/>
          <w:sz w:val="20"/>
        </w:rPr>
        <w:t>1.0 million (the “Additional Pre-Paid Advance Amount”), for an aggregate principal amount of $</w:t>
      </w:r>
      <w:bookmarkStart w:id="727" w:name="xdx_90A_ecustom--AggregatePrincipalAmoun"/>
      <w:bookmarkEnd w:id="727"/>
      <w:r>
        <w:rPr>
          <w:rFonts w:ascii="Times New Roman;Times;Serif" w:hAnsi="Times New Roman;Times;Serif"/>
          <w:b w:val="false"/>
          <w:i w:val="false"/>
          <w:caps w:val="false"/>
          <w:smallCaps w:val="false"/>
          <w:sz w:val="20"/>
        </w:rPr>
        <w:t>4.5 million to be advanced by Yorkville to the Company in the form of convertible promissory notes. On February 5, 2024 in exchange for a promissory note in the principal amount of $</w:t>
      </w:r>
      <w:bookmarkStart w:id="728" w:name="xdx_900_eus-gaap--DebtInstrumentFaceAmou"/>
      <w:bookmarkEnd w:id="728"/>
      <w:r>
        <w:rPr>
          <w:rFonts w:ascii="Times New Roman;Times;Serif" w:hAnsi="Times New Roman;Times;Serif"/>
          <w:b w:val="false"/>
          <w:i w:val="false"/>
          <w:caps w:val="false"/>
          <w:smallCaps w:val="false"/>
          <w:sz w:val="20"/>
        </w:rPr>
        <w:t>1.0 million (the “February Yorkville Promissory Note”), with the same terms as the December Yorkville Convertible Note, the Company received net proceeds of $</w:t>
      </w:r>
      <w:bookmarkStart w:id="729" w:name="xdx_900_eus-gaap--ProceedsFromIssuanceOf"/>
      <w:bookmarkEnd w:id="729"/>
      <w:r>
        <w:rPr>
          <w:rFonts w:ascii="Times New Roman;Times;Serif" w:hAnsi="Times New Roman;Times;Serif"/>
          <w:b w:val="false"/>
          <w:i w:val="false"/>
          <w:caps w:val="false"/>
          <w:smallCaps w:val="false"/>
          <w:sz w:val="20"/>
        </w:rPr>
        <w:t>900 after an original issue discount of $</w:t>
      </w:r>
      <w:bookmarkStart w:id="730" w:name="xdx_905_eus-gaap--AmortizationOfDebtDisc"/>
      <w:bookmarkEnd w:id="730"/>
      <w:r>
        <w:rPr>
          <w:rFonts w:ascii="Times New Roman;Times;Serif" w:hAnsi="Times New Roman;Times;Serif"/>
          <w:b w:val="false"/>
          <w:i w:val="false"/>
          <w:caps w:val="false"/>
          <w:smallCaps w:val="false"/>
          <w:sz w:val="20"/>
        </w:rPr>
        <w:t>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w:t>
      </w:r>
      <w:bookmarkStart w:id="731" w:name="xdx_908_eus-gaap--DebtInstrumentFaceAmou"/>
      <w:bookmarkEnd w:id="731"/>
      <w:r>
        <w:rPr>
          <w:rFonts w:ascii="Times New Roman;Times;Serif" w:hAnsi="Times New Roman;Times;Serif"/>
          <w:b w:val="false"/>
          <w:i w:val="false"/>
          <w:caps w:val="false"/>
          <w:smallCaps w:val="false"/>
          <w:sz w:val="20"/>
        </w:rPr>
        <w:t>1.5 million (the “March Yorkville Promissory Note” and, together with the December Yorkville Convertible Note and February Yorkville Promissory Note, the “Yorkville Promissory Notes”), received net proceeds of $</w:t>
      </w:r>
      <w:bookmarkStart w:id="732" w:name="xdx_904_eus-gaap--ProceedsFromIssuanceOf"/>
      <w:bookmarkEnd w:id="732"/>
      <w:r>
        <w:rPr>
          <w:rFonts w:ascii="Times New Roman;Times;Serif" w:hAnsi="Times New Roman;Times;Serif"/>
          <w:b w:val="false"/>
          <w:i w:val="false"/>
          <w:caps w:val="false"/>
          <w:smallCaps w:val="false"/>
          <w:sz w:val="20"/>
        </w:rPr>
        <w:t>1,250 after an original issue discount of $</w:t>
      </w:r>
      <w:bookmarkStart w:id="733" w:name="xdx_909_eus-gaap--AmortizationOfDebtDisc"/>
      <w:bookmarkEnd w:id="733"/>
      <w:r>
        <w:rPr>
          <w:rFonts w:ascii="Times New Roman;Times;Serif" w:hAnsi="Times New Roman;Times;Serif"/>
          <w:b w:val="false"/>
          <w:i w:val="false"/>
          <w:caps w:val="false"/>
          <w:smallCaps w:val="false"/>
          <w:sz w:val="20"/>
        </w:rPr>
        <w:t>250.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w:t>
      </w:r>
      <w:bookmarkStart w:id="734" w:name="xdx_90F_eus-gaap--RepaymentsOfConvertibl"/>
      <w:bookmarkEnd w:id="734"/>
      <w:r>
        <w:rPr>
          <w:rFonts w:ascii="Times New Roman;Times;Serif" w:hAnsi="Times New Roman;Times;Serif"/>
          <w:b w:val="false"/>
          <w:i w:val="false"/>
          <w:caps w:val="false"/>
          <w:smallCaps w:val="false"/>
          <w:sz w:val="20"/>
        </w:rPr>
        <w:t xml:space="preserve">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w:t>
      </w:r>
      <w:bookmarkStart w:id="735" w:name="xdx_90A_eus-gaap--DebtInstrumentMaturity"/>
      <w:bookmarkEnd w:id="735"/>
      <w:r>
        <w:rPr>
          <w:rFonts w:ascii="Times New Roman;Times;Serif" w:hAnsi="Times New Roman;Times;Serif"/>
          <w:b w:val="false"/>
          <w:i w:val="false"/>
          <w:caps w:val="false"/>
          <w:smallCaps w:val="false"/>
          <w:sz w:val="20"/>
        </w:rPr>
        <w:t>Under the Original Debt Repayment Agreement, the Company and Yorkville also agreed to extend the maturity date of the Yorkville Promissory Notes to the date that is 120 days after the closing of the offering and to satisfy the $</w:t>
      </w:r>
      <w:bookmarkStart w:id="736" w:name="xdx_904_eus-gaap--RedemptionPremium_pn3n"/>
      <w:bookmarkEnd w:id="736"/>
      <w:r>
        <w:rPr>
          <w:rFonts w:ascii="Times New Roman;Times;Serif" w:hAnsi="Times New Roman;Times;Serif"/>
          <w:b w:val="false"/>
          <w:i w:val="false"/>
          <w:caps w:val="false"/>
          <w:smallCaps w:val="false"/>
          <w:sz w:val="20"/>
        </w:rPr>
        <w:t>200 payment premium due in connection with an early redemption through the issuance of an Advance Notice (as defined in the SEPA) for shares of the Company’s Class A Common Stock, par value $</w:t>
      </w:r>
      <w:bookmarkStart w:id="737" w:name="xdx_900_eus-gaap--SharesIssuedPricePerSh"/>
      <w:bookmarkEnd w:id="737"/>
      <w:r>
        <w:rPr>
          <w:rFonts w:ascii="Times New Roman;Times;Serif" w:hAnsi="Times New Roman;Times;Serif"/>
          <w:b w:val="false"/>
          <w:i w:val="false"/>
          <w:caps w:val="false"/>
          <w:smallCaps w:val="false"/>
          <w:sz w:val="20"/>
        </w:rPr>
        <w:t xml:space="preserve">0.0001 per share. The Original Debt Repayment Agreement was conditioned on the completion of the offering by </w:t>
      </w:r>
      <w:bookmarkStart w:id="738" w:name="xdx_90B_eus-gaap--DebtInstrumentOffering"/>
      <w:bookmarkEnd w:id="738"/>
      <w:r>
        <w:rPr>
          <w:rFonts w:ascii="Times New Roman;Times;Serif" w:hAnsi="Times New Roman;Times;Serif"/>
          <w:b w:val="false"/>
          <w:i w:val="false"/>
          <w:caps w:val="false"/>
          <w:smallCaps w:val="false"/>
          <w:sz w:val="20"/>
        </w:rPr>
        <w:t>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w:t>
      </w:r>
      <w:bookmarkStart w:id="739" w:name="xdx_90E_eus-gaap--RepaymentsOfConvertibl"/>
      <w:bookmarkEnd w:id="739"/>
      <w:r>
        <w:rPr>
          <w:rFonts w:ascii="Times New Roman;Times;Serif" w:hAnsi="Times New Roman;Times;Serif"/>
          <w:b w:val="false"/>
          <w:i w:val="false"/>
          <w:caps w:val="false"/>
          <w:smallCaps w:val="false"/>
          <w:sz w:val="20"/>
        </w:rPr>
        <w:t>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w:t>
      </w:r>
      <w:bookmarkStart w:id="740" w:name="xdx_90A_eus-gaap--RedemptionPremium_pn3n"/>
      <w:bookmarkEnd w:id="740"/>
      <w:r>
        <w:rPr>
          <w:rFonts w:ascii="Times New Roman;Times;Serif" w:hAnsi="Times New Roman;Times;Serif"/>
          <w:b w:val="false"/>
          <w:i w:val="false"/>
          <w:caps w:val="false"/>
          <w:smallCaps w:val="false"/>
          <w:sz w:val="20"/>
        </w:rPr>
        <w:t>75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w:t>
      </w:r>
      <w:bookmarkStart w:id="741" w:name="xdx_90B_ecustom--AggregatePrincipalAmoun"/>
      <w:bookmarkEnd w:id="741"/>
      <w:r>
        <w:rPr>
          <w:rFonts w:ascii="Times New Roman;Times;Serif" w:hAnsi="Times New Roman;Times;Serif"/>
          <w:b w:val="false"/>
          <w:i w:val="false"/>
          <w:caps w:val="false"/>
          <w:smallCaps w:val="false"/>
          <w:sz w:val="20"/>
        </w:rPr>
        <w:t xml:space="preserve">750 on May 31, 2024 (the “Repayment Date”), and issued an Advance Notice for the purchase of </w:t>
      </w:r>
      <w:bookmarkStart w:id="742" w:name="xdx_902_eus-gaap--StockIssuedDuringPerio"/>
      <w:bookmarkEnd w:id="742"/>
      <w:r>
        <w:rPr>
          <w:rFonts w:ascii="Times New Roman;Times;Serif" w:hAnsi="Times New Roman;Times;Serif"/>
          <w:b w:val="false"/>
          <w:i w:val="false"/>
          <w:caps w:val="false"/>
          <w:smallCaps w:val="false"/>
          <w:sz w:val="20"/>
        </w:rPr>
        <w:t>60 shares of Class A Common Stock (the “Premium Advance Shares”) (representing the number of shares the Company reasonably believed would be sufficient to result in net proceeds of $</w:t>
      </w:r>
      <w:bookmarkStart w:id="743" w:name="xdx_909_eus-gaap--ProceedsFromIssuanceOf"/>
      <w:bookmarkEnd w:id="743"/>
      <w:r>
        <w:rPr>
          <w:rFonts w:ascii="Times New Roman;Times;Serif" w:hAnsi="Times New Roman;Times;Serif"/>
          <w:b w:val="false"/>
          <w:i w:val="false"/>
          <w:caps w:val="false"/>
          <w:smallCaps w:val="false"/>
          <w:sz w:val="20"/>
        </w:rPr>
        <w:t>75 as of the Repayment Date) (the “Premium Advance”). The total purchase price for the Premium Advance was $</w:t>
      </w:r>
      <w:bookmarkStart w:id="744" w:name="xdx_906_eus-gaap--DebtInstrumentFaceAmou"/>
      <w:bookmarkEnd w:id="744"/>
      <w:r>
        <w:rPr>
          <w:rFonts w:ascii="Times New Roman;Times;Serif" w:hAnsi="Times New Roman;Times;Serif"/>
          <w:b w:val="false"/>
          <w:i w:val="false"/>
          <w:caps w:val="false"/>
          <w:smallCaps w:val="false"/>
          <w:sz w:val="20"/>
        </w:rPr>
        <w:t>110, of which $</w:t>
      </w:r>
      <w:bookmarkStart w:id="745" w:name="xdx_900_eus-gaap--RedemptionPremium_pn3n"/>
      <w:bookmarkEnd w:id="745"/>
      <w:r>
        <w:rPr>
          <w:rFonts w:ascii="Times New Roman;Times;Serif" w:hAnsi="Times New Roman;Times;Serif"/>
          <w:b w:val="false"/>
          <w:i w:val="false"/>
          <w:caps w:val="false"/>
          <w:smallCaps w:val="false"/>
          <w:sz w:val="20"/>
        </w:rPr>
        <w:t>75 was applied in satisfaction of the Payment Premium, and the remaining $</w:t>
      </w:r>
      <w:bookmarkStart w:id="746" w:name="xdx_90F_ecustom--DebtInstrumentCashSurpl"/>
      <w:bookmarkEnd w:id="746"/>
      <w:r>
        <w:rPr>
          <w:rFonts w:ascii="Times New Roman;Times;Serif" w:hAnsi="Times New Roman;Times;Serif"/>
          <w:b w:val="false"/>
          <w:i w:val="false"/>
          <w:caps w:val="false"/>
          <w:smallCaps w:val="false"/>
          <w:sz w:val="20"/>
        </w:rPr>
        <w:t>35 was paid by Yorkville to the Company in cash (the “Cash Surplus”). The Premium Advance Shares were recorded at fair value totaling $</w:t>
      </w:r>
      <w:bookmarkStart w:id="747" w:name="xdx_90D_eus-gaap--DebtInstrumentFairValu"/>
      <w:bookmarkEnd w:id="747"/>
      <w:r>
        <w:rPr>
          <w:rFonts w:ascii="Times New Roman;Times;Serif" w:hAnsi="Times New Roman;Times;Serif"/>
          <w:b w:val="false"/>
          <w:i w:val="false"/>
          <w:caps w:val="false"/>
          <w:smallCaps w:val="false"/>
          <w:sz w:val="20"/>
        </w:rPr>
        <w:t>116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w:t>
      </w:r>
      <w:bookmarkStart w:id="748" w:name="xdx_901_ecustom--DebtInstrumentReduction"/>
      <w:bookmarkEnd w:id="748"/>
      <w:r>
        <w:rPr>
          <w:rFonts w:ascii="Times New Roman;Times;Serif" w:hAnsi="Times New Roman;Times;Serif"/>
          <w:b w:val="false"/>
          <w:i w:val="false"/>
          <w:caps w:val="false"/>
          <w:smallCaps w:val="false"/>
          <w:sz w:val="20"/>
        </w:rPr>
        <w:t xml:space="preserve">0.7 million, with </w:t>
      </w:r>
      <w:bookmarkStart w:id="749" w:name="xdx_902_eus-gaap--DebtInstrumentInterest"/>
      <w:bookmarkEnd w:id="749"/>
      <w:r>
        <w:rPr>
          <w:rFonts w:ascii="Times New Roman;Times;Serif" w:hAnsi="Times New Roman;Times;Serif"/>
          <w:b w:val="false"/>
          <w:i w:val="false"/>
          <w:caps w:val="false"/>
          <w:smallCaps w:val="false"/>
          <w:sz w:val="20"/>
        </w:rPr>
        <w:t>no remaining interest, the floor price, as described in the Outstanding Promissory Notes, was adjusted to $</w:t>
      </w:r>
      <w:bookmarkStart w:id="750" w:name="xdx_905_ecustom--DebtInstrumentAdjustedA"/>
      <w:bookmarkEnd w:id="750"/>
      <w:r>
        <w:rPr>
          <w:rFonts w:ascii="Times New Roman;Times;Serif" w:hAnsi="Times New Roman;Times;Serif"/>
          <w:b w:val="false"/>
          <w:i w:val="false"/>
          <w:caps w:val="false"/>
          <w:smallCaps w:val="false"/>
          <w:sz w:val="20"/>
        </w:rPr>
        <w:t xml:space="preserve">400.00 per share, and the </w:t>
      </w:r>
      <w:bookmarkStart w:id="751" w:name="xdx_90A_ecustom--DebtInstrumentExtendedM"/>
      <w:bookmarkEnd w:id="751"/>
      <w:r>
        <w:rPr>
          <w:rFonts w:ascii="Times New Roman;Times;Serif" w:hAnsi="Times New Roman;Times;Serif"/>
          <w:b w:val="false"/>
          <w:i w:val="false"/>
          <w:caps w:val="false"/>
          <w:smallCaps w:val="false"/>
          <w:sz w:val="20"/>
        </w:rPr>
        <w:t>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w:t>
      </w:r>
      <w:bookmarkStart w:id="752" w:name="xdx_90B_eus-gaap--DebtInstrumentMaturity"/>
      <w:bookmarkEnd w:id="752"/>
      <w:r>
        <w:rPr>
          <w:rFonts w:ascii="Times New Roman;Times;Serif" w:hAnsi="Times New Roman;Times;Serif"/>
          <w:b w:val="false"/>
          <w:i w:val="false"/>
          <w:caps w:val="false"/>
          <w:smallCaps w:val="false"/>
          <w:sz w:val="20"/>
          <w:shd w:fill="FFFFFF" w:val="clear"/>
        </w:rPr>
        <w:t xml:space="preserve">January 17, 2025, and accrue interest at </w:t>
      </w:r>
      <w:bookmarkStart w:id="753" w:name="xdx_908_eus-gaap--DebtInstrumentInterest"/>
      <w:bookmarkEnd w:id="753"/>
      <w:r>
        <w:rPr>
          <w:rFonts w:ascii="Times New Roman;Times;Serif" w:hAnsi="Times New Roman;Times;Serif"/>
          <w:b w:val="false"/>
          <w:i w:val="false"/>
          <w:caps w:val="false"/>
          <w:smallCaps w:val="false"/>
          <w:sz w:val="20"/>
          <w:shd w:fill="FFFFFF" w:val="clear"/>
        </w:rPr>
        <w:t xml:space="preserve">0% per annum, subject to an increase to </w:t>
      </w:r>
      <w:bookmarkStart w:id="754" w:name="xdx_906_eus-gaap--DebtInstrumentInterest"/>
      <w:bookmarkEnd w:id="754"/>
      <w:r>
        <w:rPr>
          <w:rFonts w:ascii="Times New Roman;Times;Serif" w:hAnsi="Times New Roman;Times;Serif"/>
          <w:b w:val="false"/>
          <w:i w:val="false"/>
          <w:caps w:val="false"/>
          <w:smallCaps w:val="false"/>
          <w:sz w:val="20"/>
          <w:shd w:fill="FFFFFF" w:val="clear"/>
        </w:rPr>
        <w:t>18% per annum upon events of default as defined in the agreement. As of March 31, 2026,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Yorkville will not have the right to convert any portion of the principal to the extent that after giving effect to such conversion, Yorkville would beneficially own in excess of </w:t>
      </w:r>
      <w:bookmarkStart w:id="755" w:name="xdx_90A_eus-gaap--DebtConversionConverte"/>
      <w:bookmarkEnd w:id="755"/>
      <w:r>
        <w:rPr>
          <w:rFonts w:ascii="Times New Roman;Times;Serif" w:hAnsi="Times New Roman;Times;Serif"/>
          <w:b w:val="false"/>
          <w:i w:val="false"/>
          <w:caps w:val="false"/>
          <w:smallCaps w:val="false"/>
          <w:sz w:val="20"/>
        </w:rPr>
        <w:t>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at its option, shall have the right, but not the obligation, to redeem early a portion or all amounts outstanding under the Promissory Notes at a redemption amount equal to the outstanding principal balance being repaid or redeemed, plus a </w:t>
      </w:r>
      <w:bookmarkStart w:id="756" w:name="xdx_90F_ecustom--PercentageOfPrepaymentP"/>
      <w:bookmarkEnd w:id="756"/>
      <w:r>
        <w:rPr>
          <w:rFonts w:ascii="Times New Roman;Times;Serif" w:hAnsi="Times New Roman;Times;Serif"/>
          <w:b w:val="false"/>
          <w:i w:val="false"/>
          <w:caps w:val="false"/>
          <w:smallCaps w:val="false"/>
          <w:sz w:val="20"/>
        </w:rPr>
        <w:t>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w:t>
      </w:r>
      <w:bookmarkStart w:id="757" w:name="xdx_90A_eus-gaap--RepaymentsOfConvertibl"/>
      <w:bookmarkEnd w:id="757"/>
      <w:r>
        <w:rPr>
          <w:rFonts w:ascii="Times New Roman;Times;Serif" w:hAnsi="Times New Roman;Times;Serif"/>
          <w:b w:val="false"/>
          <w:i w:val="false"/>
          <w:caps w:val="false"/>
          <w:smallCaps w:val="false"/>
          <w:sz w:val="20"/>
        </w:rPr>
        <w:t xml:space="preserve">1 million, plus (y) </w:t>
      </w:r>
      <w:bookmarkStart w:id="758" w:name="xdx_905_ecustom--PercentageOfRepaymentOf"/>
      <w:bookmarkEnd w:id="758"/>
      <w:r>
        <w:rPr>
          <w:rFonts w:ascii="Times New Roman;Times;Serif" w:hAnsi="Times New Roman;Times;Serif"/>
          <w:b w:val="false"/>
          <w:i w:val="false"/>
          <w:caps w:val="false"/>
          <w:smallCaps w:val="false"/>
          <w:sz w:val="20"/>
        </w:rPr>
        <w:t>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fell below the then in effect Floor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of $</w:t>
      </w:r>
      <w:bookmarkStart w:id="759" w:name="xdx_90F_ecustom--MaximumFloorPrice_iI_pi"/>
      <w:bookmarkEnd w:id="759"/>
      <w:r>
        <w:rPr>
          <w:rFonts w:ascii="Times New Roman;Times;Serif" w:hAnsi="Times New Roman;Times;Serif"/>
          <w:b w:val="false"/>
          <w:i w:val="false"/>
          <w:caps w:val="false"/>
          <w:smallCaps w:val="false"/>
          <w:sz w:val="20"/>
        </w:rPr>
        <w:t>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w:t>
      </w:r>
      <w:bookmarkStart w:id="760" w:name="xdx_900_ecustom--FloorPrice_iI_pid_c2024"/>
      <w:bookmarkEnd w:id="760"/>
      <w:r>
        <w:rPr>
          <w:rFonts w:ascii="Times New Roman;Times;Serif" w:hAnsi="Times New Roman;Times;Serif"/>
          <w:b w:val="false"/>
          <w:i w:val="false"/>
          <w:caps w:val="false"/>
          <w:smallCaps w:val="false"/>
          <w:sz w:val="20"/>
        </w:rPr>
        <w:t>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t>
      </w:r>
      <w:bookmarkStart w:id="761" w:name="xdx_901_eus-gaap--DebtInstrumentIssuedPr"/>
      <w:bookmarkEnd w:id="761"/>
      <w:r>
        <w:rPr>
          <w:rFonts w:ascii="Times New Roman;Times;Serif" w:hAnsi="Times New Roman;Times;Serif"/>
          <w:b w:val="false"/>
          <w:i w:val="false"/>
          <w:caps w:val="false"/>
          <w:smallCaps w:val="false"/>
          <w:sz w:val="20"/>
        </w:rPr>
        <w:t xml:space="preserve">2.0 million of the full outstanding principal under the December Yorkville Convertible Note, respectively, was converted into </w:t>
      </w:r>
      <w:bookmarkStart w:id="762" w:name="xdx_900_eus-gaap--ConversionOfStockShare"/>
      <w:bookmarkEnd w:id="762"/>
      <w:r>
        <w:rPr>
          <w:rFonts w:ascii="Times New Roman;Times;Serif" w:hAnsi="Times New Roman;Times;Serif"/>
          <w:b w:val="false"/>
          <w:i w:val="false"/>
          <w:caps w:val="false"/>
          <w:smallCaps w:val="false"/>
          <w:sz w:val="20"/>
        </w:rPr>
        <w:t>1,377 shares of Class A Common stock of the Company. During the year ended December 31, 2024, the full principal amount of $</w:t>
      </w:r>
      <w:bookmarkStart w:id="763" w:name="xdx_90A_eus-gaap--DebtInstrumentFaceAmou"/>
      <w:bookmarkEnd w:id="763"/>
      <w:r>
        <w:rPr>
          <w:rFonts w:ascii="Times New Roman;Times;Serif" w:hAnsi="Times New Roman;Times;Serif"/>
          <w:b w:val="false"/>
          <w:i w:val="false"/>
          <w:caps w:val="false"/>
          <w:smallCaps w:val="false"/>
          <w:sz w:val="20"/>
        </w:rPr>
        <w:t xml:space="preserve">1.0 million under the February Yorkville Promissory Note was converted into </w:t>
      </w:r>
      <w:bookmarkStart w:id="764" w:name="xdx_90F_eus-gaap--ConversionOfStockShare"/>
      <w:bookmarkEnd w:id="764"/>
      <w:r>
        <w:rPr>
          <w:rFonts w:ascii="Times New Roman;Times;Serif" w:hAnsi="Times New Roman;Times;Serif"/>
          <w:b w:val="false"/>
          <w:i w:val="false"/>
          <w:caps w:val="false"/>
          <w:smallCaps w:val="false"/>
          <w:sz w:val="20"/>
        </w:rPr>
        <w:t>145 Class A Common stock of the Company. During the year ended December 31, 2024, the full outstanding principal amount of $</w:t>
      </w:r>
      <w:bookmarkStart w:id="765" w:name="xdx_903_eus-gaap--DebtInstrumentFaceAmou"/>
      <w:bookmarkEnd w:id="765"/>
      <w:r>
        <w:rPr>
          <w:rFonts w:ascii="Times New Roman;Times;Serif" w:hAnsi="Times New Roman;Times;Serif"/>
          <w:b w:val="false"/>
          <w:i w:val="false"/>
          <w:caps w:val="false"/>
          <w:smallCaps w:val="false"/>
          <w:sz w:val="20"/>
        </w:rPr>
        <w:t xml:space="preserve">750 under the March Yorkville Promissory Note was converted into </w:t>
      </w:r>
      <w:bookmarkStart w:id="766" w:name="xdx_90A_eus-gaap--ConversionOfStockShare"/>
      <w:bookmarkEnd w:id="766"/>
      <w:r>
        <w:rPr>
          <w:rFonts w:ascii="Times New Roman;Times;Serif" w:hAnsi="Times New Roman;Times;Serif"/>
          <w:b w:val="false"/>
          <w:i w:val="false"/>
          <w:caps w:val="false"/>
          <w:smallCaps w:val="false"/>
          <w:sz w:val="20"/>
        </w:rPr>
        <w:t>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w:t>
      </w:r>
      <w:bookmarkStart w:id="767" w:name="xdx_901_eus-gaap--DebtInstrumentFaceAmou"/>
      <w:bookmarkEnd w:id="767"/>
      <w:r>
        <w:rPr>
          <w:rFonts w:ascii="Times New Roman;Times;Serif" w:hAnsi="Times New Roman;Times;Serif"/>
          <w:b w:val="false"/>
          <w:i w:val="false"/>
          <w:caps w:val="false"/>
          <w:smallCaps w:val="false"/>
          <w:sz w:val="20"/>
        </w:rPr>
        <w:t>3.5 million. The Company received net proceeds of $</w:t>
      </w:r>
      <w:bookmarkStart w:id="768" w:name="xdx_90D_eus-gaap--ProceedsFromIssuanceOf"/>
      <w:bookmarkEnd w:id="768"/>
      <w:r>
        <w:rPr>
          <w:rFonts w:ascii="Times New Roman;Times;Serif" w:hAnsi="Times New Roman;Times;Serif"/>
          <w:b w:val="false"/>
          <w:i w:val="false"/>
          <w:caps w:val="false"/>
          <w:smallCaps w:val="false"/>
          <w:sz w:val="20"/>
        </w:rPr>
        <w:t>3,140 after an original issue discount of $</w:t>
      </w:r>
      <w:bookmarkStart w:id="769" w:name="xdx_902_eus-gaap--AmortizationOfDebtDisc"/>
      <w:bookmarkEnd w:id="769"/>
      <w:r>
        <w:rPr>
          <w:rFonts w:ascii="Times New Roman;Times;Serif" w:hAnsi="Times New Roman;Times;Serif"/>
          <w:b w:val="false"/>
          <w:i w:val="false"/>
          <w:caps w:val="false"/>
          <w:smallCaps w:val="false"/>
          <w:sz w:val="20"/>
        </w:rPr>
        <w:t>350, and $</w:t>
      </w:r>
      <w:bookmarkStart w:id="770" w:name="xdx_90A_eus-gaap--DeferredFinanceCostsNe"/>
      <w:bookmarkEnd w:id="770"/>
      <w:r>
        <w:rPr>
          <w:rFonts w:ascii="Times New Roman;Times;Serif" w:hAnsi="Times New Roman;Times;Serif"/>
          <w:b w:val="false"/>
          <w:i w:val="false"/>
          <w:caps w:val="false"/>
          <w:smallCaps w:val="false"/>
          <w:sz w:val="20"/>
        </w:rPr>
        <w:t>10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January 2025 Yorkville Note had a maturity date of </w:t>
      </w:r>
      <w:bookmarkStart w:id="771" w:name="xdx_904_eus-gaap--DebtInstrumentMaturity"/>
      <w:bookmarkEnd w:id="771"/>
      <w:r>
        <w:rPr>
          <w:rFonts w:ascii="Times New Roman;Times;Serif" w:hAnsi="Times New Roman;Times;Serif"/>
          <w:b w:val="false"/>
          <w:i w:val="false"/>
          <w:caps w:val="false"/>
          <w:smallCaps w:val="false"/>
          <w:sz w:val="20"/>
        </w:rPr>
        <w:t>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w:t>
      </w:r>
      <w:bookmarkStart w:id="772" w:name="xdx_90F_eus-gaap--RepaymentsOfConvertibl"/>
      <w:bookmarkEnd w:id="772"/>
      <w:r>
        <w:rPr>
          <w:rFonts w:ascii="Times New Roman;Times;Serif" w:hAnsi="Times New Roman;Times;Serif"/>
          <w:b w:val="false"/>
          <w:i w:val="false"/>
          <w:caps w:val="false"/>
          <w:smallCaps w:val="false"/>
          <w:sz w:val="20"/>
        </w:rPr>
        <w:t xml:space="preserve">1.0 million of principal (or the outstanding Principal if less than such amount), plus (ii) a payment premium (in an amount equal to </w:t>
      </w:r>
      <w:bookmarkStart w:id="773" w:name="xdx_900_ecustom--ConvertiblePromissoryNo"/>
      <w:bookmarkEnd w:id="773"/>
      <w:r>
        <w:rPr>
          <w:rFonts w:ascii="Times New Roman;Times;Serif" w:hAnsi="Times New Roman;Times;Serif"/>
          <w:b w:val="false"/>
          <w:i w:val="false"/>
          <w:caps w:val="false"/>
          <w:smallCaps w:val="false"/>
          <w:sz w:val="20"/>
        </w:rPr>
        <w:t xml:space="preserve">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w:t>
      </w:r>
      <w:bookmarkStart w:id="774" w:name="xdx_905_eus-gaap--DebtInstrumentInterest"/>
      <w:bookmarkEnd w:id="774"/>
      <w:r>
        <w:rPr>
          <w:rFonts w:ascii="Times New Roman;Times;Serif" w:hAnsi="Times New Roman;Times;Serif"/>
          <w:b w:val="false"/>
          <w:i w:val="false"/>
          <w:caps w:val="false"/>
          <w:smallCaps w:val="false"/>
          <w:sz w:val="20"/>
        </w:rPr>
        <w:t xml:space="preserve">0% for the first 90 days following the Issuance Date, and </w:t>
      </w:r>
      <w:bookmarkStart w:id="775" w:name="xdx_901_eus-gaap--DebtInstrumentInterest"/>
      <w:bookmarkEnd w:id="775"/>
      <w:r>
        <w:rPr>
          <w:rFonts w:ascii="Times New Roman;Times;Serif" w:hAnsi="Times New Roman;Times;Serif"/>
          <w:b w:val="false"/>
          <w:i w:val="false"/>
          <w:caps w:val="false"/>
          <w:smallCaps w:val="false"/>
          <w:sz w:val="20"/>
        </w:rPr>
        <w:t xml:space="preserve">6% thereafter (the “Interest Rate”). The Interest Rate shall increase to an annual rate of </w:t>
      </w:r>
      <w:bookmarkStart w:id="776" w:name="xdx_908_eus-gaap--DebtInstrumentInterest"/>
      <w:bookmarkEnd w:id="776"/>
      <w:r>
        <w:rPr>
          <w:rFonts w:ascii="Times New Roman;Times;Serif" w:hAnsi="Times New Roman;Times;Serif"/>
          <w:b w:val="false"/>
          <w:i w:val="false"/>
          <w:caps w:val="false"/>
          <w:smallCaps w:val="false"/>
          <w:sz w:val="20"/>
        </w:rPr>
        <w:t>18% upon the occurrence of an Event of Default (as defined by the January 2025 Yorkville Note). The January 2025 Yorkville Note is convertible into shares of the Company’s Class A common stock, par value $</w:t>
      </w:r>
      <w:bookmarkStart w:id="777" w:name="xdx_903_eus-gaap--CommonStockParOrStated"/>
      <w:bookmarkEnd w:id="777"/>
      <w:r>
        <w:rPr>
          <w:rFonts w:ascii="Times New Roman;Times;Serif" w:hAnsi="Times New Roman;Times;Serif"/>
          <w:b w:val="false"/>
          <w:i w:val="false"/>
          <w:caps w:val="false"/>
          <w:smallCaps w:val="false"/>
          <w:sz w:val="20"/>
        </w:rPr>
        <w:t>0.0001 per share (the “Class A Common Stock”), at a conversion price of $</w:t>
      </w:r>
      <w:bookmarkStart w:id="778" w:name="xdx_909_eus-gaap--DebtInstrumentConverti"/>
      <w:bookmarkEnd w:id="778"/>
      <w:r>
        <w:rPr>
          <w:rFonts w:ascii="Times New Roman;Times;Serif" w:hAnsi="Times New Roman;Times;Serif"/>
          <w:b w:val="false"/>
          <w:i w:val="false"/>
          <w:caps w:val="false"/>
          <w:smallCaps w:val="false"/>
          <w:sz w:val="20"/>
        </w:rPr>
        <w:t xml:space="preserve">400.00 per share (the “Conversion Price”). The Investor may elect to convert part or all of the outstanding balance of the Note at any time or from time to time after the Issuance Date. The Company may prepay the outstanding amount at any time, in whole or in part, subject to a </w:t>
      </w:r>
      <w:bookmarkStart w:id="779" w:name="xdx_903_ecustom--ConvertiblePromissoryNo"/>
      <w:bookmarkEnd w:id="779"/>
      <w:r>
        <w:rPr>
          <w:rFonts w:ascii="Times New Roman;Times;Serif" w:hAnsi="Times New Roman;Times;Serif"/>
          <w:b w:val="false"/>
          <w:i w:val="false"/>
          <w:caps w:val="false"/>
          <w:smallCaps w:val="false"/>
          <w:sz w:val="20"/>
        </w:rPr>
        <w:t xml:space="preserve">4% premium, provided that (i) the Company provides the Investor with at least </w:t>
      </w:r>
      <w:bookmarkStart w:id="780" w:name="xdx_90B_ecustom--MinimumRedemptionNotice"/>
      <w:bookmarkEnd w:id="780"/>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w:t>
      </w:r>
      <w:bookmarkStart w:id="781" w:name="xdx_905_eus-gaap--DebtInstrumentAnnualPr"/>
      <w:bookmarkEnd w:id="781"/>
      <w:r>
        <w:rPr>
          <w:rFonts w:ascii="Times New Roman;Times;Serif" w:hAnsi="Times New Roman;Times;Serif"/>
          <w:b w:val="false"/>
          <w:i w:val="false"/>
          <w:caps w:val="false"/>
          <w:smallCaps w:val="false"/>
          <w:sz w:val="20"/>
        </w:rPr>
        <w:t>3,640, of which approximately $</w:t>
      </w:r>
      <w:bookmarkStart w:id="782" w:name="xdx_903_eus-gaap--DebtInstrumentIssuedPr"/>
      <w:bookmarkEnd w:id="782"/>
      <w:r>
        <w:rPr>
          <w:rFonts w:ascii="Times New Roman;Times;Serif" w:hAnsi="Times New Roman;Times;Serif"/>
          <w:b w:val="false"/>
          <w:i w:val="false"/>
          <w:caps w:val="false"/>
          <w:smallCaps w:val="false"/>
          <w:sz w:val="20"/>
        </w:rPr>
        <w:t>3,500 was applied against outstanding principal, and approximately $</w:t>
      </w:r>
      <w:bookmarkStart w:id="783" w:name="xdx_907_eus-gaap--RedemptionPremium_pn3n"/>
      <w:bookmarkEnd w:id="783"/>
      <w:r>
        <w:rPr>
          <w:rFonts w:ascii="Times New Roman;Times;Serif" w:hAnsi="Times New Roman;Times;Serif"/>
          <w:b w:val="false"/>
          <w:i w:val="false"/>
          <w:caps w:val="false"/>
          <w:smallCaps w:val="false"/>
          <w:sz w:val="20"/>
        </w:rPr>
        <w:t>140 was paid to Yorkville as Payment Premiums and expensed as incurred. As of June 30, 2025, the January 2025 Yorkville Note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Convertible Promissory Note (the “September 2025 Yorkville Note”) with Yorkville in principal amount of $</w:t>
      </w:r>
      <w:bookmarkStart w:id="784" w:name="xdx_90C_eus-gaap--DebtInstrumentFaceAmou"/>
      <w:bookmarkEnd w:id="784"/>
      <w:r>
        <w:rPr>
          <w:rFonts w:ascii="Times New Roman;Times;Serif" w:hAnsi="Times New Roman;Times;Serif"/>
          <w:b w:val="false"/>
          <w:i w:val="false"/>
          <w:caps w:val="false"/>
          <w:smallCaps w:val="false"/>
          <w:sz w:val="20"/>
        </w:rPr>
        <w:t>2.0 million (the “Original Principal Amount”) to the Company, to be used as an advance under the SEPA. The Company received $</w:t>
      </w:r>
      <w:bookmarkStart w:id="785" w:name="xdx_90E_eus-gaap--ProceedsFromIssuanceOf"/>
      <w:bookmarkEnd w:id="785"/>
      <w:r>
        <w:rPr>
          <w:rFonts w:ascii="Times New Roman;Times;Serif" w:hAnsi="Times New Roman;Times;Serif"/>
          <w:b w:val="false"/>
          <w:i w:val="false"/>
          <w:caps w:val="false"/>
          <w:smallCaps w:val="false"/>
          <w:sz w:val="20"/>
        </w:rPr>
        <w:t xml:space="preserve">890 from the Investor on that same date (“Advance #1), which reflects </w:t>
      </w:r>
      <w:bookmarkStart w:id="786" w:name="xdx_90C_eus-gaap--DebtInstrumentInterest"/>
      <w:bookmarkEnd w:id="786"/>
      <w:r>
        <w:rPr>
          <w:rFonts w:ascii="Times New Roman;Times;Serif" w:hAnsi="Times New Roman;Times;Serif"/>
          <w:b w:val="false"/>
          <w:i w:val="false"/>
          <w:caps w:val="false"/>
          <w:smallCaps w:val="false"/>
          <w:sz w:val="20"/>
        </w:rPr>
        <w:t xml:space="preserve">50% of the Original Principal Amount, less </w:t>
      </w:r>
      <w:bookmarkStart w:id="787" w:name="xdx_900_ecustom--DebtInstrumentInterestR"/>
      <w:bookmarkEnd w:id="787"/>
      <w:r>
        <w:rPr>
          <w:rFonts w:ascii="Times New Roman;Times;Serif" w:hAnsi="Times New Roman;Times;Serif"/>
          <w:b w:val="false"/>
          <w:i w:val="false"/>
          <w:caps w:val="false"/>
          <w:smallCaps w:val="false"/>
          <w:sz w:val="20"/>
        </w:rPr>
        <w:t xml:space="preserve">10% discount, and certain fees owed at such time. Upon the effectiveness of the registration statement on Form S-1, originally filed with the SEC on September 12, 2025 (File No. 333-290241) and the delivery of a closing statement, the Company received the remaining </w:t>
      </w:r>
      <w:bookmarkStart w:id="788" w:name="xdx_90C_ecustom--DebtInstrumentPaymentRa"/>
      <w:bookmarkEnd w:id="788"/>
      <w:r>
        <w:rPr>
          <w:rFonts w:ascii="Times New Roman;Times;Serif" w:hAnsi="Times New Roman;Times;Serif"/>
          <w:b w:val="false"/>
          <w:i w:val="false"/>
          <w:caps w:val="false"/>
          <w:smallCaps w:val="false"/>
          <w:sz w:val="20"/>
        </w:rPr>
        <w:t>50% of the Original Principal Amount, or $</w:t>
      </w:r>
      <w:bookmarkStart w:id="789" w:name="xdx_901_eus-gaap--RepaymentsOfLongTermDe"/>
      <w:bookmarkEnd w:id="789"/>
      <w:r>
        <w:rPr>
          <w:rFonts w:ascii="Times New Roman;Times;Serif" w:hAnsi="Times New Roman;Times;Serif"/>
          <w:b w:val="false"/>
          <w:i w:val="false"/>
          <w:caps w:val="false"/>
          <w:smallCaps w:val="false"/>
          <w:sz w:val="20"/>
        </w:rPr>
        <w:t xml:space="preserve">1.0 million, less </w:t>
      </w:r>
      <w:bookmarkStart w:id="790" w:name="xdx_905_ecustom--DebtInstrumentInterestR"/>
      <w:bookmarkEnd w:id="790"/>
      <w:r>
        <w:rPr>
          <w:rFonts w:ascii="Times New Roman;Times;Serif" w:hAnsi="Times New Roman;Times;Serif"/>
          <w:b w:val="false"/>
          <w:i w:val="false"/>
          <w:caps w:val="false"/>
          <w:smallCaps w:val="false"/>
          <w:sz w:val="20"/>
        </w:rPr>
        <w:t xml:space="preserve">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September 2025 Yorkville Note was issued on September 16, 2025 and the maturity date of the September 2025 Yorkville Note is </w:t>
      </w:r>
      <w:bookmarkStart w:id="791" w:name="xdx_90C_eus-gaap--DebtInstrumentMaturity"/>
      <w:bookmarkEnd w:id="791"/>
      <w:r>
        <w:rPr>
          <w:rFonts w:ascii="Times New Roman;Times;Serif" w:hAnsi="Times New Roman;Times;Serif"/>
          <w:b w:val="false"/>
          <w:i w:val="false"/>
          <w:caps w:val="false"/>
          <w:smallCaps w:val="false"/>
          <w:sz w:val="20"/>
          <w:shd w:fill="FFFFFF" w:val="clear"/>
        </w:rPr>
        <w:t>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and continuing on the same day of each successive calendar month thereafter, (each, an “Installment Date”), the Company shall repay a portion of the outstanding balance of the Note in an amount equal to the sum of (i) $</w:t>
      </w:r>
      <w:bookmarkStart w:id="792" w:name="xdx_905_eus-gaap--RepaymentsOfConvertibl"/>
      <w:bookmarkEnd w:id="792"/>
      <w:r>
        <w:rPr>
          <w:rFonts w:ascii="Times New Roman;Times;Serif" w:hAnsi="Times New Roman;Times;Serif"/>
          <w:b w:val="false"/>
          <w:i w:val="false"/>
          <w:caps w:val="false"/>
          <w:smallCaps w:val="false"/>
          <w:sz w:val="20"/>
        </w:rPr>
        <w:t xml:space="preserve">500 of principal (or the outstanding Principal if less than such amount), plus (ii) a payment premium in an amount equal to </w:t>
      </w:r>
      <w:bookmarkStart w:id="793" w:name="xdx_902_ecustom--ConvertiblePromissoryNo"/>
      <w:bookmarkEnd w:id="793"/>
      <w:r>
        <w:rPr>
          <w:rFonts w:ascii="Times New Roman;Times;Serif" w:hAnsi="Times New Roman;Times;Serif"/>
          <w:b w:val="false"/>
          <w:i w:val="false"/>
          <w:caps w:val="false"/>
          <w:smallCaps w:val="false"/>
          <w:sz w:val="20"/>
        </w:rPr>
        <w:t xml:space="preserve">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w:t>
      </w:r>
      <w:bookmarkStart w:id="794" w:name="xdx_907_eus-gaap--InvestmentInterestRate"/>
      <w:bookmarkEnd w:id="794"/>
      <w:r>
        <w:rPr>
          <w:rFonts w:ascii="Times New Roman;Times;Serif" w:hAnsi="Times New Roman;Times;Serif"/>
          <w:b w:val="false"/>
          <w:i w:val="false"/>
          <w:caps w:val="false"/>
          <w:smallCaps w:val="false"/>
          <w:sz w:val="20"/>
        </w:rPr>
        <w:t xml:space="preserve">6%, which shall increase to </w:t>
      </w:r>
      <w:bookmarkStart w:id="795" w:name="xdx_90B_eus-gaap--DebtInstrumentInterest"/>
      <w:bookmarkEnd w:id="795"/>
      <w:r>
        <w:rPr>
          <w:rFonts w:ascii="Times New Roman;Times;Serif" w:hAnsi="Times New Roman;Times;Serif"/>
          <w:b w:val="false"/>
          <w:i w:val="false"/>
          <w:caps w:val="false"/>
          <w:smallCaps w:val="false"/>
          <w:sz w:val="20"/>
        </w:rPr>
        <w:t>18% upon the occurrence of an Event of Default, as defined in the September 2025 Yorkville Note. The September 2025 Yorkville Note is convertible into shares of the Company’s Class A common stock, par value $</w:t>
      </w:r>
      <w:bookmarkStart w:id="796" w:name="xdx_901_eus-gaap--CommonStockParOrStated"/>
      <w:bookmarkEnd w:id="796"/>
      <w:r>
        <w:rPr>
          <w:rFonts w:ascii="Times New Roman;Times;Serif" w:hAnsi="Times New Roman;Times;Serif"/>
          <w:b w:val="false"/>
          <w:i w:val="false"/>
          <w:caps w:val="false"/>
          <w:smallCaps w:val="false"/>
          <w:sz w:val="20"/>
        </w:rPr>
        <w:t>0.0001 per share, at a conversion price of $</w:t>
      </w:r>
      <w:bookmarkStart w:id="797" w:name="xdx_90E_eus-gaap--DebtInstrumentConverti"/>
      <w:bookmarkEnd w:id="797"/>
      <w:r>
        <w:rPr>
          <w:rFonts w:ascii="Times New Roman;Times;Serif" w:hAnsi="Times New Roman;Times;Serif"/>
          <w:b w:val="false"/>
          <w:i w:val="false"/>
          <w:caps w:val="false"/>
          <w:smallCaps w:val="false"/>
          <w:sz w:val="20"/>
        </w:rPr>
        <w:t xml:space="preserve">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xml:space="preserve">. The Company maintains the right to redeem all or any part of the September 2025 Yorkville Note, at any time, provided that (i) the Company provides the Investor with at least </w:t>
      </w:r>
      <w:bookmarkStart w:id="798" w:name="xdx_906_ecustom--MinimumRedemptionNotice"/>
      <w:bookmarkEnd w:id="798"/>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issued an Advance Notice to Yorkville pursuant to the SEPA in which the Company requested the purchase of </w:t>
      </w:r>
      <w:bookmarkStart w:id="799" w:name="xdx_904_eus-gaap--StockIssuedDuringPerio"/>
      <w:bookmarkEnd w:id="799"/>
      <w:r>
        <w:rPr>
          <w:rFonts w:ascii="Times New Roman;Times;Serif" w:hAnsi="Times New Roman;Times;Serif"/>
          <w:b w:val="false"/>
          <w:i w:val="false"/>
          <w:caps w:val="false"/>
          <w:smallCaps w:val="false"/>
          <w:sz w:val="20"/>
        </w:rPr>
        <w:t>5,750 shares of the Company’s Class A Common Stock at a purchase price of $</w:t>
      </w:r>
      <w:bookmarkStart w:id="800" w:name="xdx_904_eus-gaap--SharesIssuedPricePerSh"/>
      <w:bookmarkEnd w:id="800"/>
      <w:r>
        <w:rPr>
          <w:rFonts w:ascii="Times New Roman;Times;Serif" w:hAnsi="Times New Roman;Times;Serif"/>
          <w:b w:val="false"/>
          <w:i w:val="false"/>
          <w:caps w:val="false"/>
          <w:smallCaps w:val="false"/>
          <w:sz w:val="20"/>
        </w:rPr>
        <w:t>61.60 for a total purchase price of $</w:t>
      </w:r>
      <w:bookmarkStart w:id="801" w:name="xdx_906_eus-gaap--ProceedsFromIssuanceOr"/>
      <w:bookmarkEnd w:id="801"/>
      <w:r>
        <w:rPr>
          <w:rFonts w:ascii="Times New Roman;Times;Serif" w:hAnsi="Times New Roman;Times;Serif"/>
          <w:b w:val="false"/>
          <w:i w:val="false"/>
          <w:caps w:val="false"/>
          <w:smallCaps w:val="false"/>
          <w:sz w:val="20"/>
        </w:rPr>
        <w:t xml:space="preserve">354 to be applied against the outstanding Yorkville Convertible Notes. Upon settlement on October 8, 2025, the Company issued </w:t>
      </w:r>
      <w:bookmarkStart w:id="802" w:name="xdx_905_eus-gaap--SharesIssued_iI_pid_c2"/>
      <w:bookmarkEnd w:id="802"/>
      <w:r>
        <w:rPr>
          <w:rFonts w:ascii="Times New Roman;Times;Serif" w:hAnsi="Times New Roman;Times;Serif"/>
          <w:b w:val="false"/>
          <w:i w:val="false"/>
          <w:caps w:val="false"/>
          <w:smallCaps w:val="false"/>
          <w:sz w:val="20"/>
        </w:rPr>
        <w:t>5,750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issued an Advance Notice to Yorkville pursuant to the SEPA in which the Company requested the purchase of </w:t>
      </w:r>
      <w:bookmarkStart w:id="803" w:name="xdx_909_eus-gaap--StockIssuedDuringPerio"/>
      <w:bookmarkEnd w:id="803"/>
      <w:r>
        <w:rPr>
          <w:rFonts w:ascii="Times New Roman;Times;Serif" w:hAnsi="Times New Roman;Times;Serif"/>
          <w:b w:val="false"/>
          <w:i w:val="false"/>
          <w:caps w:val="false"/>
          <w:smallCaps w:val="false"/>
          <w:sz w:val="20"/>
        </w:rPr>
        <w:t>3,250 shares of the Company’s Class A Common Stock at a purchase price of $</w:t>
      </w:r>
      <w:bookmarkStart w:id="804" w:name="xdx_908_eus-gaap--SharesIssuedPricePerSh"/>
      <w:bookmarkEnd w:id="804"/>
      <w:r>
        <w:rPr>
          <w:rFonts w:ascii="Times New Roman;Times;Serif" w:hAnsi="Times New Roman;Times;Serif"/>
          <w:b w:val="false"/>
          <w:i w:val="false"/>
          <w:caps w:val="false"/>
          <w:smallCaps w:val="false"/>
          <w:sz w:val="20"/>
        </w:rPr>
        <w:t>59.00 for a total purchase price of $</w:t>
      </w:r>
      <w:bookmarkStart w:id="805" w:name="xdx_900_eus-gaap--ProceedsFromIssuanceOr"/>
      <w:bookmarkEnd w:id="805"/>
      <w:r>
        <w:rPr>
          <w:rFonts w:ascii="Times New Roman;Times;Serif" w:hAnsi="Times New Roman;Times;Serif"/>
          <w:b w:val="false"/>
          <w:i w:val="false"/>
          <w:caps w:val="false"/>
          <w:smallCaps w:val="false"/>
          <w:sz w:val="20"/>
        </w:rPr>
        <w:t>191 to be applied against the outstanding Yorkville Convertible Notes. Upon settlement on October 15, 2025, the Company issued</w:t>
      </w:r>
      <w:bookmarkStart w:id="806" w:name="xdx_90C_eus-gaap--SharesIssued_iI_pid_c2"/>
      <w:bookmarkEnd w:id="806"/>
      <w:r>
        <w:rPr>
          <w:rFonts w:ascii="Times New Roman;Times;Serif" w:hAnsi="Times New Roman;Times;Serif"/>
          <w:b w:val="false"/>
          <w:i w:val="false"/>
          <w:caps w:val="false"/>
          <w:smallCaps w:val="false"/>
          <w:sz w:val="20"/>
        </w:rPr>
        <w:t xml:space="preserve">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a loan agreement with CP BF Lending, LLC (“CP BF”) comprised of a Term Note and a Convertible Note. The Term Note bears cash interest at a rate of </w:t>
      </w:r>
      <w:bookmarkStart w:id="807" w:name="xdx_90F_eus-gaap--DebtInstrumentInterest"/>
      <w:bookmarkEnd w:id="807"/>
      <w:r>
        <w:rPr>
          <w:rFonts w:ascii="Times New Roman;Times;Serif" w:hAnsi="Times New Roman;Times;Serif"/>
          <w:b w:val="false"/>
          <w:i w:val="false"/>
          <w:caps w:val="false"/>
          <w:smallCaps w:val="false"/>
          <w:sz w:val="20"/>
        </w:rPr>
        <w:t xml:space="preserve">14% per annum paid </w:t>
      </w:r>
      <w:bookmarkStart w:id="808" w:name="xdx_907_eus-gaap--DebtInstrumentFrequenc"/>
      <w:bookmarkEnd w:id="808"/>
      <w:r>
        <w:rPr>
          <w:rFonts w:ascii="Times New Roman;Times;Serif" w:hAnsi="Times New Roman;Times;Serif"/>
          <w:b w:val="false"/>
          <w:i w:val="false"/>
          <w:caps w:val="false"/>
          <w:smallCaps w:val="false"/>
          <w:sz w:val="20"/>
        </w:rPr>
        <w:t xml:space="preserve">monthly and accrued interest payable-in-kind (“PIK”) cumulatively at </w:t>
      </w:r>
      <w:bookmarkStart w:id="809" w:name="xdx_901_ecustom--PaidInKindInterestPerce"/>
      <w:bookmarkEnd w:id="809"/>
      <w:r>
        <w:rPr>
          <w:rFonts w:ascii="Times New Roman;Times;Serif" w:hAnsi="Times New Roman;Times;Serif"/>
          <w:b w:val="false"/>
          <w:i w:val="false"/>
          <w:caps w:val="false"/>
          <w:smallCaps w:val="false"/>
          <w:sz w:val="20"/>
        </w:rPr>
        <w:t xml:space="preserve">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w:t>
      </w:r>
      <w:bookmarkStart w:id="810" w:name="xdx_900_ecustom--PaidInKindInterestPerce"/>
      <w:bookmarkEnd w:id="810"/>
      <w:r>
        <w:rPr>
          <w:rFonts w:ascii="Times New Roman;Times;Serif" w:hAnsi="Times New Roman;Times;Serif"/>
          <w:b w:val="false"/>
          <w:i w:val="false"/>
          <w:caps w:val="false"/>
          <w:smallCaps w:val="false"/>
          <w:sz w:val="20"/>
        </w:rPr>
        <w:t>15.5% per annum, and is convertible into Class A Common Stock upon Qualified Financing (as defined in the agreement), upon a Change of Control (as defined in the agreement), upon Prepayment, or at Maturity at a conversion price, which was $</w:t>
      </w:r>
      <w:bookmarkStart w:id="811" w:name="xdx_903_eus-gaap--DebtInstrumentConverti"/>
      <w:bookmarkEnd w:id="811"/>
      <w:r>
        <w:rPr>
          <w:rFonts w:ascii="Times New Roman;Times;Serif" w:hAnsi="Times New Roman;Times;Serif"/>
          <w:b w:val="false"/>
          <w:i w:val="false"/>
          <w:caps w:val="false"/>
          <w:smallCaps w:val="false"/>
          <w:sz w:val="20"/>
        </w:rPr>
        <w:t>50.00 per unit at March 31, 2026.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2" w:name="xdx_906_eus-gaap--DebtInstrumentCovenant"/>
      <w:bookmarkEnd w:id="812"/>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w:t>
      </w:r>
      <w:bookmarkStart w:id="813" w:name="xdx_90F_eus-gaap--DebtInstrumentFaceAmou"/>
      <w:bookmarkEnd w:id="813"/>
      <w:r>
        <w:rPr>
          <w:rFonts w:ascii="Times New Roman;Times;Serif" w:hAnsi="Times New Roman;Times;Serif"/>
          <w:b w:val="false"/>
          <w:i w:val="false"/>
          <w:caps w:val="false"/>
          <w:smallCaps w:val="false"/>
          <w:sz w:val="20"/>
        </w:rPr>
        <w:t>321,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w:t>
      </w:r>
      <w:bookmarkStart w:id="814" w:name="xdx_900_eus-gaap--DebtInstrumentInterest"/>
      <w:bookmarkEnd w:id="814"/>
      <w:r>
        <w:rPr>
          <w:rFonts w:ascii="Times New Roman;Times;Serif" w:hAnsi="Times New Roman;Times;Serif"/>
          <w:b w:val="false"/>
          <w:i w:val="false"/>
          <w:caps w:val="false"/>
          <w:smallCaps w:val="false"/>
          <w:sz w:val="20"/>
        </w:rPr>
        <w:t>16% and interest expense totaled $</w:t>
      </w:r>
      <w:bookmarkStart w:id="815" w:name="xdx_900_eus-gaap--InterestExpense_pn3n3_"/>
      <w:bookmarkEnd w:id="815"/>
      <w:r>
        <w:rPr>
          <w:rFonts w:ascii="Times New Roman;Times;Serif" w:hAnsi="Times New Roman;Times;Serif"/>
          <w:b w:val="false"/>
          <w:i w:val="false"/>
          <w:caps w:val="false"/>
          <w:smallCaps w:val="false"/>
          <w:sz w:val="20"/>
        </w:rPr>
        <w:t>851 for the year ended December 31, 2024, comprised of $</w:t>
      </w:r>
      <w:bookmarkStart w:id="816" w:name="xdx_907_eus-gaap--InterestExpenseDebt_pn"/>
      <w:bookmarkEnd w:id="816"/>
      <w:r>
        <w:rPr>
          <w:rFonts w:ascii="Times New Roman;Times;Serif" w:hAnsi="Times New Roman;Times;Serif"/>
          <w:b w:val="false"/>
          <w:i w:val="false"/>
          <w:caps w:val="false"/>
          <w:smallCaps w:val="false"/>
          <w:sz w:val="20"/>
        </w:rPr>
        <w:t>773 of contractual interest and $</w:t>
      </w:r>
      <w:bookmarkStart w:id="817" w:name="xdx_90D_eus-gaap--DebtRelatedCommitmentF"/>
      <w:bookmarkEnd w:id="817"/>
      <w:r>
        <w:rPr>
          <w:rFonts w:ascii="Times New Roman;Times;Serif" w:hAnsi="Times New Roman;Times;Serif"/>
          <w:b w:val="false"/>
          <w:i w:val="false"/>
          <w:caps w:val="false"/>
          <w:smallCaps w:val="false"/>
          <w:sz w:val="20"/>
        </w:rPr>
        <w:t xml:space="preserve">79 of amortization of the discount. </w:t>
      </w:r>
      <w:r>
        <w:rPr>
          <w:rFonts w:ascii="Times New Roman;Times;Serif" w:hAnsi="Times New Roman;Times;Serif"/>
          <w:b w:val="false"/>
          <w:i w:val="false"/>
          <w:caps w:val="false"/>
          <w:smallCaps w:val="false"/>
          <w:sz w:val="20"/>
          <w:shd w:fill="FFFFFF" w:val="clear"/>
        </w:rPr>
        <w:t xml:space="preserve">The effective interest rate for the CP BF Convertible Note and First Amendment Convertible Note was </w:t>
      </w:r>
      <w:bookmarkStart w:id="818" w:name="xdx_907_eus-gaap--DebtInstrumentInterest"/>
      <w:bookmarkEnd w:id="818"/>
      <w:r>
        <w:rPr>
          <w:rFonts w:ascii="Times New Roman;Times;Serif" w:hAnsi="Times New Roman;Times;Serif"/>
          <w:b w:val="false"/>
          <w:i w:val="false"/>
          <w:caps w:val="false"/>
          <w:smallCaps w:val="false"/>
          <w:sz w:val="20"/>
          <w:shd w:fill="FFFFFF" w:val="clear"/>
        </w:rPr>
        <w:t>16% for the year ended December 31, 2024. For the year ended December 31, 2024, interest expense on the Convertible Notes totaled $</w:t>
      </w:r>
      <w:bookmarkStart w:id="819" w:name="xdx_900_eus-gaap--InterestExpense_pn3n3_"/>
      <w:bookmarkEnd w:id="819"/>
      <w:r>
        <w:rPr>
          <w:rFonts w:ascii="Times New Roman;Times;Serif" w:hAnsi="Times New Roman;Times;Serif"/>
          <w:b w:val="false"/>
          <w:i w:val="false"/>
          <w:caps w:val="false"/>
          <w:smallCaps w:val="false"/>
          <w:sz w:val="20"/>
          <w:shd w:fill="FFFFFF" w:val="clear"/>
        </w:rPr>
        <w:t>350 comprised of $</w:t>
      </w:r>
      <w:bookmarkStart w:id="820" w:name="xdx_903_eus-gaap--InterestExpenseDebt_pn"/>
      <w:bookmarkEnd w:id="820"/>
      <w:r>
        <w:rPr>
          <w:rFonts w:ascii="Times New Roman;Times;Serif" w:hAnsi="Times New Roman;Times;Serif"/>
          <w:b w:val="false"/>
          <w:i w:val="false"/>
          <w:caps w:val="false"/>
          <w:smallCaps w:val="false"/>
          <w:sz w:val="20"/>
          <w:shd w:fill="FFFFFF" w:val="clear"/>
        </w:rPr>
        <w:t>326 of contractual interest and $</w:t>
      </w:r>
      <w:bookmarkStart w:id="821" w:name="xdx_901_eus-gaap--DebtRelatedCommitmentF"/>
      <w:bookmarkEnd w:id="821"/>
      <w:r>
        <w:rPr>
          <w:rFonts w:ascii="Times New Roman;Times;Serif" w:hAnsi="Times New Roman;Times;Serif"/>
          <w:b w:val="false"/>
          <w:i w:val="false"/>
          <w:caps w:val="false"/>
          <w:smallCaps w:val="false"/>
          <w:sz w:val="20"/>
          <w:shd w:fill="FFFFFF" w:val="clear"/>
        </w:rPr>
        <w:t>25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2" w:name="xdx_904_eus-gaap--DebtInstrumentConverti"/>
      <w:bookmarkEnd w:id="822"/>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w:t>
      </w:r>
      <w:bookmarkStart w:id="823" w:name="xdx_90B_eus-gaap--GainsLossesOnExtinguis"/>
      <w:bookmarkEnd w:id="823"/>
      <w:r>
        <w:rPr>
          <w:rFonts w:ascii="Times New Roman;Times;Serif" w:hAnsi="Times New Roman;Times;Serif"/>
          <w:b w:val="false"/>
          <w:i w:val="false"/>
          <w:caps w:val="false"/>
          <w:smallCaps w:val="false"/>
          <w:sz w:val="20"/>
        </w:rPr>
        <w:t xml:space="preserve">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w:t>
      </w:r>
      <w:bookmarkStart w:id="824" w:name="xdx_90E_ecustom--PercentageOfCommonStock"/>
      <w:bookmarkEnd w:id="824"/>
      <w:r>
        <w:rPr>
          <w:rFonts w:ascii="Times New Roman;Times;Serif" w:hAnsi="Times New Roman;Times;Serif"/>
          <w:b w:val="false"/>
          <w:i w:val="false"/>
          <w:caps w:val="false"/>
          <w:smallCaps w:val="false"/>
          <w:sz w:val="20"/>
        </w:rPr>
        <w:t>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side letter, the Company agreed to issue to CP BF, </w:t>
      </w:r>
      <w:bookmarkStart w:id="825" w:name="xdx_906_eus-gaap--StockIssuedDuringPerio"/>
      <w:bookmarkEnd w:id="825"/>
      <w:r>
        <w:rPr>
          <w:rFonts w:ascii="Times New Roman;Times;Serif" w:hAnsi="Times New Roman;Times;Serif"/>
          <w:b w:val="false"/>
          <w:i w:val="false"/>
          <w:caps w:val="false"/>
          <w:smallCaps w:val="false"/>
          <w:sz w:val="20"/>
        </w:rPr>
        <w:t>350 shares of the Company’s Class A Common Stock. On September 23, 2024 the transaction was finalized and the Company issued the 2024 CP BF Convertible Note with a principal amount of $</w:t>
      </w:r>
      <w:bookmarkStart w:id="826" w:name="xdx_90F_eus-gaap--DebtInstrumentFaceAmou"/>
      <w:bookmarkEnd w:id="826"/>
      <w:r>
        <w:rPr>
          <w:rFonts w:ascii="Times New Roman;Times;Serif" w:hAnsi="Times New Roman;Times;Serif"/>
          <w:b w:val="false"/>
          <w:i w:val="false"/>
          <w:caps w:val="false"/>
          <w:smallCaps w:val="false"/>
          <w:sz w:val="20"/>
        </w:rPr>
        <w:t xml:space="preserve">10.8 million. The outstanding principal balance of the 2024 CP BF Convertible Note together with accrued interest thereon, unpaid fees and expenses and any other Obligations then due, shall be paid on </w:t>
      </w:r>
      <w:bookmarkStart w:id="827" w:name="xdx_902_eus-gaap--DebtInstrumentMaturity"/>
      <w:bookmarkEnd w:id="827"/>
      <w:r>
        <w:rPr>
          <w:rFonts w:ascii="Times New Roman;Times;Serif" w:hAnsi="Times New Roman;Times;Serif"/>
          <w:b w:val="false"/>
          <w:i w:val="false"/>
          <w:caps w:val="false"/>
          <w:smallCaps w:val="false"/>
          <w:sz w:val="20"/>
        </w:rPr>
        <w:t xml:space="preserve">February 19, 2027 (“2024 Loan Maturity Date”). The 2024 CP BF Convertible Note accrues interest at a rate of </w:t>
      </w:r>
      <w:bookmarkStart w:id="828" w:name="xdx_900_eus-gaap--DebtInstrumentInterest"/>
      <w:bookmarkEnd w:id="828"/>
      <w:r>
        <w:rPr>
          <w:rFonts w:ascii="Times New Roman;Times;Serif" w:hAnsi="Times New Roman;Times;Serif"/>
          <w:b w:val="false"/>
          <w:i w:val="false"/>
          <w:caps w:val="false"/>
          <w:smallCaps w:val="false"/>
          <w:sz w:val="20"/>
        </w:rPr>
        <w:t>15.5% which interest shall be paid in kind monthly and is convertible at the holder’s option at any time on or following the effectiveness of the first resale registration statement covering the applicable conversion shares at a fixed conversion price per share of $</w:t>
      </w:r>
      <w:bookmarkStart w:id="829" w:name="xdx_909_eus-gaap--DebtInstrumentConverti"/>
      <w:bookmarkEnd w:id="829"/>
      <w:r>
        <w:rPr>
          <w:rFonts w:ascii="Times New Roman;Times;Serif" w:hAnsi="Times New Roman;Times;Serif"/>
          <w:b w:val="false"/>
          <w:i w:val="false"/>
          <w:caps w:val="false"/>
          <w:smallCaps w:val="false"/>
          <w:sz w:val="20"/>
        </w:rPr>
        <w:t xml:space="preserve">778.00. Upon the occurrence, and during the continuance, of an Event of Default (as defined in the agreement), interest on the 2024 CP BF Convertible Note will bear PIK interest at a per annum rate of </w:t>
      </w:r>
      <w:bookmarkStart w:id="830" w:name="xdx_90F_ecustom--DebtInstrumentInterestR"/>
      <w:bookmarkEnd w:id="830"/>
      <w:r>
        <w:rPr>
          <w:rFonts w:ascii="Times New Roman;Times;Serif" w:hAnsi="Times New Roman;Times;Serif"/>
          <w:b w:val="false"/>
          <w:i w:val="false"/>
          <w:caps w:val="false"/>
          <w:smallCaps w:val="false"/>
          <w:sz w:val="20"/>
        </w:rPr>
        <w:t>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w:t>
      </w:r>
      <w:bookmarkStart w:id="831" w:name="xdx_908_ecustom--DebtInstrumentExitFeePe"/>
      <w:bookmarkEnd w:id="831"/>
      <w:r>
        <w:rPr>
          <w:rFonts w:ascii="Times New Roman;Times;Serif" w:hAnsi="Times New Roman;Times;Serif"/>
          <w:b w:val="false"/>
          <w:i w:val="false"/>
          <w:caps w:val="false"/>
          <w:smallCaps w:val="false"/>
          <w:sz w:val="20"/>
        </w:rPr>
        <w:t>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w:t>
      </w:r>
      <w:bookmarkStart w:id="832" w:name="xdx_90C_eus-gaap--StockIssuedDuringPerio"/>
      <w:bookmarkEnd w:id="832"/>
      <w:r>
        <w:rPr>
          <w:rFonts w:ascii="Times New Roman;Times;Serif" w:hAnsi="Times New Roman;Times;Serif"/>
          <w:b w:val="false"/>
          <w:i w:val="false"/>
          <w:caps w:val="false"/>
          <w:smallCaps w:val="false"/>
          <w:sz w:val="20"/>
        </w:rPr>
        <w:t xml:space="preserve"> 278 Class A Common Stock at the fixed conversion price per share of $</w:t>
      </w:r>
      <w:bookmarkStart w:id="833" w:name="xdx_90E_eus-gaap--SharesIssuedPricePerSh"/>
      <w:bookmarkEnd w:id="833"/>
      <w:r>
        <w:rPr>
          <w:rFonts w:ascii="Times New Roman;Times;Serif" w:hAnsi="Times New Roman;Times;Serif"/>
          <w:b w:val="false"/>
          <w:i w:val="false"/>
          <w:caps w:val="false"/>
          <w:smallCaps w:val="false"/>
          <w:sz w:val="20"/>
        </w:rPr>
        <w:t>778.00 in satisfaction of $</w:t>
      </w:r>
      <w:bookmarkStart w:id="834" w:name="xdx_907_eus-gaap--ConversionOfStockAmoun"/>
      <w:bookmarkEnd w:id="834"/>
      <w:r>
        <w:rPr>
          <w:rFonts w:ascii="Times New Roman;Times;Serif" w:hAnsi="Times New Roman;Times;Serif"/>
          <w:b w:val="false"/>
          <w:i w:val="false"/>
          <w:caps w:val="false"/>
          <w:smallCaps w:val="false"/>
          <w:sz w:val="20"/>
        </w:rPr>
        <w:t>216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w:t>
      </w:r>
      <w:bookmarkStart w:id="835" w:name="xdx_90B_eus-gaap--DebtInstrumentCarrying"/>
      <w:bookmarkEnd w:id="835"/>
      <w:r>
        <w:rPr>
          <w:rFonts w:ascii="Times New Roman;Times;Serif" w:hAnsi="Times New Roman;Times;Serif"/>
          <w:b w:val="false"/>
          <w:i w:val="false"/>
          <w:caps w:val="false"/>
          <w:smallCaps w:val="false"/>
          <w:sz w:val="20"/>
        </w:rPr>
        <w:t xml:space="preserve">2.0 million in debt into </w:t>
      </w:r>
      <w:bookmarkStart w:id="836" w:name="xdx_901_eus-gaap--StockIssuedDuringPerio"/>
      <w:bookmarkEnd w:id="836"/>
      <w:r>
        <w:rPr>
          <w:rFonts w:ascii="Times New Roman;Times;Serif" w:hAnsi="Times New Roman;Times;Serif"/>
          <w:b w:val="false"/>
          <w:i w:val="false"/>
          <w:caps w:val="false"/>
          <w:smallCaps w:val="false"/>
          <w:sz w:val="20"/>
        </w:rPr>
        <w:t xml:space="preserve">1,305 shares of Class A Common Stock, CP BF Warrants to purchase up to </w:t>
      </w:r>
      <w:bookmarkStart w:id="837" w:name="xdx_900_ecustom--WarrantsIssued_pid_c202"/>
      <w:bookmarkEnd w:id="837"/>
      <w:r>
        <w:rPr>
          <w:rFonts w:ascii="Times New Roman;Times;Serif" w:hAnsi="Times New Roman;Times;Serif"/>
          <w:b w:val="false"/>
          <w:i w:val="false"/>
          <w:caps w:val="false"/>
          <w:smallCaps w:val="false"/>
          <w:sz w:val="20"/>
        </w:rPr>
        <w:t xml:space="preserve">2,828 shares of Class A Common Stock and CP BF Pre-Funded Warrants to purchase up to </w:t>
      </w:r>
      <w:bookmarkStart w:id="838" w:name="xdx_904_ecustom--WarrantsIssued_pid_c202"/>
      <w:bookmarkEnd w:id="838"/>
      <w:r>
        <w:rPr>
          <w:rFonts w:ascii="Times New Roman;Times;Serif" w:hAnsi="Times New Roman;Times;Serif"/>
          <w:b w:val="false"/>
          <w:i w:val="false"/>
          <w:caps w:val="false"/>
          <w:smallCaps w:val="false"/>
          <w:sz w:val="20"/>
        </w:rPr>
        <w:t>1,524 shares of Class A Common Stock (all such securities and shares collectively referred to as the “CP BF Registrable Securities”). The CP BF Warrant can be exercised at an initial exercise price of $</w:t>
      </w:r>
      <w:bookmarkStart w:id="839" w:name="xdx_908_ecustom--ClassOfWarrantOrRightIn"/>
      <w:bookmarkEnd w:id="839"/>
      <w:r>
        <w:rPr>
          <w:rFonts w:ascii="Times New Roman;Times;Serif" w:hAnsi="Times New Roman;Times;Serif"/>
          <w:b w:val="false"/>
          <w:i w:val="false"/>
          <w:caps w:val="false"/>
          <w:smallCaps w:val="false"/>
          <w:sz w:val="20"/>
        </w:rPr>
        <w:t>778.00 per share, subject to adjustment for a term of five years. The CP BF Pre-Funded Warrant will be exercisable at any time after the date of issuance at an exercise price of $</w:t>
      </w:r>
      <w:bookmarkStart w:id="840" w:name="xdx_90E_eus-gaap--ClassOfWarrantOrRightE"/>
      <w:bookmarkEnd w:id="840"/>
      <w:r>
        <w:rPr>
          <w:rFonts w:ascii="Times New Roman;Times;Serif" w:hAnsi="Times New Roman;Times;Serif"/>
          <w:b w:val="false"/>
          <w:i w:val="false"/>
          <w:caps w:val="false"/>
          <w:smallCaps w:val="false"/>
          <w:sz w:val="20"/>
        </w:rPr>
        <w:t xml:space="preserve">0.0001. Neither warrant may be exercised if the holder, together with its affiliates, would beneficially own more than </w:t>
      </w:r>
      <w:bookmarkStart w:id="841" w:name="xdx_90A_ecustom--ClassOfWarrantOrRightEx"/>
      <w:bookmarkEnd w:id="841"/>
      <w:r>
        <w:rPr>
          <w:rFonts w:ascii="Times New Roman;Times;Serif" w:hAnsi="Times New Roman;Times;Serif"/>
          <w:b w:val="false"/>
          <w:i w:val="false"/>
          <w:caps w:val="false"/>
          <w:smallCaps w:val="false"/>
          <w:sz w:val="20"/>
        </w:rPr>
        <w:t xml:space="preserve">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w:t>
      </w:r>
      <w:bookmarkStart w:id="842" w:name="xdx_909_eus-gaap--CommonStockSharesOutst"/>
      <w:bookmarkEnd w:id="842"/>
      <w:r>
        <w:rPr>
          <w:rFonts w:ascii="Times New Roman;Times;Serif" w:hAnsi="Times New Roman;Times;Serif"/>
          <w:b w:val="false"/>
          <w:i w:val="false"/>
          <w:caps w:val="false"/>
          <w:smallCaps w:val="false"/>
          <w:sz w:val="20"/>
        </w:rPr>
        <w:t>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w:t>
      </w:r>
      <w:bookmarkStart w:id="843" w:name="xdx_90B_eus-gaap--ProceedsFromIssuanceOf"/>
      <w:bookmarkEnd w:id="843"/>
      <w:r>
        <w:rPr>
          <w:rFonts w:ascii="Times New Roman;Times;Serif" w:hAnsi="Times New Roman;Times;Serif"/>
          <w:b w:val="false"/>
          <w:i w:val="false"/>
          <w:caps w:val="false"/>
          <w:smallCaps w:val="false"/>
          <w:sz w:val="20"/>
        </w:rPr>
        <w:t xml:space="preserve">4.6 million. One of the contingent redemption features in the 2024 CP BF Convertible Note relates to the Company prepaying, either partially or in whole, the obligations upon the sale of the Company’s capital stock equal to </w:t>
      </w:r>
      <w:bookmarkStart w:id="844" w:name="xdx_904_ecustom--PercentageOfCapitalStoc"/>
      <w:bookmarkEnd w:id="844"/>
      <w:r>
        <w:rPr>
          <w:rFonts w:ascii="Times New Roman;Times;Serif" w:hAnsi="Times New Roman;Times;Serif"/>
          <w:b w:val="false"/>
          <w:i w:val="false"/>
          <w:caps w:val="false"/>
          <w:smallCaps w:val="false"/>
          <w:sz w:val="20"/>
        </w:rPr>
        <w:t>20% of the cash proceeds in excess of $</w:t>
      </w:r>
      <w:bookmarkStart w:id="845" w:name="xdx_900_eus-gaap--ProceedsFromIssuanceOf"/>
      <w:bookmarkEnd w:id="845"/>
      <w:r>
        <w:rPr>
          <w:rFonts w:ascii="Times New Roman;Times;Serif" w:hAnsi="Times New Roman;Times;Serif"/>
          <w:b w:val="false"/>
          <w:i w:val="false"/>
          <w:caps w:val="false"/>
          <w:smallCaps w:val="false"/>
          <w:sz w:val="20"/>
        </w:rPr>
        <w:t>3.0 million. For the year ended December 31, 2025, the Company paid a total of $</w:t>
      </w:r>
      <w:bookmarkStart w:id="846" w:name="xdx_90D_eus-gaap--DebtInstrumentFaceAmou"/>
      <w:bookmarkEnd w:id="846"/>
      <w:r>
        <w:rPr>
          <w:rFonts w:ascii="Times New Roman;Times;Serif" w:hAnsi="Times New Roman;Times;Serif"/>
          <w:b w:val="false"/>
          <w:i w:val="false"/>
          <w:caps w:val="false"/>
          <w:smallCaps w:val="false"/>
          <w:sz w:val="20"/>
        </w:rPr>
        <w:t>2,840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2024 CP BF Convertible Note was approximately </w:t>
      </w:r>
      <w:bookmarkStart w:id="847" w:name="xdx_90B_eus-gaap--DebtInstrumentInterest"/>
      <w:bookmarkEnd w:id="847"/>
      <w:r>
        <w:rPr>
          <w:rFonts w:ascii="Times New Roman;Times;Serif" w:hAnsi="Times New Roman;Times;Serif"/>
          <w:b w:val="false"/>
          <w:i w:val="false"/>
          <w:caps w:val="false"/>
          <w:smallCaps w:val="false"/>
          <w:sz w:val="20"/>
        </w:rPr>
        <w:t>15.4% as of March 31, 2026. For the three months ended March 31, 2026 and 2025, interest expense on the 2024 CP BF Convertible Note totaled $</w:t>
      </w:r>
      <w:bookmarkStart w:id="848" w:name="xdx_901_eus-gaap--InterestExpense_c20260"/>
      <w:bookmarkEnd w:id="848"/>
      <w:r>
        <w:rPr>
          <w:rFonts w:ascii="Times New Roman;Times;Serif" w:hAnsi="Times New Roman;Times;Serif"/>
          <w:b w:val="false"/>
          <w:i w:val="false"/>
          <w:caps w:val="false"/>
          <w:smallCaps w:val="false"/>
          <w:sz w:val="20"/>
        </w:rPr>
        <w:t>194 and $</w:t>
      </w:r>
      <w:bookmarkStart w:id="849" w:name="xdx_908_eus-gaap--InterestExpense_c20250"/>
      <w:bookmarkEnd w:id="849"/>
      <w:r>
        <w:rPr>
          <w:rFonts w:ascii="Times New Roman;Times;Serif" w:hAnsi="Times New Roman;Times;Serif"/>
          <w:b w:val="false"/>
          <w:i w:val="false"/>
          <w:caps w:val="false"/>
          <w:smallCaps w:val="false"/>
          <w:sz w:val="20"/>
        </w:rPr>
        <w:t>335,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0" w:name="xdx_89E_eus-gaap--ConvertibleDebtTableTe"/>
      <w:bookmarkEnd w:id="850"/>
      <w:r>
        <w:rPr>
          <w:rFonts w:ascii="Times New Roman;Times;Serif" w:hAnsi="Times New Roman;Times;Serif"/>
          <w:b w:val="false"/>
          <w:i w:val="false"/>
          <w:caps w:val="false"/>
          <w:smallCaps w:val="false"/>
          <w:sz w:val="20"/>
        </w:rPr>
        <w:t>The following table presents the 2024 CP BF Convertible Note as of March 31, 2026 and December 31, 2025:</w:t>
      </w:r>
    </w:p>
    <w:p>
      <w:pPr>
        <w:pStyle w:val="TextBody"/>
        <w:bidi w:val="0"/>
        <w:spacing w:before="0" w:after="0"/>
        <w:ind w:left="0" w:right="0" w:hanging="0"/>
        <w:jc w:val="both"/>
        <w:rPr>
          <w:caps w:val="false"/>
          <w:smallCaps w:val="false"/>
        </w:rPr>
      </w:pPr>
      <w:r>
        <w:rPr>
          <w:caps w:val="false"/>
          <w:smallCaps w:val="false"/>
        </w:rPr>
        <w:t> </w:t>
      </w:r>
      <w:bookmarkStart w:id="851" w:name="xdx_8BF_zuTIU84DOrlb"/>
      <w:bookmarkEnd w:id="851"/>
      <w:r>
        <w:rPr>
          <w:rFonts w:ascii="Times New Roman;Times;Serif" w:hAnsi="Times New Roman;Times;Serif"/>
          <w:b w:val="false"/>
          <w:i w:val="false"/>
          <w:caps w:val="false"/>
          <w:smallCaps w:val="false"/>
          <w:sz w:val="20"/>
        </w:rPr>
        <w:t>Summary of Convertible Notes</w:t>
      </w:r>
    </w:p>
    <w:tbl>
      <w:tblPr>
        <w:tblW w:w="8738" w:type="dxa"/>
        <w:jc w:val="left"/>
        <w:tblInd w:w="0" w:type="dxa"/>
        <w:tblLayout w:type="fixed"/>
        <w:tblCellMar>
          <w:top w:w="0" w:type="dxa"/>
          <w:left w:w="0" w:type="dxa"/>
          <w:bottom w:w="0" w:type="dxa"/>
          <w:right w:w="0" w:type="dxa"/>
        </w:tblCellMar>
      </w:tblPr>
      <w:tblGrid>
        <w:gridCol w:w="4850"/>
        <w:gridCol w:w="60"/>
        <w:gridCol w:w="290"/>
        <w:gridCol w:w="1319"/>
        <w:gridCol w:w="95"/>
        <w:gridCol w:w="60"/>
        <w:gridCol w:w="352"/>
        <w:gridCol w:w="1602"/>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2" w:name="xdx_49C_20260331_zBeTwa4yYQNb"/>
            <w:bookmarkEnd w:id="85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3" w:name="xdx_49E_20251231_zbebqIx7kt57"/>
            <w:bookmarkEnd w:id="85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854" w:name="xdx_407_eus-gaap--ConvertibleDebtFairVal"/>
            <w:bookmarkEnd w:id="854"/>
          </w:p>
        </w:tc>
      </w:tr>
      <w:tr>
        <w:trPr/>
        <w:tc>
          <w:tcPr>
            <w:tcW w:w="4850" w:type="dxa"/>
            <w:tcBorders/>
            <w:shd w:fill="CCEEFF" w:val="clear"/>
            <w:vAlign w:val="center"/>
          </w:tcPr>
          <w:p>
            <w:pPr>
              <w:pStyle w:val="TableContents"/>
              <w:bidi w:val="0"/>
              <w:spacing w:before="0" w:after="283"/>
              <w:jc w:val="left"/>
              <w:rPr/>
            </w:pPr>
            <w:r>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bookmarkStart w:id="855" w:name="xdx_40F_ecustom--UnamortizedDebtPremiumO"/>
            <w:bookmarkEnd w:id="855"/>
          </w:p>
        </w:tc>
      </w:tr>
      <w:tr>
        <w:trPr/>
        <w:tc>
          <w:tcPr>
            <w:tcW w:w="4850" w:type="dxa"/>
            <w:tcBorders/>
            <w:shd w:fill="FFFFFF" w:val="clear"/>
            <w:vAlign w:val="center"/>
          </w:tcPr>
          <w:p>
            <w:pPr>
              <w:pStyle w:val="TableContents"/>
              <w:bidi w:val="0"/>
              <w:spacing w:before="0" w:after="283"/>
              <w:jc w:val="left"/>
              <w:rPr/>
            </w:pPr>
            <w:r>
              <w:rPr/>
              <w:t>Debt premium,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56" w:name="xdx_408_eus-gaap--ConvertibleNotesPayabl"/>
            <w:bookmarkEnd w:id="856"/>
          </w:p>
        </w:tc>
      </w:tr>
      <w:tr>
        <w:trPr/>
        <w:tc>
          <w:tcPr>
            <w:tcW w:w="4850" w:type="dxa"/>
            <w:tcBorders/>
            <w:shd w:fill="CCEEFF" w:val="clear"/>
            <w:vAlign w:val="center"/>
          </w:tcPr>
          <w:p>
            <w:pPr>
              <w:pStyle w:val="TableContents"/>
              <w:bidi w:val="0"/>
              <w:spacing w:before="0" w:after="283"/>
              <w:jc w:val="left"/>
              <w:rPr/>
            </w:pPr>
            <w:r>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bookmarkStart w:id="857" w:name="xdx_40C_ecustom--InterestPayableOnConver"/>
            <w:bookmarkEnd w:id="857"/>
          </w:p>
        </w:tc>
      </w:tr>
      <w:tr>
        <w:trPr/>
        <w:tc>
          <w:tcPr>
            <w:tcW w:w="48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1,558</w:t>
            </w:r>
          </w:p>
        </w:tc>
        <w:tc>
          <w:tcPr>
            <w:tcW w:w="110" w:type="dxa"/>
            <w:tcBorders/>
            <w:shd w:fill="FFFFFF" w:val="clear"/>
            <w:vAlign w:val="center"/>
          </w:tcPr>
          <w:p>
            <w:pPr>
              <w:pStyle w:val="TableContents"/>
              <w:bidi w:val="0"/>
              <w:spacing w:before="0" w:after="283"/>
              <w:jc w:val="left"/>
              <w:rPr/>
            </w:pPr>
            <w:r>
              <w:rPr/>
              <w:t> </w:t>
            </w:r>
            <w:bookmarkStart w:id="858" w:name="xdx_40C_ecustom--PrepaymentsMadeOnConver"/>
            <w:bookmarkEnd w:id="858"/>
          </w:p>
        </w:tc>
      </w:tr>
      <w:tr>
        <w:trPr/>
        <w:tc>
          <w:tcPr>
            <w:tcW w:w="4850" w:type="dxa"/>
            <w:tcBorders/>
            <w:shd w:fill="CCEEFF" w:val="clear"/>
            <w:vAlign w:val="center"/>
          </w:tcPr>
          <w:p>
            <w:pPr>
              <w:pStyle w:val="TableContents"/>
              <w:bidi w:val="0"/>
              <w:spacing w:before="0" w:after="283"/>
              <w:jc w:val="left"/>
              <w:rPr/>
            </w:pPr>
            <w:r>
              <w:rPr/>
              <w:t>Prepayments made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(5,012</w:t>
            </w:r>
          </w:p>
        </w:tc>
        <w:tc>
          <w:tcPr>
            <w:tcW w:w="110" w:type="dxa"/>
            <w:tcBorders/>
            <w:shd w:fill="CCEEFF" w:val="clear"/>
            <w:vAlign w:val="center"/>
          </w:tcPr>
          <w:p>
            <w:pPr>
              <w:pStyle w:val="TableContents"/>
              <w:bidi w:val="0"/>
              <w:spacing w:before="0" w:after="283"/>
              <w:jc w:val="left"/>
              <w:rPr/>
            </w:pPr>
            <w:r>
              <w:rPr/>
              <w:t>)</w:t>
            </w:r>
            <w:bookmarkStart w:id="859" w:name="xdx_406_ecustom--ConversionsOnConvertibl"/>
            <w:bookmarkEnd w:id="859"/>
          </w:p>
        </w:tc>
      </w:tr>
      <w:tr>
        <w:trPr/>
        <w:tc>
          <w:tcPr>
            <w:tcW w:w="485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10" w:type="dxa"/>
            <w:tcBorders/>
            <w:shd w:fill="FFFFFF" w:val="clear"/>
            <w:vAlign w:val="center"/>
          </w:tcPr>
          <w:p>
            <w:pPr>
              <w:pStyle w:val="TableContents"/>
              <w:bidi w:val="0"/>
              <w:spacing w:before="0" w:after="283"/>
              <w:jc w:val="left"/>
              <w:rPr/>
            </w:pPr>
            <w:r>
              <w:rPr/>
              <w:t>)</w:t>
            </w:r>
            <w:bookmarkStart w:id="860" w:name="xdx_403_ecustom--ConvertibleDebtIncludin"/>
            <w:bookmarkEnd w:id="860"/>
          </w:p>
        </w:tc>
      </w:tr>
      <w:tr>
        <w:trPr/>
        <w:tc>
          <w:tcPr>
            <w:tcW w:w="4850" w:type="dxa"/>
            <w:tcBorders/>
            <w:shd w:fill="CCEEFF" w:val="clear"/>
            <w:vAlign w:val="center"/>
          </w:tcPr>
          <w:p>
            <w:pPr>
              <w:pStyle w:val="TableContents"/>
              <w:bidi w:val="0"/>
              <w:spacing w:before="0" w:after="283"/>
              <w:jc w:val="left"/>
              <w:rPr/>
            </w:pPr>
            <w:r>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4,923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1" w:name="xdx_8AB_zvUknVdtSW65"/>
      <w:bookmarkEnd w:id="86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and CP BF executed a letter agreement dated October 10, 2025, pursuant to which they amended certain terms of the Loan Agreement and Note (as amended on October 15, 2025, the “CP BF Letter Agreement”). </w:t>
      </w:r>
      <w:bookmarkStart w:id="862" w:name="xdx_907_eus-gaap--DebtInstrumentConverti"/>
      <w:bookmarkEnd w:id="862"/>
      <w:r>
        <w:rPr>
          <w:rFonts w:ascii="Times New Roman;Times;Serif" w:hAnsi="Times New Roman;Times;Serif"/>
          <w:b w:val="false"/>
          <w:i w:val="false"/>
          <w:caps w:val="false"/>
          <w:smallCaps w:val="false"/>
          <w:sz w:val="20"/>
        </w:rPr>
        <w:t>The CP BF Letter Agreement amended the Conversion Price, as defined, to ninety-five percent (95%) of the price of the Class A Common Stock on the trading day immediately preceding delivery of any Conversion Notice, subject to a floor price of $5</w:t>
      </w:r>
      <w:bookmarkStart w:id="863" w:name="xdx_90C_ecustom--FloorPrice_iI_pid_c2025"/>
      <w:bookmarkEnd w:id="863"/>
      <w:r>
        <w:rPr>
          <w:rFonts w:ascii="Times New Roman;Times;Serif" w:hAnsi="Times New Roman;Times;Serif"/>
          <w:b w:val="false"/>
          <w:i w:val="false"/>
          <w:caps w:val="false"/>
          <w:smallCaps w:val="false"/>
          <w:sz w:val="20"/>
        </w:rPr>
        <w:t>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w:t>
      </w:r>
      <w:bookmarkStart w:id="864" w:name="xdx_909_ecustom--PercentageOfAggregateDa"/>
      <w:bookmarkEnd w:id="864"/>
      <w:r>
        <w:rPr>
          <w:rFonts w:ascii="Times New Roman;Times;Serif" w:hAnsi="Times New Roman;Times;Serif"/>
          <w:b w:val="false"/>
          <w:i w:val="false"/>
          <w:caps w:val="false"/>
          <w:smallCaps w:val="false"/>
          <w:sz w:val="20"/>
        </w:rPr>
        <w:t>5%) of the aggregate daily trading volume however the Company has the right waive or increase such limitation at its discretion. The CP BF Letter Agreement also stipulates that between the time that the Company pays down at least $</w:t>
      </w:r>
      <w:bookmarkStart w:id="865" w:name="xdx_905_eus-gaap--DebtInstrumentPeriodic"/>
      <w:bookmarkEnd w:id="865"/>
      <w:r>
        <w:rPr>
          <w:rFonts w:ascii="Times New Roman;Times;Serif" w:hAnsi="Times New Roman;Times;Serif"/>
          <w:b w:val="false"/>
          <w:i w:val="false"/>
          <w:caps w:val="false"/>
          <w:smallCaps w:val="false"/>
          <w:sz w:val="20"/>
        </w:rPr>
        <w:t xml:space="preserve">2.0 million against the Balance until the earlier of (a) </w:t>
      </w:r>
      <w:bookmarkStart w:id="866" w:name="xdx_90D_ecustom--MinimumRedemptionNotice"/>
      <w:bookmarkEnd w:id="866"/>
      <w:r>
        <w:rPr>
          <w:rFonts w:ascii="Times New Roman;Times;Serif" w:hAnsi="Times New Roman;Times;Serif"/>
          <w:b w:val="false"/>
          <w:i w:val="false"/>
          <w:caps w:val="false"/>
          <w:smallCaps w:val="false"/>
          <w:sz w:val="20"/>
        </w:rPr>
        <w:t>60 days following the date of the CP BF Letter Agreement and (b) receipt of $</w:t>
      </w:r>
      <w:bookmarkStart w:id="867" w:name="xdx_903_eus-gaap--ProceedsFromIssuanceOf"/>
      <w:bookmarkEnd w:id="867"/>
      <w:r>
        <w:rPr>
          <w:rFonts w:ascii="Times New Roman;Times;Serif" w:hAnsi="Times New Roman;Times;Serif"/>
          <w:b w:val="false"/>
          <w:i w:val="false"/>
          <w:caps w:val="false"/>
          <w:smallCaps w:val="false"/>
          <w:sz w:val="20"/>
        </w:rPr>
        <w:t>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w:t>
      </w:r>
      <w:bookmarkStart w:id="868" w:name="xdx_90F_eus-gaap--DebtInstrumentConverti"/>
      <w:bookmarkEnd w:id="868"/>
      <w:r>
        <w:rPr>
          <w:rFonts w:ascii="Times New Roman;Times;Serif" w:hAnsi="Times New Roman;Times;Serif"/>
          <w:b w:val="false"/>
          <w:i w:val="false"/>
          <w:caps w:val="false"/>
          <w:smallCaps w:val="false"/>
          <w:sz w:val="20"/>
        </w:rPr>
        <w:t xml:space="preserve">120% of the number of shares of Class A Common Stock issuable upon full conversion of the Balance at the new conversion price and to register </w:t>
      </w:r>
      <w:bookmarkStart w:id="869" w:name="xdx_905_ecustom--PercentageOfConvertedSh"/>
      <w:bookmarkEnd w:id="869"/>
      <w:r>
        <w:rPr>
          <w:rFonts w:ascii="Times New Roman;Times;Serif" w:hAnsi="Times New Roman;Times;Serif"/>
          <w:b w:val="false"/>
          <w:i w:val="false"/>
          <w:caps w:val="false"/>
          <w:smallCaps w:val="false"/>
          <w:sz w:val="20"/>
        </w:rPr>
        <w:t xml:space="preserve">100% of all such shares with the SEC within </w:t>
      </w:r>
      <w:bookmarkStart w:id="870" w:name="xdx_904_ecustom--MinimumRedemptionNotice"/>
      <w:bookmarkEnd w:id="870"/>
      <w:r>
        <w:rPr>
          <w:rFonts w:ascii="Times New Roman;Times;Serif" w:hAnsi="Times New Roman;Times;Serif"/>
          <w:b w:val="false"/>
          <w:i w:val="false"/>
          <w:caps w:val="false"/>
          <w:smallCaps w:val="false"/>
          <w:sz w:val="20"/>
        </w:rPr>
        <w:t>60 days of the CP BF Letter Agreement. As per the CP BF Letter Agreement, subject to the receipt by CP BF of $</w:t>
      </w:r>
      <w:bookmarkStart w:id="871" w:name="xdx_906_eus-gaap--DebtInstrumentPeriodic"/>
      <w:bookmarkEnd w:id="871"/>
      <w:r>
        <w:rPr>
          <w:rFonts w:ascii="Times New Roman;Times;Serif" w:hAnsi="Times New Roman;Times;Serif"/>
          <w:b w:val="false"/>
          <w:i w:val="false"/>
          <w:caps w:val="false"/>
          <w:smallCaps w:val="false"/>
          <w:sz w:val="20"/>
        </w:rPr>
        <w:t>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17, 2025 and December 31, 2025, CP BF exercised its optional conversion option multiple times and received an aggregate of </w:t>
      </w:r>
      <w:bookmarkStart w:id="872" w:name="xdx_903_eus-gaap--StockIssuedDuringPerio"/>
      <w:bookmarkEnd w:id="872"/>
      <w:r>
        <w:rPr>
          <w:rFonts w:ascii="Times New Roman;Times;Serif" w:hAnsi="Times New Roman;Times;Serif"/>
          <w:b w:val="false"/>
          <w:i w:val="false"/>
          <w:caps w:val="false"/>
          <w:smallCaps w:val="false"/>
          <w:sz w:val="20"/>
        </w:rPr>
        <w:t>3,135 shares of Class A Common Stock at conversion prices per share ranging from $</w:t>
      </w:r>
      <w:bookmarkStart w:id="873" w:name="xdx_909_eus-gaap--SharesIssuedPricePerSh"/>
      <w:bookmarkEnd w:id="873"/>
      <w:r>
        <w:rPr>
          <w:rFonts w:ascii="Times New Roman;Times;Serif" w:hAnsi="Times New Roman;Times;Serif"/>
          <w:b w:val="false"/>
          <w:i w:val="false"/>
          <w:caps w:val="false"/>
          <w:smallCaps w:val="false"/>
          <w:sz w:val="20"/>
        </w:rPr>
        <w:t>54.20 to $</w:t>
      </w:r>
      <w:bookmarkStart w:id="874" w:name="xdx_90E_eus-gaap--SharesIssuedPricePerSh"/>
      <w:bookmarkEnd w:id="874"/>
      <w:r>
        <w:rPr>
          <w:rFonts w:ascii="Times New Roman;Times;Serif" w:hAnsi="Times New Roman;Times;Serif"/>
          <w:b w:val="false"/>
          <w:i w:val="false"/>
          <w:caps w:val="false"/>
          <w:smallCaps w:val="false"/>
          <w:sz w:val="20"/>
        </w:rPr>
        <w:t>55.00 in satisfaction of $</w:t>
      </w:r>
      <w:bookmarkStart w:id="875" w:name="xdx_909_eus-gaap--ConversionOfStockAmoun"/>
      <w:bookmarkEnd w:id="875"/>
      <w:r>
        <w:rPr>
          <w:rFonts w:ascii="Times New Roman;Times;Serif" w:hAnsi="Times New Roman;Times;Serif"/>
          <w:b w:val="false"/>
          <w:i w:val="false"/>
          <w:caps w:val="false"/>
          <w:smallCaps w:val="false"/>
          <w:sz w:val="20"/>
        </w:rPr>
        <w:t>165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w:t>
      </w:r>
      <w:bookmarkStart w:id="876" w:name="xdx_909_eus-gaap--DebtInstrumentFaceAmou"/>
      <w:bookmarkEnd w:id="876"/>
      <w:r>
        <w:rPr>
          <w:rFonts w:ascii="Times New Roman;Times;Serif" w:hAnsi="Times New Roman;Times;Serif"/>
          <w:b w:val="false"/>
          <w:i w:val="false"/>
          <w:caps w:val="false"/>
          <w:smallCaps w:val="false"/>
          <w:sz w:val="20"/>
        </w:rPr>
        <w:t>788 and received net proceeds of $</w:t>
      </w:r>
      <w:bookmarkStart w:id="877" w:name="xdx_909_eus-gaap--ProceedsFromShortTermD"/>
      <w:bookmarkEnd w:id="877"/>
      <w:r>
        <w:rPr>
          <w:rFonts w:ascii="Times New Roman;Times;Serif" w:hAnsi="Times New Roman;Times;Serif"/>
          <w:b w:val="false"/>
          <w:i w:val="false"/>
          <w:caps w:val="false"/>
          <w:smallCaps w:val="false"/>
          <w:sz w:val="20"/>
        </w:rPr>
        <w:t>750, after administrative agent fees of $</w:t>
      </w:r>
      <w:bookmarkStart w:id="878" w:name="xdx_90E_eus-gaap--DebtInstrumentFeeAmoun"/>
      <w:bookmarkEnd w:id="878"/>
      <w:r>
        <w:rPr>
          <w:rFonts w:ascii="Times New Roman;Times;Serif" w:hAnsi="Times New Roman;Times;Serif"/>
          <w:b w:val="false"/>
          <w:i w:val="false"/>
          <w:caps w:val="false"/>
          <w:smallCaps w:val="false"/>
          <w:sz w:val="20"/>
        </w:rPr>
        <w:t xml:space="preserve">38 paid to Agile Funding, with a maturity date of </w:t>
      </w:r>
      <w:bookmarkStart w:id="879" w:name="xdx_90D_eus-gaap--DebtInstrumentMaturity"/>
      <w:bookmarkEnd w:id="879"/>
      <w:r>
        <w:rPr>
          <w:rFonts w:ascii="Times New Roman;Times;Serif" w:hAnsi="Times New Roman;Times;Serif"/>
          <w:b w:val="false"/>
          <w:i w:val="false"/>
          <w:caps w:val="false"/>
          <w:smallCaps w:val="false"/>
          <w:sz w:val="20"/>
        </w:rPr>
        <w:t xml:space="preserve">February 5, 2025. The July Agile Note bears interest at a rate of </w:t>
      </w:r>
      <w:bookmarkStart w:id="880" w:name="xdx_90F_eus-gaap--DebtInstrumentInterest"/>
      <w:bookmarkEnd w:id="880"/>
      <w:r>
        <w:rPr>
          <w:rFonts w:ascii="Times New Roman;Times;Serif" w:hAnsi="Times New Roman;Times;Serif"/>
          <w:b w:val="false"/>
          <w:i w:val="false"/>
          <w:caps w:val="false"/>
          <w:smallCaps w:val="false"/>
          <w:sz w:val="2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w:t>
      </w:r>
      <w:bookmarkStart w:id="881" w:name="xdx_90F_eus-gaap--DebtInstrumentFaceAmou"/>
      <w:bookmarkEnd w:id="881"/>
      <w:r>
        <w:rPr>
          <w:rFonts w:ascii="Times New Roman;Times;Serif" w:hAnsi="Times New Roman;Times;Serif"/>
          <w:b w:val="false"/>
          <w:i w:val="false"/>
          <w:caps w:val="false"/>
          <w:smallCaps w:val="false"/>
          <w:sz w:val="20"/>
        </w:rPr>
        <w:t>263 and received net proceeds of $</w:t>
      </w:r>
      <w:bookmarkStart w:id="882" w:name="xdx_90C_eus-gaap--ProceedsFromShortTermD"/>
      <w:bookmarkEnd w:id="882"/>
      <w:r>
        <w:rPr>
          <w:rFonts w:ascii="Times New Roman;Times;Serif" w:hAnsi="Times New Roman;Times;Serif"/>
          <w:b w:val="false"/>
          <w:i w:val="false"/>
          <w:caps w:val="false"/>
          <w:smallCaps w:val="false"/>
          <w:sz w:val="20"/>
        </w:rPr>
        <w:t>250, after administrative agent fees of $</w:t>
      </w:r>
      <w:bookmarkStart w:id="883" w:name="xdx_905_eus-gaap--DebtInstrumentFeeAmoun"/>
      <w:bookmarkEnd w:id="883"/>
      <w:r>
        <w:rPr>
          <w:rFonts w:ascii="Times New Roman;Times;Serif" w:hAnsi="Times New Roman;Times;Serif"/>
          <w:b w:val="false"/>
          <w:i w:val="false"/>
          <w:caps w:val="false"/>
          <w:smallCaps w:val="false"/>
          <w:sz w:val="20"/>
        </w:rPr>
        <w:t xml:space="preserve">13 paid to Agile Funding, with a maturity date of </w:t>
      </w:r>
      <w:bookmarkStart w:id="884" w:name="xdx_905_eus-gaap--DebtInstrumentMaturity"/>
      <w:bookmarkEnd w:id="884"/>
      <w:r>
        <w:rPr>
          <w:rFonts w:ascii="Times New Roman;Times;Serif" w:hAnsi="Times New Roman;Times;Serif"/>
          <w:b w:val="false"/>
          <w:i w:val="false"/>
          <w:caps w:val="false"/>
          <w:smallCaps w:val="false"/>
          <w:sz w:val="20"/>
        </w:rPr>
        <w:t xml:space="preserve">March 3, 2025. The September Agile Note bears interest at a rate of </w:t>
      </w:r>
      <w:bookmarkStart w:id="885" w:name="xdx_90C_eus-gaap--DebtInstrumentInterest"/>
      <w:bookmarkEnd w:id="885"/>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w:t>
      </w:r>
      <w:bookmarkStart w:id="886" w:name="xdx_900_eus-gaap--DebtInstrumentFaceAmou"/>
      <w:bookmarkEnd w:id="886"/>
      <w:r>
        <w:rPr>
          <w:rFonts w:ascii="Times New Roman;Times;Serif" w:hAnsi="Times New Roman;Times;Serif"/>
          <w:b w:val="false"/>
          <w:i w:val="false"/>
          <w:caps w:val="false"/>
          <w:smallCaps w:val="false"/>
          <w:sz w:val="20"/>
        </w:rPr>
        <w:t>2,400 and received net proceeds of $</w:t>
      </w:r>
      <w:bookmarkStart w:id="887" w:name="xdx_904_eus-gaap--ProceedsFromShortTermD"/>
      <w:bookmarkEnd w:id="887"/>
      <w:r>
        <w:rPr>
          <w:rFonts w:ascii="Times New Roman;Times;Serif" w:hAnsi="Times New Roman;Times;Serif"/>
          <w:b w:val="false"/>
          <w:i w:val="false"/>
          <w:caps w:val="false"/>
          <w:smallCaps w:val="false"/>
          <w:sz w:val="20"/>
        </w:rPr>
        <w:t>1,782, after administrative agent fees of $</w:t>
      </w:r>
      <w:bookmarkStart w:id="888" w:name="xdx_905_eus-gaap--DebtInstrumentFeeAmoun"/>
      <w:bookmarkEnd w:id="888"/>
      <w:r>
        <w:rPr>
          <w:rFonts w:ascii="Times New Roman;Times;Serif" w:hAnsi="Times New Roman;Times;Serif"/>
          <w:b w:val="false"/>
          <w:i w:val="false"/>
          <w:caps w:val="false"/>
          <w:smallCaps w:val="false"/>
          <w:sz w:val="20"/>
        </w:rPr>
        <w:t>120 paid to Agile Funding, and net of payments to Agile of $</w:t>
      </w:r>
      <w:bookmarkStart w:id="889" w:name="xdx_900_eus-gaap--EarlyRepaymentOfSubord"/>
      <w:bookmarkEnd w:id="889"/>
      <w:r>
        <w:rPr>
          <w:rFonts w:ascii="Times New Roman;Times;Serif" w:hAnsi="Times New Roman;Times;Serif"/>
          <w:b w:val="false"/>
          <w:i w:val="false"/>
          <w:caps w:val="false"/>
          <w:smallCaps w:val="false"/>
          <w:sz w:val="20"/>
        </w:rPr>
        <w:t>320 and $</w:t>
      </w:r>
      <w:bookmarkStart w:id="890" w:name="xdx_90C_eus-gaap--EarlyRepaymentOfSubord"/>
      <w:bookmarkEnd w:id="890"/>
      <w:r>
        <w:rPr>
          <w:rFonts w:ascii="Times New Roman;Times;Serif" w:hAnsi="Times New Roman;Times;Serif"/>
          <w:b w:val="false"/>
          <w:i w:val="false"/>
          <w:caps w:val="false"/>
          <w:smallCaps w:val="false"/>
          <w:sz w:val="20"/>
        </w:rPr>
        <w:t xml:space="preserve">178 in respect to early prepayment of the remaining outstanding balances of the July Agile Note and September Agile Note. The December Agile Note has a maturity date of </w:t>
      </w:r>
      <w:bookmarkStart w:id="891" w:name="xdx_90B_eus-gaap--DebtInstrumentMaturity"/>
      <w:bookmarkEnd w:id="891"/>
      <w:r>
        <w:rPr>
          <w:rFonts w:ascii="Times New Roman;Times;Serif" w:hAnsi="Times New Roman;Times;Serif"/>
          <w:b w:val="false"/>
          <w:i w:val="false"/>
          <w:caps w:val="false"/>
          <w:smallCaps w:val="false"/>
          <w:sz w:val="20"/>
        </w:rPr>
        <w:t xml:space="preserve">July 10, 2025 and bears interest at a rate of </w:t>
      </w:r>
      <w:bookmarkStart w:id="892" w:name="xdx_905_eus-gaap--DebtInstrumentInterest"/>
      <w:bookmarkEnd w:id="892"/>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w:t>
      </w:r>
      <w:bookmarkStart w:id="893" w:name="xdx_900_eus-gaap--GainsLossesOnExtinguis"/>
      <w:bookmarkEnd w:id="893"/>
      <w:r>
        <w:rPr>
          <w:rFonts w:ascii="Times New Roman;Times;Serif" w:hAnsi="Times New Roman;Times;Serif"/>
          <w:b w:val="false"/>
          <w:i w:val="false"/>
          <w:caps w:val="false"/>
          <w:smallCaps w:val="false"/>
          <w:sz w:val="20"/>
        </w:rPr>
        <w:t>1,072.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w:t>
      </w:r>
      <w:bookmarkStart w:id="894" w:name="xdx_908_eus-gaap--DebtInstrumentFaceAmou"/>
      <w:bookmarkEnd w:id="894"/>
      <w:r>
        <w:rPr>
          <w:rFonts w:ascii="Times New Roman;Times;Serif" w:hAnsi="Times New Roman;Times;Serif"/>
          <w:b w:val="false"/>
          <w:i w:val="false"/>
          <w:caps w:val="false"/>
          <w:smallCaps w:val="false"/>
          <w:sz w:val="20"/>
        </w:rPr>
        <w:t>4,000 and received net proceeds of $</w:t>
      </w:r>
      <w:bookmarkStart w:id="895" w:name="xdx_908_eus-gaap--ProceedsFromShortTermD"/>
      <w:bookmarkEnd w:id="895"/>
      <w:r>
        <w:rPr>
          <w:rFonts w:ascii="Times New Roman;Times;Serif" w:hAnsi="Times New Roman;Times;Serif"/>
          <w:b w:val="false"/>
          <w:i w:val="false"/>
          <w:caps w:val="false"/>
          <w:smallCaps w:val="false"/>
          <w:sz w:val="20"/>
        </w:rPr>
        <w:t>2,044, after administrative agent fees of $</w:t>
      </w:r>
      <w:bookmarkStart w:id="896" w:name="xdx_90C_eus-gaap--DebtInstrumentFeeAmoun"/>
      <w:bookmarkEnd w:id="896"/>
      <w:r>
        <w:rPr>
          <w:rFonts w:ascii="Times New Roman;Times;Serif" w:hAnsi="Times New Roman;Times;Serif"/>
          <w:b w:val="false"/>
          <w:i w:val="false"/>
          <w:caps w:val="false"/>
          <w:smallCaps w:val="false"/>
          <w:sz w:val="20"/>
        </w:rPr>
        <w:t>200 paid to Agile Funding, and net of payments to Agile of $</w:t>
      </w:r>
      <w:bookmarkStart w:id="897" w:name="xdx_906_eus-gaap--RepaymentsOfDebt_pn3n3"/>
      <w:bookmarkEnd w:id="897"/>
      <w:r>
        <w:rPr>
          <w:rFonts w:ascii="Times New Roman;Times;Serif" w:hAnsi="Times New Roman;Times;Serif"/>
          <w:b w:val="false"/>
          <w:i w:val="false"/>
          <w:caps w:val="false"/>
          <w:smallCaps w:val="false"/>
          <w:sz w:val="20"/>
        </w:rPr>
        <w:t xml:space="preserve">1,756 in respect to early prepayment of the remaining outstanding balances of the December Agile Note. The March Agile Note has a maturity date of </w:t>
      </w:r>
      <w:bookmarkStart w:id="898" w:name="xdx_90C_eus-gaap--DebtInstrumentMaturity"/>
      <w:bookmarkEnd w:id="898"/>
      <w:r>
        <w:rPr>
          <w:rFonts w:ascii="Times New Roman;Times;Serif" w:hAnsi="Times New Roman;Times;Serif"/>
          <w:b w:val="false"/>
          <w:i w:val="false"/>
          <w:caps w:val="false"/>
          <w:smallCaps w:val="false"/>
          <w:sz w:val="20"/>
        </w:rPr>
        <w:t xml:space="preserve">November 12, 2025 and bears interest at a rate of </w:t>
      </w:r>
      <w:bookmarkStart w:id="899" w:name="xdx_908_eus-gaap--DebtInstrumentInterest"/>
      <w:bookmarkEnd w:id="899"/>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w:t>
      </w:r>
      <w:bookmarkStart w:id="900" w:name="xdx_907_eus-gaap--GainsLossesOnExtinguis"/>
      <w:bookmarkEnd w:id="900"/>
      <w:r>
        <w:rPr>
          <w:rFonts w:ascii="Times New Roman;Times;Serif" w:hAnsi="Times New Roman;Times;Serif"/>
          <w:b w:val="false"/>
          <w:i w:val="false"/>
          <w:caps w:val="false"/>
          <w:smallCaps w:val="false"/>
          <w:sz w:val="20"/>
        </w:rPr>
        <w:t>1,770.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w:t>
      </w:r>
      <w:bookmarkStart w:id="901" w:name="xdx_90E_eus-gaap--DebtInstrumentFaceAmou"/>
      <w:bookmarkEnd w:id="901"/>
      <w:r>
        <w:rPr>
          <w:rFonts w:ascii="Times New Roman;Times;Serif" w:hAnsi="Times New Roman;Times;Serif"/>
          <w:b w:val="false"/>
          <w:i w:val="false"/>
          <w:caps w:val="false"/>
          <w:smallCaps w:val="false"/>
          <w:sz w:val="20"/>
        </w:rPr>
        <w:t>263 and received net proceeds of $</w:t>
      </w:r>
      <w:bookmarkStart w:id="902" w:name="xdx_90A_eus-gaap--ProceedsFromShortTermD"/>
      <w:bookmarkEnd w:id="902"/>
      <w:r>
        <w:rPr>
          <w:rFonts w:ascii="Times New Roman;Times;Serif" w:hAnsi="Times New Roman;Times;Serif"/>
          <w:b w:val="false"/>
          <w:i w:val="false"/>
          <w:caps w:val="false"/>
          <w:smallCaps w:val="false"/>
          <w:sz w:val="20"/>
        </w:rPr>
        <w:t>250, after administrative agent fees $</w:t>
      </w:r>
      <w:bookmarkStart w:id="903" w:name="xdx_90F_eus-gaap--DebtInstrumentFeeAmoun"/>
      <w:bookmarkEnd w:id="903"/>
      <w:r>
        <w:rPr>
          <w:rFonts w:ascii="Times New Roman;Times;Serif" w:hAnsi="Times New Roman;Times;Serif"/>
          <w:b w:val="false"/>
          <w:i w:val="false"/>
          <w:caps w:val="false"/>
          <w:smallCaps w:val="false"/>
          <w:sz w:val="20"/>
        </w:rPr>
        <w:t xml:space="preserve">13 paid to Agile Funding. The June Agile note has a maturity date of </w:t>
      </w:r>
      <w:bookmarkStart w:id="904" w:name="xdx_905_eus-gaap--DebtInstrumentMaturity"/>
      <w:bookmarkEnd w:id="904"/>
      <w:r>
        <w:rPr>
          <w:rFonts w:ascii="Times New Roman;Times;Serif" w:hAnsi="Times New Roman;Times;Serif"/>
          <w:b w:val="false"/>
          <w:i w:val="false"/>
          <w:caps w:val="false"/>
          <w:smallCaps w:val="false"/>
          <w:sz w:val="20"/>
        </w:rPr>
        <w:t xml:space="preserve">December 15, 2025 and bears interest at a rate of </w:t>
      </w:r>
      <w:bookmarkStart w:id="905" w:name="xdx_909_eus-gaap--DebtInstrumentInterest"/>
      <w:bookmarkEnd w:id="905"/>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issued a subordinated secured promissory note (the “March 2026 Agile Note”) for an aggregate principal amount of $</w:t>
      </w:r>
      <w:bookmarkStart w:id="906" w:name="xdx_90B_eus-gaap--DebtInstrumentFaceAmou"/>
      <w:bookmarkEnd w:id="906"/>
      <w:r>
        <w:rPr>
          <w:rFonts w:ascii="Times New Roman;Times;Serif" w:hAnsi="Times New Roman;Times;Serif"/>
          <w:b w:val="false"/>
          <w:i w:val="false"/>
          <w:caps w:val="false"/>
          <w:smallCaps w:val="false"/>
          <w:sz w:val="20"/>
        </w:rPr>
        <w:t>90 and received net proceeds of $</w:t>
      </w:r>
      <w:bookmarkStart w:id="907" w:name="xdx_903_eus-gaap--ProceedsFromShortTermD"/>
      <w:bookmarkEnd w:id="907"/>
      <w:r>
        <w:rPr>
          <w:rFonts w:ascii="Times New Roman;Times;Serif" w:hAnsi="Times New Roman;Times;Serif"/>
          <w:b w:val="false"/>
          <w:i w:val="false"/>
          <w:caps w:val="false"/>
          <w:smallCaps w:val="false"/>
          <w:sz w:val="20"/>
        </w:rPr>
        <w:t>85, after administrative agent fees $</w:t>
      </w:r>
      <w:bookmarkStart w:id="908" w:name="xdx_901_eus-gaap--DebtInstrumentFeeAmoun"/>
      <w:bookmarkEnd w:id="908"/>
      <w:r>
        <w:rPr>
          <w:rFonts w:ascii="Times New Roman;Times;Serif" w:hAnsi="Times New Roman;Times;Serif"/>
          <w:b w:val="false"/>
          <w:i w:val="false"/>
          <w:caps w:val="false"/>
          <w:smallCaps w:val="false"/>
          <w:sz w:val="20"/>
        </w:rPr>
        <w:t xml:space="preserve">5 paid to Agile Funding. The March 2026 Agile note has a maturity date of </w:t>
      </w:r>
      <w:bookmarkStart w:id="909" w:name="xdx_900_eus-gaap--DebtInstrumentMaturity"/>
      <w:bookmarkEnd w:id="909"/>
      <w:r>
        <w:rPr>
          <w:rFonts w:ascii="Times New Roman;Times;Serif" w:hAnsi="Times New Roman;Times;Serif"/>
          <w:b w:val="false"/>
          <w:i w:val="false"/>
          <w:caps w:val="false"/>
          <w:smallCaps w:val="false"/>
          <w:sz w:val="20"/>
        </w:rPr>
        <w:t xml:space="preserve">October 27, 2026 and bears interest at a rate of </w:t>
      </w:r>
      <w:bookmarkStart w:id="910" w:name="xdx_90B_eus-gaap--DebtInstrumentInterest"/>
      <w:bookmarkEnd w:id="910"/>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w:t>
      </w:r>
      <w:bookmarkStart w:id="911" w:name="xdx_907_eus-gaap--DebtInstrumentInterest"/>
      <w:bookmarkEnd w:id="911"/>
      <w:r>
        <w:rPr>
          <w:rFonts w:ascii="Times New Roman;Times;Serif" w:hAnsi="Times New Roman;Times;Serif"/>
          <w:b w:val="false"/>
          <w:i w:val="false"/>
          <w:caps w:val="false"/>
          <w:smallCaps w:val="false"/>
          <w:sz w:val="20"/>
        </w:rPr>
        <w:t>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w:t>
      </w:r>
      <w:bookmarkStart w:id="912" w:name="xdx_900_eus-gaap--NotesPayableCurrent_iI"/>
      <w:bookmarkEnd w:id="912"/>
      <w:r>
        <w:rPr>
          <w:rFonts w:ascii="Times New Roman;Times;Serif" w:hAnsi="Times New Roman;Times;Serif"/>
          <w:b w:val="false"/>
          <w:i w:val="false"/>
          <w:caps w:val="false"/>
          <w:smallCaps w:val="false"/>
          <w:sz w:val="20"/>
        </w:rPr>
        <w:t>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w:t>
      </w:r>
      <w:bookmarkStart w:id="913" w:name="xdx_90F_eus-gaap--LongTermNotesPayable_i"/>
      <w:bookmarkEnd w:id="913"/>
      <w:r>
        <w:rPr>
          <w:rFonts w:ascii="Times New Roman;Times;Serif" w:hAnsi="Times New Roman;Times;Serif"/>
          <w:b w:val="false"/>
          <w:i w:val="false"/>
          <w:caps w:val="false"/>
          <w:smallCaps w:val="false"/>
          <w:sz w:val="20"/>
        </w:rPr>
        <w:t>2,123.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w:t>
      </w:r>
      <w:bookmarkStart w:id="914" w:name="xdx_907_eus-gaap--GainsLossesOnExtinguis"/>
      <w:bookmarkEnd w:id="914"/>
      <w:r>
        <w:rPr>
          <w:rFonts w:ascii="Times New Roman;Times;Serif" w:hAnsi="Times New Roman;Times;Serif"/>
          <w:b w:val="false"/>
          <w:i w:val="false"/>
          <w:caps w:val="false"/>
          <w:smallCaps w:val="false"/>
          <w:sz w:val="20"/>
        </w:rPr>
        <w:t>633.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 entered into an exchange agreement with Agile (“Agile Exchange Agreement”) pursuant to which the Company issued </w:t>
      </w:r>
      <w:bookmarkStart w:id="915" w:name="xdx_900_ecustom--SharesIssuedUnderPromis"/>
      <w:bookmarkEnd w:id="915"/>
      <w:r>
        <w:rPr>
          <w:rFonts w:ascii="Times New Roman;Times;Serif" w:hAnsi="Times New Roman;Times;Serif"/>
          <w:b w:val="false"/>
          <w:i w:val="false"/>
          <w:caps w:val="false"/>
          <w:smallCaps w:val="false"/>
          <w:sz w:val="20"/>
        </w:rPr>
        <w:t>11,640 shares of its Class A common stock in exchange for a reduction of $</w:t>
      </w:r>
      <w:bookmarkStart w:id="916" w:name="xdx_90B_ecustom--AggregateReductionsOfIn"/>
      <w:bookmarkEnd w:id="916"/>
      <w:r>
        <w:rPr>
          <w:rFonts w:ascii="Times New Roman;Times;Serif" w:hAnsi="Times New Roman;Times;Serif"/>
          <w:b w:val="false"/>
          <w:i w:val="false"/>
          <w:caps w:val="false"/>
          <w:smallCaps w:val="false"/>
          <w:sz w:val="20"/>
        </w:rPr>
        <w:t>284 in the outstanding balance of the March Agile Note. Following this exchange, the outstanding balance of the March Agile Note was reduced to approximately $</w:t>
      </w:r>
      <w:bookmarkStart w:id="917" w:name="xdx_909_eus-gaap--LongTermNotesPayable_i"/>
      <w:bookmarkEnd w:id="917"/>
      <w:r>
        <w:rPr>
          <w:rFonts w:ascii="Times New Roman;Times;Serif" w:hAnsi="Times New Roman;Times;Serif"/>
          <w:b w:val="false"/>
          <w:i w:val="false"/>
          <w:caps w:val="false"/>
          <w:smallCaps w:val="false"/>
          <w:sz w:val="20"/>
        </w:rPr>
        <w:t>1,839.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27, 2026 and March 27, 2026, the Company entered into multiple exchange agreements with Agile on substantially similar terms as the Agile Exchange Agreement pursuant to which the Company issued an aggregate of </w:t>
      </w:r>
      <w:bookmarkStart w:id="918" w:name="xdx_908_ecustom--SharesIssuedUnderPromis"/>
      <w:bookmarkEnd w:id="918"/>
      <w:r>
        <w:rPr>
          <w:rFonts w:ascii="Times New Roman;Times;Serif" w:hAnsi="Times New Roman;Times;Serif"/>
          <w:b w:val="false"/>
          <w:i w:val="false"/>
          <w:caps w:val="false"/>
          <w:smallCaps w:val="false"/>
          <w:sz w:val="20"/>
        </w:rPr>
        <w:t>29,306 shares of its Class A common stock at conversion prices per share ranging from $</w:t>
      </w:r>
      <w:bookmarkStart w:id="919" w:name="xdx_909_eus-gaap--DebtInstrumentConverti"/>
      <w:bookmarkEnd w:id="919"/>
      <w:r>
        <w:rPr>
          <w:rFonts w:ascii="Times New Roman;Times;Serif" w:hAnsi="Times New Roman;Times;Serif"/>
          <w:b w:val="false"/>
          <w:i w:val="false"/>
          <w:caps w:val="false"/>
          <w:smallCaps w:val="false"/>
          <w:sz w:val="20"/>
        </w:rPr>
        <w:t>21.40 to $</w:t>
      </w:r>
      <w:bookmarkStart w:id="920" w:name="xdx_90A_eus-gaap--DebtInstrumentConverti"/>
      <w:bookmarkEnd w:id="920"/>
      <w:r>
        <w:rPr>
          <w:rFonts w:ascii="Times New Roman;Times;Serif" w:hAnsi="Times New Roman;Times;Serif"/>
          <w:b w:val="false"/>
          <w:i w:val="false"/>
          <w:caps w:val="false"/>
          <w:smallCaps w:val="false"/>
          <w:sz w:val="20"/>
        </w:rPr>
        <w:t>23.04 in exchange for a reduction of $</w:t>
      </w:r>
      <w:bookmarkStart w:id="921" w:name="xdx_906_ecustom--AggregateReductionsOfIn"/>
      <w:bookmarkEnd w:id="921"/>
      <w:r>
        <w:rPr>
          <w:rFonts w:ascii="Times New Roman;Times;Serif" w:hAnsi="Times New Roman;Times;Serif"/>
          <w:b w:val="false"/>
          <w:i w:val="false"/>
          <w:caps w:val="false"/>
          <w:smallCaps w:val="false"/>
          <w:sz w:val="20"/>
        </w:rPr>
        <w:t>660 in the outstanding balance of the March Agile Note. Following these exchanges, the outstanding balance of the March Agile Note was reduced to approximately $</w:t>
      </w:r>
      <w:bookmarkStart w:id="922" w:name="xdx_90C_eus-gaap--LongTermNotesPayable_i"/>
      <w:bookmarkEnd w:id="922"/>
      <w:r>
        <w:rPr>
          <w:rFonts w:ascii="Times New Roman;Times;Serif" w:hAnsi="Times New Roman;Times;Serif"/>
          <w:b w:val="false"/>
          <w:i w:val="false"/>
          <w:caps w:val="false"/>
          <w:smallCaps w:val="false"/>
          <w:sz w:val="20"/>
        </w:rPr>
        <w:t>1,179.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w:t>
      </w:r>
      <w:bookmarkStart w:id="923" w:name="xdx_905_eus-gaap--InterestExpense_pn3n3_"/>
      <w:bookmarkEnd w:id="923"/>
      <w:r>
        <w:rPr>
          <w:rFonts w:ascii="Times New Roman;Times;Serif" w:hAnsi="Times New Roman;Times;Serif"/>
          <w:b w:val="false"/>
          <w:i w:val="false"/>
          <w:caps w:val="false"/>
          <w:smallCaps w:val="false"/>
          <w:sz w:val="20"/>
        </w:rPr>
        <w:t>0 and $</w:t>
      </w:r>
      <w:bookmarkStart w:id="924" w:name="xdx_902_eus-gaap--InterestExpense_pn3n3_"/>
      <w:bookmarkEnd w:id="924"/>
      <w:r>
        <w:rPr>
          <w:rFonts w:ascii="Times New Roman;Times;Serif" w:hAnsi="Times New Roman;Times;Serif"/>
          <w:b w:val="false"/>
          <w:i w:val="false"/>
          <w:caps w:val="false"/>
          <w:smallCaps w:val="false"/>
          <w:sz w:val="20"/>
        </w:rPr>
        <w:t>450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5" w:name="xdx_89E_eus-gaap--ScheduleOfDebtInstrume"/>
      <w:bookmarkEnd w:id="925"/>
      <w:r>
        <w:rPr>
          <w:rFonts w:ascii="Times New Roman;Times;Serif" w:hAnsi="Times New Roman;Times;Serif"/>
          <w:b w:val="false"/>
          <w:i w:val="false"/>
          <w:caps w:val="false"/>
          <w:smallCaps w:val="false"/>
          <w:sz w:val="20"/>
        </w:rPr>
        <w:t>The following presents the Agile Notes for the three months ended March 31, 2026:</w:t>
      </w:r>
    </w:p>
    <w:p>
      <w:pPr>
        <w:pStyle w:val="TextBody"/>
        <w:bidi w:val="0"/>
        <w:spacing w:before="0" w:after="0"/>
        <w:ind w:left="0" w:right="0" w:hanging="0"/>
        <w:jc w:val="left"/>
        <w:rPr>
          <w:caps w:val="false"/>
          <w:smallCaps w:val="false"/>
        </w:rPr>
      </w:pPr>
      <w:r>
        <w:rPr>
          <w:caps w:val="false"/>
          <w:smallCaps w:val="false"/>
        </w:rPr>
        <w:t> </w:t>
      </w:r>
      <w:bookmarkStart w:id="926" w:name="xdx_8BA_zYfPC5DfdbV"/>
      <w:bookmarkEnd w:id="926"/>
      <w:r>
        <w:rPr>
          <w:rFonts w:ascii="Times New Roman;Times;Serif" w:hAnsi="Times New Roman;Times;Serif"/>
          <w:b w:val="false"/>
          <w:i w:val="false"/>
          <w:caps w:val="false"/>
          <w:smallCaps w:val="false"/>
          <w:sz w:val="20"/>
        </w:rPr>
        <w:t>Summary of Notes</w:t>
      </w:r>
    </w:p>
    <w:tbl>
      <w:tblPr>
        <w:tblW w:w="6915" w:type="dxa"/>
        <w:jc w:val="left"/>
        <w:tblInd w:w="0" w:type="dxa"/>
        <w:tblLayout w:type="fixed"/>
        <w:tblCellMar>
          <w:top w:w="0" w:type="dxa"/>
          <w:left w:w="0" w:type="dxa"/>
          <w:bottom w:w="0" w:type="dxa"/>
          <w:right w:w="0" w:type="dxa"/>
        </w:tblCellMar>
      </w:tblPr>
      <w:tblGrid>
        <w:gridCol w:w="4940"/>
        <w:gridCol w:w="60"/>
        <w:gridCol w:w="361"/>
        <w:gridCol w:w="1444"/>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7" w:name="xdx_49E_20260101__20260331__us-gaap--Lon"/>
            <w:bookmarkEnd w:id="927"/>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Agile Term Notes</w:t>
            </w:r>
          </w:p>
        </w:tc>
        <w:tc>
          <w:tcPr>
            <w:tcW w:w="110" w:type="dxa"/>
            <w:tcBorders/>
            <w:vAlign w:val="center"/>
          </w:tcPr>
          <w:p>
            <w:pPr>
              <w:pStyle w:val="TableContents"/>
              <w:bidi w:val="0"/>
              <w:spacing w:before="0" w:after="283"/>
              <w:jc w:val="left"/>
              <w:rPr/>
            </w:pPr>
            <w:r>
              <w:rPr/>
              <w:t> </w:t>
            </w:r>
            <w:bookmarkStart w:id="928" w:name="xdx_408_eus-gaap--NotesPayable_iS_pn3n3_"/>
            <w:bookmarkEnd w:id="928"/>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1,728</w:t>
            </w:r>
          </w:p>
        </w:tc>
        <w:tc>
          <w:tcPr>
            <w:tcW w:w="110" w:type="dxa"/>
            <w:tcBorders/>
            <w:shd w:fill="CCEEFF" w:val="clear"/>
            <w:vAlign w:val="center"/>
          </w:tcPr>
          <w:p>
            <w:pPr>
              <w:pStyle w:val="TableContents"/>
              <w:bidi w:val="0"/>
              <w:spacing w:before="0" w:after="283"/>
              <w:jc w:val="left"/>
              <w:rPr/>
            </w:pPr>
            <w:r>
              <w:rPr/>
              <w:t> </w:t>
            </w:r>
            <w:bookmarkStart w:id="929" w:name="xdx_402_ecustom--IssuanceOfLongTermDebt_"/>
            <w:bookmarkEnd w:id="929"/>
          </w:p>
        </w:tc>
      </w:tr>
      <w:tr>
        <w:trPr/>
        <w:tc>
          <w:tcPr>
            <w:tcW w:w="4940" w:type="dxa"/>
            <w:tcBorders/>
            <w:shd w:fill="FFFFFF" w:val="clear"/>
            <w:vAlign w:val="center"/>
          </w:tcPr>
          <w:p>
            <w:pPr>
              <w:pStyle w:val="TableContents"/>
              <w:bidi w:val="0"/>
              <w:spacing w:before="0" w:after="283"/>
              <w:jc w:val="left"/>
              <w:rPr/>
            </w:pPr>
            <w:r>
              <w:rPr/>
              <w:t>Issuance of Agile term notes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bookmarkStart w:id="930" w:name="xdx_404_ecustom--GainsLossesOnDebtIssuan"/>
            <w:bookmarkEnd w:id="930"/>
          </w:p>
        </w:tc>
      </w:tr>
      <w:tr>
        <w:trPr/>
        <w:tc>
          <w:tcPr>
            <w:tcW w:w="4940" w:type="dxa"/>
            <w:tcBorders/>
            <w:shd w:fill="CCEEFF" w:val="clear"/>
            <w:vAlign w:val="center"/>
          </w:tcPr>
          <w:p>
            <w:pPr>
              <w:pStyle w:val="TableContents"/>
              <w:bidi w:val="0"/>
              <w:spacing w:before="0" w:after="283"/>
              <w:jc w:val="left"/>
              <w:rPr/>
            </w:pPr>
            <w:r>
              <w:rPr/>
              <w:t>Loss on issuance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bookmarkStart w:id="931" w:name="xdx_402_ecustom--ConversionsOfLongTermDe"/>
            <w:bookmarkEnd w:id="931"/>
          </w:p>
        </w:tc>
      </w:tr>
      <w:tr>
        <w:trPr/>
        <w:tc>
          <w:tcPr>
            <w:tcW w:w="494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(660</w:t>
            </w:r>
          </w:p>
        </w:tc>
        <w:tc>
          <w:tcPr>
            <w:tcW w:w="110" w:type="dxa"/>
            <w:tcBorders/>
            <w:shd w:fill="FFFFFF" w:val="clear"/>
            <w:vAlign w:val="center"/>
          </w:tcPr>
          <w:p>
            <w:pPr>
              <w:pStyle w:val="TableContents"/>
              <w:bidi w:val="0"/>
              <w:spacing w:before="0" w:after="283"/>
              <w:jc w:val="left"/>
              <w:rPr/>
            </w:pPr>
            <w:r>
              <w:rPr/>
              <w:t>)</w:t>
            </w:r>
            <w:bookmarkStart w:id="932" w:name="xdx_408_eus-gaap--RepaymentsOfLongTermDe"/>
            <w:bookmarkEnd w:id="932"/>
          </w:p>
        </w:tc>
      </w:tr>
      <w:tr>
        <w:trPr/>
        <w:tc>
          <w:tcPr>
            <w:tcW w:w="4940" w:type="dxa"/>
            <w:tcBorders/>
            <w:shd w:fill="CCEEFF" w:val="clear"/>
            <w:vAlign w:val="center"/>
          </w:tcPr>
          <w:p>
            <w:pPr>
              <w:pStyle w:val="TableContents"/>
              <w:bidi w:val="0"/>
              <w:spacing w:before="0" w:after="283"/>
              <w:jc w:val="left"/>
              <w:rPr/>
            </w:pPr>
            <w:r>
              <w:rPr/>
              <w:t>Repayments in cash</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3" w:name="xdx_407_ecustom--ChangeInFairValueOfLong"/>
            <w:bookmarkEnd w:id="933"/>
          </w:p>
        </w:tc>
      </w:tr>
      <w:tr>
        <w:trPr/>
        <w:tc>
          <w:tcPr>
            <w:tcW w:w="494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934" w:name="xdx_40A_eus-gaap--NotesPayable_iE_pn3n3_"/>
            <w:bookmarkEnd w:id="934"/>
          </w:p>
        </w:tc>
      </w:tr>
      <w:tr>
        <w:trPr/>
        <w:tc>
          <w:tcPr>
            <w:tcW w:w="494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pPr>
            <w:r>
              <w:rPr/>
              <w:t>1,299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5" w:name="xdx_40D_eus-gaap--LongTermNotesPayable_i"/>
            <w:bookmarkEnd w:id="935"/>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44" w:type="dxa"/>
            <w:tcBorders/>
            <w:shd w:fill="FFFFFF" w:val="clear"/>
            <w:vAlign w:val="center"/>
          </w:tcPr>
          <w:p>
            <w:pPr>
              <w:pStyle w:val="TableContents"/>
              <w:bidi w:val="0"/>
              <w:spacing w:before="0" w:after="283"/>
              <w:jc w:val="right"/>
              <w:rPr/>
            </w:pPr>
            <w:r>
              <w:rPr/>
              <w:t>1,269</w:t>
            </w:r>
          </w:p>
        </w:tc>
        <w:tc>
          <w:tcPr>
            <w:tcW w:w="110" w:type="dxa"/>
            <w:tcBorders/>
            <w:shd w:fill="FFFFFF" w:val="clear"/>
            <w:vAlign w:val="center"/>
          </w:tcPr>
          <w:p>
            <w:pPr>
              <w:pStyle w:val="TableContents"/>
              <w:bidi w:val="0"/>
              <w:spacing w:before="0" w:after="283"/>
              <w:jc w:val="left"/>
              <w:rPr/>
            </w:pPr>
            <w:r>
              <w:rPr/>
              <w:t> </w:t>
            </w:r>
            <w:bookmarkStart w:id="936" w:name="xdx_408_ecustom--InterestPayableOnLongTe"/>
            <w:bookmarkEnd w:id="936"/>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7" w:name="xdx_8A5_zpVJJMedKjCl"/>
      <w:bookmarkEnd w:id="93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w:t>
      </w:r>
      <w:bookmarkStart w:id="938" w:name="xdx_909_eus-gaap--DebtInstrumentFaceAmou"/>
      <w:bookmarkEnd w:id="938"/>
      <w:r>
        <w:rPr>
          <w:rFonts w:ascii="Times New Roman;Times;Serif" w:hAnsi="Times New Roman;Times;Serif"/>
          <w:b w:val="false"/>
          <w:i w:val="false"/>
          <w:caps w:val="false"/>
          <w:smallCaps w:val="false"/>
          <w:sz w:val="20"/>
        </w:rPr>
        <w:t>184 and received net proceeds of $</w:t>
      </w:r>
      <w:bookmarkStart w:id="939" w:name="xdx_903_eus-gaap--ProceedsFromIssuanceOf"/>
      <w:bookmarkEnd w:id="939"/>
      <w:r>
        <w:rPr>
          <w:rFonts w:ascii="Times New Roman;Times;Serif" w:hAnsi="Times New Roman;Times;Serif"/>
          <w:b w:val="false"/>
          <w:i w:val="false"/>
          <w:caps w:val="false"/>
          <w:smallCaps w:val="false"/>
          <w:sz w:val="20"/>
        </w:rPr>
        <w:t>152, after an original issue discount of $</w:t>
      </w:r>
      <w:bookmarkStart w:id="940" w:name="xdx_909_eus-gaap--DebtInstrumentUnamorti"/>
      <w:bookmarkEnd w:id="940"/>
      <w:r>
        <w:rPr>
          <w:rFonts w:ascii="Times New Roman;Times;Serif" w:hAnsi="Times New Roman;Times;Serif"/>
          <w:b w:val="false"/>
          <w:i w:val="false"/>
          <w:caps w:val="false"/>
          <w:smallCaps w:val="false"/>
          <w:sz w:val="20"/>
        </w:rPr>
        <w:t>24 and issuance costs of $</w:t>
      </w:r>
      <w:bookmarkStart w:id="941" w:name="xdx_90D_ecustom--DebtInstrumentUnamortiz"/>
      <w:bookmarkEnd w:id="941"/>
      <w:r>
        <w:rPr>
          <w:rFonts w:ascii="Times New Roman;Times;Serif" w:hAnsi="Times New Roman;Times;Serif"/>
          <w:b w:val="false"/>
          <w:i w:val="false"/>
          <w:caps w:val="false"/>
          <w:smallCaps w:val="false"/>
          <w:sz w:val="20"/>
        </w:rPr>
        <w:t xml:space="preserve">8 for due diligence and legal fees. The August 1800 Diagonal Note has a maturity date of </w:t>
      </w:r>
      <w:bookmarkStart w:id="942" w:name="xdx_90E_eus-gaap--DebtInstrumentMaturity"/>
      <w:bookmarkEnd w:id="942"/>
      <w:r>
        <w:rPr>
          <w:rFonts w:ascii="Times New Roman;Times;Serif" w:hAnsi="Times New Roman;Times;Serif"/>
          <w:b w:val="false"/>
          <w:i w:val="false"/>
          <w:caps w:val="false"/>
          <w:smallCaps w:val="false"/>
          <w:sz w:val="20"/>
        </w:rPr>
        <w:t xml:space="preserve">June 15, 2025 and bears interest at </w:t>
      </w:r>
      <w:bookmarkStart w:id="943" w:name="xdx_901_eus-gaap--DebtInstrumentInterest"/>
      <w:bookmarkEnd w:id="943"/>
      <w:r>
        <w:rPr>
          <w:rFonts w:ascii="Times New Roman;Times;Serif" w:hAnsi="Times New Roman;Times;Serif"/>
          <w:b w:val="false"/>
          <w:i w:val="false"/>
          <w:caps w:val="false"/>
          <w:smallCaps w:val="false"/>
          <w:sz w:val="20"/>
        </w:rPr>
        <w:t>12% per annum. The August Securities Purchase Agreement stipulates that the Company and Lender may mutually agree to enter into additional tranches of promissory notes over the 12 month period commencing on August 16, 2024, up to an aggregate total of $</w:t>
      </w:r>
      <w:bookmarkStart w:id="944" w:name="xdx_909_eus-gaap--DebtInstrumentFaceAmou"/>
      <w:bookmarkEnd w:id="944"/>
      <w:r>
        <w:rPr>
          <w:rFonts w:ascii="Times New Roman;Times;Serif" w:hAnsi="Times New Roman;Times;Serif"/>
          <w:b w:val="false"/>
          <w:i w:val="false"/>
          <w:caps w:val="false"/>
          <w:smallCaps w:val="false"/>
          <w:sz w:val="20"/>
        </w:rPr>
        <w:t>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w:t>
      </w:r>
      <w:bookmarkStart w:id="945" w:name="xdx_905_eus-gaap--DebtInstrumentFaceAmou"/>
      <w:bookmarkEnd w:id="945"/>
      <w:r>
        <w:rPr>
          <w:rFonts w:ascii="Times New Roman;Times;Serif" w:hAnsi="Times New Roman;Times;Serif"/>
          <w:b w:val="false"/>
          <w:i w:val="false"/>
          <w:caps w:val="false"/>
          <w:smallCaps w:val="false"/>
          <w:sz w:val="20"/>
        </w:rPr>
        <w:t>124,200 and received net proceeds of $</w:t>
      </w:r>
      <w:bookmarkStart w:id="946" w:name="xdx_900_eus-gaap--ProceedsFromIssuanceOf"/>
      <w:bookmarkEnd w:id="946"/>
      <w:r>
        <w:rPr>
          <w:rFonts w:ascii="Times New Roman;Times;Serif" w:hAnsi="Times New Roman;Times;Serif"/>
          <w:b w:val="false"/>
          <w:i w:val="false"/>
          <w:caps w:val="false"/>
          <w:smallCaps w:val="false"/>
          <w:sz w:val="20"/>
        </w:rPr>
        <w:t>100, after an original discount of $</w:t>
      </w:r>
      <w:bookmarkStart w:id="947" w:name="xdx_90C_eus-gaap--DebtInstrumentUnamorti"/>
      <w:bookmarkEnd w:id="947"/>
      <w:r>
        <w:rPr>
          <w:rFonts w:ascii="Times New Roman;Times;Serif" w:hAnsi="Times New Roman;Times;Serif"/>
          <w:b w:val="false"/>
          <w:i w:val="false"/>
          <w:caps w:val="false"/>
          <w:smallCaps w:val="false"/>
          <w:sz w:val="20"/>
        </w:rPr>
        <w:t>16 and issuance costs of $</w:t>
      </w:r>
      <w:bookmarkStart w:id="948" w:name="xdx_90B_ecustom--DebtInstrumentUnamortiz"/>
      <w:bookmarkEnd w:id="948"/>
      <w:r>
        <w:rPr>
          <w:rFonts w:ascii="Times New Roman;Times;Serif" w:hAnsi="Times New Roman;Times;Serif"/>
          <w:b w:val="false"/>
          <w:i w:val="false"/>
          <w:caps w:val="false"/>
          <w:smallCaps w:val="false"/>
          <w:sz w:val="20"/>
        </w:rPr>
        <w:t xml:space="preserve">8 for due diligence and legal fees. The September 1800 Diagonal Note has a maturity date of </w:t>
      </w:r>
      <w:bookmarkStart w:id="949" w:name="xdx_90C_eus-gaap--DebtInstrumentMaturity"/>
      <w:bookmarkEnd w:id="949"/>
      <w:r>
        <w:rPr>
          <w:rFonts w:ascii="Times New Roman;Times;Serif" w:hAnsi="Times New Roman;Times;Serif"/>
          <w:b w:val="false"/>
          <w:i w:val="false"/>
          <w:caps w:val="false"/>
          <w:smallCaps w:val="false"/>
          <w:sz w:val="20"/>
        </w:rPr>
        <w:t xml:space="preserve">July 30, 2025 and bears interest at </w:t>
      </w:r>
      <w:bookmarkStart w:id="950" w:name="xdx_900_eus-gaap--DebtInstrumentInterest"/>
      <w:bookmarkEnd w:id="950"/>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exercised its conversion option under the September 1800 Diagonal Note. On the conversion date, the September 1800 Diagonal Note had a fair value of $</w:t>
      </w:r>
      <w:bookmarkStart w:id="951" w:name="xdx_909_eus-gaap--DebtInstrumentFairValu"/>
      <w:bookmarkEnd w:id="951"/>
      <w:r>
        <w:rPr>
          <w:rFonts w:ascii="Times New Roman;Times;Serif" w:hAnsi="Times New Roman;Times;Serif"/>
          <w:b w:val="false"/>
          <w:i w:val="false"/>
          <w:caps w:val="false"/>
          <w:smallCaps w:val="false"/>
          <w:sz w:val="20"/>
        </w:rPr>
        <w:t xml:space="preserve">17 and converted into </w:t>
      </w:r>
      <w:bookmarkStart w:id="952" w:name="xdx_905_eus-gaap--ConversionOfStockShare"/>
      <w:bookmarkEnd w:id="952"/>
      <w:r>
        <w:rPr>
          <w:rFonts w:ascii="Times New Roman;Times;Serif" w:hAnsi="Times New Roman;Times;Serif"/>
          <w:b w:val="false"/>
          <w:i w:val="false"/>
          <w:caps w:val="false"/>
          <w:smallCaps w:val="false"/>
          <w:sz w:val="20"/>
        </w:rPr>
        <w:t>352 shares of the Company’s Class A Common Stock in satisfaction of $</w:t>
      </w:r>
      <w:bookmarkStart w:id="953" w:name="xdx_90E_eus-gaap--ConversionOfStockAmoun"/>
      <w:bookmarkEnd w:id="953"/>
      <w:r>
        <w:rPr>
          <w:rFonts w:ascii="Times New Roman;Times;Serif" w:hAnsi="Times New Roman;Times;Serif"/>
          <w:b w:val="false"/>
          <w:i w:val="false"/>
          <w:caps w:val="false"/>
          <w:smallCaps w:val="false"/>
          <w:sz w:val="20"/>
        </w:rPr>
        <w:t>17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w:t>
      </w:r>
      <w:bookmarkStart w:id="954" w:name="xdx_907_eus-gaap--DebtInstrumentFaceAmou"/>
      <w:bookmarkEnd w:id="954"/>
      <w:r>
        <w:rPr>
          <w:rFonts w:ascii="Times New Roman;Times;Serif" w:hAnsi="Times New Roman;Times;Serif"/>
          <w:b w:val="false"/>
          <w:i w:val="false"/>
          <w:caps w:val="false"/>
          <w:smallCaps w:val="false"/>
          <w:sz w:val="20"/>
        </w:rPr>
        <w:t>124 and received net proceeds of $</w:t>
      </w:r>
      <w:bookmarkStart w:id="955" w:name="xdx_901_eus-gaap--ProceedsFromIssuanceOf"/>
      <w:bookmarkEnd w:id="955"/>
      <w:r>
        <w:rPr>
          <w:rFonts w:ascii="Times New Roman;Times;Serif" w:hAnsi="Times New Roman;Times;Serif"/>
          <w:b w:val="false"/>
          <w:i w:val="false"/>
          <w:caps w:val="false"/>
          <w:smallCaps w:val="false"/>
          <w:sz w:val="20"/>
        </w:rPr>
        <w:t>100, after an original discount of $</w:t>
      </w:r>
      <w:bookmarkStart w:id="956" w:name="xdx_908_eus-gaap--DebtInstrumentUnamorti"/>
      <w:bookmarkEnd w:id="956"/>
      <w:r>
        <w:rPr>
          <w:rFonts w:ascii="Times New Roman;Times;Serif" w:hAnsi="Times New Roman;Times;Serif"/>
          <w:b w:val="false"/>
          <w:i w:val="false"/>
          <w:caps w:val="false"/>
          <w:smallCaps w:val="false"/>
          <w:sz w:val="20"/>
        </w:rPr>
        <w:t>16 and issuance costs of $</w:t>
      </w:r>
      <w:bookmarkStart w:id="957" w:name="xdx_909_ecustom--DebtInstrumentUnamortiz"/>
      <w:bookmarkEnd w:id="957"/>
      <w:r>
        <w:rPr>
          <w:rFonts w:ascii="Times New Roman;Times;Serif" w:hAnsi="Times New Roman;Times;Serif"/>
          <w:b w:val="false"/>
          <w:i w:val="false"/>
          <w:caps w:val="false"/>
          <w:smallCaps w:val="false"/>
          <w:sz w:val="20"/>
        </w:rPr>
        <w:t xml:space="preserve">8 for due diligence and legal fees. The December 1800 Diagonal Note has a maturity date of </w:t>
      </w:r>
      <w:bookmarkStart w:id="958" w:name="xdx_905_eus-gaap--DebtInstrumentMaturity"/>
      <w:bookmarkEnd w:id="958"/>
      <w:r>
        <w:rPr>
          <w:rFonts w:ascii="Times New Roman;Times;Serif" w:hAnsi="Times New Roman;Times;Serif"/>
          <w:b w:val="false"/>
          <w:i w:val="false"/>
          <w:caps w:val="false"/>
          <w:smallCaps w:val="false"/>
          <w:sz w:val="20"/>
        </w:rPr>
        <w:t xml:space="preserve">October 15, 2025 and bears interest at </w:t>
      </w:r>
      <w:bookmarkStart w:id="959" w:name="xdx_901_eus-gaap--DebtInstrumentInterest"/>
      <w:bookmarkEnd w:id="959"/>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exercised its conversion option under the December 1800 Diagonal Note. On the conversion date, the December 1800 Diagonal Note had a fair value of $</w:t>
      </w:r>
      <w:bookmarkStart w:id="960" w:name="xdx_909_eus-gaap--DebtInstrumentFairValu"/>
      <w:bookmarkEnd w:id="960"/>
      <w:r>
        <w:rPr>
          <w:rFonts w:ascii="Times New Roman;Times;Serif" w:hAnsi="Times New Roman;Times;Serif"/>
          <w:b w:val="false"/>
          <w:i w:val="false"/>
          <w:caps w:val="false"/>
          <w:smallCaps w:val="false"/>
          <w:sz w:val="20"/>
        </w:rPr>
        <w:t xml:space="preserve">58 and converted into </w:t>
      </w:r>
      <w:bookmarkStart w:id="961" w:name="xdx_906_eus-gaap--ConversionOfStockShare"/>
      <w:bookmarkEnd w:id="961"/>
      <w:r>
        <w:rPr>
          <w:rFonts w:ascii="Times New Roman;Times;Serif" w:hAnsi="Times New Roman;Times;Serif"/>
          <w:b w:val="false"/>
          <w:i w:val="false"/>
          <w:caps w:val="false"/>
          <w:smallCaps w:val="false"/>
          <w:sz w:val="20"/>
        </w:rPr>
        <w:t>999 shares of the Company’s Class A Common Stock in satisfaction of $</w:t>
      </w:r>
      <w:bookmarkStart w:id="962" w:name="xdx_907_eus-gaap--ConversionOfStockAmoun"/>
      <w:bookmarkEnd w:id="962"/>
      <w:r>
        <w:rPr>
          <w:rFonts w:ascii="Times New Roman;Times;Serif" w:hAnsi="Times New Roman;Times;Serif"/>
          <w:b w:val="false"/>
          <w:i w:val="false"/>
          <w:caps w:val="false"/>
          <w:smallCaps w:val="false"/>
          <w:sz w:val="20"/>
        </w:rPr>
        <w:t>52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w:t>
      </w:r>
      <w:bookmarkStart w:id="963" w:name="xdx_902_eus-gaap--DebtInstrumentFaceAmou"/>
      <w:bookmarkEnd w:id="963"/>
      <w:r>
        <w:rPr>
          <w:rFonts w:ascii="Times New Roman;Times;Serif" w:hAnsi="Times New Roman;Times;Serif"/>
          <w:b w:val="false"/>
          <w:i w:val="false"/>
          <w:caps w:val="false"/>
          <w:smallCaps w:val="false"/>
          <w:sz w:val="20"/>
        </w:rPr>
        <w:t>124 and received net proceeds of $</w:t>
      </w:r>
      <w:bookmarkStart w:id="964" w:name="xdx_909_eus-gaap--ProceedsFromIssuanceOf"/>
      <w:bookmarkEnd w:id="964"/>
      <w:r>
        <w:rPr>
          <w:rFonts w:ascii="Times New Roman;Times;Serif" w:hAnsi="Times New Roman;Times;Serif"/>
          <w:b w:val="false"/>
          <w:i w:val="false"/>
          <w:caps w:val="false"/>
          <w:smallCaps w:val="false"/>
          <w:sz w:val="20"/>
        </w:rPr>
        <w:t>100, after an original discount of $</w:t>
      </w:r>
      <w:bookmarkStart w:id="965" w:name="xdx_909_eus-gaap--DebtInstrumentUnamorti"/>
      <w:bookmarkEnd w:id="965"/>
      <w:r>
        <w:rPr>
          <w:rFonts w:ascii="Times New Roman;Times;Serif" w:hAnsi="Times New Roman;Times;Serif"/>
          <w:b w:val="false"/>
          <w:i w:val="false"/>
          <w:caps w:val="false"/>
          <w:smallCaps w:val="false"/>
          <w:sz w:val="20"/>
        </w:rPr>
        <w:t>16 and issuance costs of $</w:t>
      </w:r>
      <w:bookmarkStart w:id="966" w:name="xdx_903_ecustom--DebtInstrumentUnamortiz"/>
      <w:bookmarkEnd w:id="966"/>
      <w:r>
        <w:rPr>
          <w:rFonts w:ascii="Times New Roman;Times;Serif" w:hAnsi="Times New Roman;Times;Serif"/>
          <w:b w:val="false"/>
          <w:i w:val="false"/>
          <w:caps w:val="false"/>
          <w:smallCaps w:val="false"/>
          <w:sz w:val="20"/>
        </w:rPr>
        <w:t xml:space="preserve">8 for due diligence and legal fees. The February 1800 Diagonal Note has a maturity date of </w:t>
      </w:r>
      <w:bookmarkStart w:id="967" w:name="xdx_906_eus-gaap--DebtInstrumentMaturity"/>
      <w:bookmarkEnd w:id="967"/>
      <w:r>
        <w:rPr>
          <w:rFonts w:ascii="Times New Roman;Times;Serif" w:hAnsi="Times New Roman;Times;Serif"/>
          <w:b w:val="false"/>
          <w:i w:val="false"/>
          <w:caps w:val="false"/>
          <w:smallCaps w:val="false"/>
          <w:sz w:val="20"/>
        </w:rPr>
        <w:t xml:space="preserve">December 15, 2025 and bears interest at </w:t>
      </w:r>
      <w:bookmarkStart w:id="968" w:name="xdx_90C_eus-gaap--DebtInstrumentInterest"/>
      <w:bookmarkEnd w:id="968"/>
      <w:r>
        <w:rPr>
          <w:rFonts w:ascii="Times New Roman;Times;Serif" w:hAnsi="Times New Roman;Times;Serif"/>
          <w:b w:val="false"/>
          <w:i w:val="false"/>
          <w:caps w:val="false"/>
          <w:smallCaps w:val="false"/>
          <w:sz w:val="20"/>
        </w:rPr>
        <w:t>12% per annum. On August 11, 2025, the Company exercised its conversion option under the February 1800 Diagonal Note. On the conversion date, the February 1800 Diagonal Note had a fair value of $</w:t>
      </w:r>
      <w:bookmarkStart w:id="969" w:name="xdx_90A_eus-gaap--DebtInstrumentFairValu"/>
      <w:bookmarkEnd w:id="969"/>
      <w:r>
        <w:rPr>
          <w:rFonts w:ascii="Times New Roman;Times;Serif" w:hAnsi="Times New Roman;Times;Serif"/>
          <w:b w:val="false"/>
          <w:i w:val="false"/>
          <w:caps w:val="false"/>
          <w:smallCaps w:val="false"/>
          <w:sz w:val="20"/>
        </w:rPr>
        <w:t xml:space="preserve">81 and converted into </w:t>
      </w:r>
      <w:bookmarkStart w:id="970" w:name="xdx_901_eus-gaap--ConversionOfStockShare"/>
      <w:bookmarkEnd w:id="970"/>
      <w:r>
        <w:rPr>
          <w:rFonts w:ascii="Times New Roman;Times;Serif" w:hAnsi="Times New Roman;Times;Serif"/>
          <w:b w:val="false"/>
          <w:i w:val="false"/>
          <w:caps w:val="false"/>
          <w:smallCaps w:val="false"/>
          <w:sz w:val="20"/>
        </w:rPr>
        <w:t>1,639 shares of the Company’s Class A Common Stock in satisfaction of $</w:t>
      </w:r>
      <w:bookmarkStart w:id="971" w:name="xdx_90B_eus-gaap--ConversionOfStockAmoun"/>
      <w:bookmarkEnd w:id="971"/>
      <w:r>
        <w:rPr>
          <w:rFonts w:ascii="Times New Roman;Times;Serif" w:hAnsi="Times New Roman;Times;Serif"/>
          <w:b w:val="false"/>
          <w:i w:val="false"/>
          <w:caps w:val="false"/>
          <w:smallCaps w:val="false"/>
          <w:sz w:val="20"/>
        </w:rPr>
        <w:t>70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w:t>
      </w:r>
      <w:bookmarkStart w:id="972" w:name="xdx_901_eus-gaap--DebtInstrumentFaceAmou"/>
      <w:bookmarkEnd w:id="972"/>
      <w:r>
        <w:rPr>
          <w:rFonts w:ascii="Times New Roman;Times;Serif" w:hAnsi="Times New Roman;Times;Serif"/>
          <w:b w:val="false"/>
          <w:i w:val="false"/>
          <w:caps w:val="false"/>
          <w:smallCaps w:val="false"/>
          <w:sz w:val="20"/>
        </w:rPr>
        <w:t>230 and received net proceeds of $</w:t>
      </w:r>
      <w:bookmarkStart w:id="973" w:name="xdx_905_eus-gaap--ProceedsFromIssuanceOf"/>
      <w:bookmarkEnd w:id="973"/>
      <w:r>
        <w:rPr>
          <w:rFonts w:ascii="Times New Roman;Times;Serif" w:hAnsi="Times New Roman;Times;Serif"/>
          <w:b w:val="false"/>
          <w:i w:val="false"/>
          <w:caps w:val="false"/>
          <w:smallCaps w:val="false"/>
          <w:sz w:val="20"/>
        </w:rPr>
        <w:t>192, after an original discount of $</w:t>
      </w:r>
      <w:bookmarkStart w:id="974" w:name="xdx_90A_eus-gaap--DebtInstrumentUnamorti"/>
      <w:bookmarkEnd w:id="974"/>
      <w:r>
        <w:rPr>
          <w:rFonts w:ascii="Times New Roman;Times;Serif" w:hAnsi="Times New Roman;Times;Serif"/>
          <w:b w:val="false"/>
          <w:i w:val="false"/>
          <w:caps w:val="false"/>
          <w:smallCaps w:val="false"/>
          <w:sz w:val="20"/>
        </w:rPr>
        <w:t>30 and issuance costs of $</w:t>
      </w:r>
      <w:bookmarkStart w:id="975" w:name="xdx_903_ecustom--DebtInstrumentUnamortiz"/>
      <w:bookmarkEnd w:id="975"/>
      <w:r>
        <w:rPr>
          <w:rFonts w:ascii="Times New Roman;Times;Serif" w:hAnsi="Times New Roman;Times;Serif"/>
          <w:b w:val="false"/>
          <w:i w:val="false"/>
          <w:caps w:val="false"/>
          <w:smallCaps w:val="false"/>
          <w:sz w:val="20"/>
        </w:rPr>
        <w:t xml:space="preserve">8 for due diligence and legal fees. The April 1800 Diagonal Note has a maturity date of </w:t>
      </w:r>
      <w:bookmarkStart w:id="976" w:name="xdx_906_eus-gaap--DebtInstrumentMaturity"/>
      <w:bookmarkEnd w:id="976"/>
      <w:r>
        <w:rPr>
          <w:rFonts w:ascii="Times New Roman;Times;Serif" w:hAnsi="Times New Roman;Times;Serif"/>
          <w:b w:val="false"/>
          <w:i w:val="false"/>
          <w:caps w:val="false"/>
          <w:smallCaps w:val="false"/>
          <w:sz w:val="20"/>
        </w:rPr>
        <w:t xml:space="preserve">February 15, 2026 and bears interest at </w:t>
      </w:r>
      <w:bookmarkStart w:id="977" w:name="xdx_90A_eus-gaap--DebtInstrumentInterest"/>
      <w:bookmarkEnd w:id="977"/>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21, 2025 and October 27, 2025, the Lender exercised its conversion option multiple times under the April 1800 Diagonal Note and received an aggregate of </w:t>
      </w:r>
      <w:bookmarkStart w:id="978" w:name="xdx_90D_eus-gaap--StockIssuedDuringPerio"/>
      <w:bookmarkEnd w:id="978"/>
      <w:r>
        <w:rPr>
          <w:rFonts w:ascii="Times New Roman;Times;Serif" w:hAnsi="Times New Roman;Times;Serif"/>
          <w:b w:val="false"/>
          <w:i w:val="false"/>
          <w:caps w:val="false"/>
          <w:smallCaps w:val="false"/>
          <w:sz w:val="20"/>
        </w:rPr>
        <w:t>7,015 shares of Class A Common Stock at conversion prices per share ranging from $</w:t>
      </w:r>
      <w:bookmarkStart w:id="979" w:name="xdx_902_eus-gaap--SharesIssuedPricePerSh"/>
      <w:bookmarkEnd w:id="979"/>
      <w:r>
        <w:rPr>
          <w:rFonts w:ascii="Times New Roman;Times;Serif" w:hAnsi="Times New Roman;Times;Serif"/>
          <w:b w:val="false"/>
          <w:i w:val="false"/>
          <w:caps w:val="false"/>
          <w:smallCaps w:val="false"/>
          <w:sz w:val="20"/>
        </w:rPr>
        <w:t>33.80 to $</w:t>
      </w:r>
      <w:bookmarkStart w:id="980" w:name="xdx_90D_eus-gaap--SharesIssuedPricePerSh"/>
      <w:bookmarkEnd w:id="980"/>
      <w:r>
        <w:rPr>
          <w:rFonts w:ascii="Times New Roman;Times;Serif" w:hAnsi="Times New Roman;Times;Serif"/>
          <w:b w:val="false"/>
          <w:i w:val="false"/>
          <w:caps w:val="false"/>
          <w:smallCaps w:val="false"/>
          <w:sz w:val="20"/>
        </w:rPr>
        <w:t>41.20 in full satisfaction of the Company’s remaining obligations under the April 1800 Diagonal Note totaling $</w:t>
      </w:r>
      <w:bookmarkStart w:id="981" w:name="xdx_905_eus-gaap--ConversionOfStockAmoun"/>
      <w:bookmarkEnd w:id="981"/>
      <w:r>
        <w:rPr>
          <w:rFonts w:ascii="Times New Roman;Times;Serif" w:hAnsi="Times New Roman;Times;Serif"/>
          <w:b w:val="false"/>
          <w:i w:val="false"/>
          <w:caps w:val="false"/>
          <w:smallCaps w:val="false"/>
          <w:sz w:val="20"/>
        </w:rPr>
        <w:t>265.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w:t>
      </w:r>
      <w:bookmarkStart w:id="982" w:name="xdx_90E_eus-gaap--DebtInstrumentFaceAmou"/>
      <w:bookmarkEnd w:id="982"/>
      <w:r>
        <w:rPr>
          <w:rFonts w:ascii="Times New Roman;Times;Serif" w:hAnsi="Times New Roman;Times;Serif"/>
          <w:b w:val="false"/>
          <w:i w:val="false"/>
          <w:caps w:val="false"/>
          <w:smallCaps w:val="false"/>
          <w:sz w:val="20"/>
        </w:rPr>
        <w:t>163 and received net proceeds of $</w:t>
      </w:r>
      <w:bookmarkStart w:id="983" w:name="xdx_900_eus-gaap--ProceedsFromIssuanceOf"/>
      <w:bookmarkEnd w:id="983"/>
      <w:r>
        <w:rPr>
          <w:rFonts w:ascii="Times New Roman;Times;Serif" w:hAnsi="Times New Roman;Times;Serif"/>
          <w:b w:val="false"/>
          <w:i w:val="false"/>
          <w:caps w:val="false"/>
          <w:smallCaps w:val="false"/>
          <w:sz w:val="20"/>
        </w:rPr>
        <w:t>135, after an original discount of $</w:t>
      </w:r>
      <w:bookmarkStart w:id="984" w:name="xdx_90C_eus-gaap--DebtInstrumentUnamorti"/>
      <w:bookmarkEnd w:id="984"/>
      <w:r>
        <w:rPr>
          <w:rFonts w:ascii="Times New Roman;Times;Serif" w:hAnsi="Times New Roman;Times;Serif"/>
          <w:b w:val="false"/>
          <w:i w:val="false"/>
          <w:caps w:val="false"/>
          <w:smallCaps w:val="false"/>
          <w:sz w:val="20"/>
        </w:rPr>
        <w:t>21 and issuance costs of $</w:t>
      </w:r>
      <w:bookmarkStart w:id="985" w:name="xdx_902_ecustom--DebtInstrumentUnamortiz"/>
      <w:bookmarkEnd w:id="985"/>
      <w:r>
        <w:rPr>
          <w:rFonts w:ascii="Times New Roman;Times;Serif" w:hAnsi="Times New Roman;Times;Serif"/>
          <w:b w:val="false"/>
          <w:i w:val="false"/>
          <w:caps w:val="false"/>
          <w:smallCaps w:val="false"/>
          <w:sz w:val="20"/>
        </w:rPr>
        <w:t xml:space="preserve">7 for due diligence and legal fees. The May 1800 Diagonal Note has a maturity date of </w:t>
      </w:r>
      <w:bookmarkStart w:id="986" w:name="xdx_900_eus-gaap--DebtInstrumentMaturity"/>
      <w:bookmarkEnd w:id="986"/>
      <w:r>
        <w:rPr>
          <w:rFonts w:ascii="Times New Roman;Times;Serif" w:hAnsi="Times New Roman;Times;Serif"/>
          <w:b w:val="false"/>
          <w:i w:val="false"/>
          <w:caps w:val="false"/>
          <w:smallCaps w:val="false"/>
          <w:sz w:val="20"/>
        </w:rPr>
        <w:t xml:space="preserve">February 15, 2026 and bears interest at </w:t>
      </w:r>
      <w:bookmarkStart w:id="987" w:name="xdx_90C_eus-gaap--DebtInstrumentInterest"/>
      <w:bookmarkEnd w:id="987"/>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w:t>
      </w:r>
      <w:bookmarkStart w:id="988" w:name="xdx_90B_eus-gaap--DebtInstrumentFaceAmou"/>
      <w:bookmarkEnd w:id="988"/>
      <w:r>
        <w:rPr>
          <w:rFonts w:ascii="Times New Roman;Times;Serif" w:hAnsi="Times New Roman;Times;Serif"/>
          <w:b w:val="false"/>
          <w:i w:val="false"/>
          <w:caps w:val="false"/>
          <w:smallCaps w:val="false"/>
          <w:sz w:val="20"/>
        </w:rPr>
        <w:t>296 and received net proceeds of $</w:t>
      </w:r>
      <w:bookmarkStart w:id="989" w:name="xdx_90D_eus-gaap--ProceedsFromIssuanceOf"/>
      <w:bookmarkEnd w:id="989"/>
      <w:r>
        <w:rPr>
          <w:rFonts w:ascii="Times New Roman;Times;Serif" w:hAnsi="Times New Roman;Times;Serif"/>
          <w:b w:val="false"/>
          <w:i w:val="false"/>
          <w:caps w:val="false"/>
          <w:smallCaps w:val="false"/>
          <w:sz w:val="20"/>
        </w:rPr>
        <w:t>250, after an original discount of $</w:t>
      </w:r>
      <w:bookmarkStart w:id="990" w:name="xdx_906_eus-gaap--DebtInstrumentUnamorti"/>
      <w:bookmarkEnd w:id="990"/>
      <w:r>
        <w:rPr>
          <w:rFonts w:ascii="Times New Roman;Times;Serif" w:hAnsi="Times New Roman;Times;Serif"/>
          <w:b w:val="false"/>
          <w:i w:val="false"/>
          <w:caps w:val="false"/>
          <w:smallCaps w:val="false"/>
          <w:sz w:val="20"/>
        </w:rPr>
        <w:t>39 and issuance costs of $</w:t>
      </w:r>
      <w:bookmarkStart w:id="991" w:name="xdx_901_ecustom--DebtInstrumentUnamortiz"/>
      <w:bookmarkEnd w:id="991"/>
      <w:r>
        <w:rPr>
          <w:rFonts w:ascii="Times New Roman;Times;Serif" w:hAnsi="Times New Roman;Times;Serif"/>
          <w:b w:val="false"/>
          <w:i w:val="false"/>
          <w:caps w:val="false"/>
          <w:smallCaps w:val="false"/>
          <w:sz w:val="20"/>
        </w:rPr>
        <w:t xml:space="preserve">7 for due diligence and legal fees. The July 1800 Diagonal Note has a maturity date of </w:t>
      </w:r>
      <w:bookmarkStart w:id="992" w:name="xdx_904_eus-gaap--DebtInstrumentMaturity"/>
      <w:bookmarkEnd w:id="992"/>
      <w:r>
        <w:rPr>
          <w:rFonts w:ascii="Times New Roman;Times;Serif" w:hAnsi="Times New Roman;Times;Serif"/>
          <w:b w:val="false"/>
          <w:i w:val="false"/>
          <w:caps w:val="false"/>
          <w:smallCaps w:val="false"/>
          <w:sz w:val="20"/>
        </w:rPr>
        <w:t xml:space="preserve">May 30, 2026 and bears interest at </w:t>
      </w:r>
      <w:bookmarkStart w:id="993" w:name="xdx_902_eus-gaap--DebtInstrumentInterest"/>
      <w:bookmarkEnd w:id="993"/>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26, 2026 and January 27, 2026, the Lender exercised its conversion option multiple times under the July 1800 Diagonal Note and received an aggregate of </w:t>
      </w:r>
      <w:bookmarkStart w:id="994" w:name="xdx_905_eus-gaap--StockIssuedDuringPerio"/>
      <w:bookmarkEnd w:id="994"/>
      <w:r>
        <w:rPr>
          <w:rFonts w:ascii="Times New Roman;Times;Serif" w:hAnsi="Times New Roman;Times;Serif"/>
          <w:b w:val="false"/>
          <w:i w:val="false"/>
          <w:caps w:val="false"/>
          <w:smallCaps w:val="false"/>
          <w:sz w:val="20"/>
        </w:rPr>
        <w:t>20,047 shares of Class A Common Stock at conversion prices per share ranging from $</w:t>
      </w:r>
      <w:bookmarkStart w:id="995" w:name="xdx_908_eus-gaap--SharesIssuedPricePerSh"/>
      <w:bookmarkEnd w:id="995"/>
      <w:r>
        <w:rPr>
          <w:rFonts w:ascii="Times New Roman;Times;Serif" w:hAnsi="Times New Roman;Times;Serif"/>
          <w:b w:val="false"/>
          <w:i w:val="false"/>
          <w:caps w:val="false"/>
          <w:smallCaps w:val="false"/>
          <w:sz w:val="20"/>
        </w:rPr>
        <w:t>16.50 to $</w:t>
      </w:r>
      <w:bookmarkStart w:id="996" w:name="xdx_90D_eus-gaap--SharesIssuedPricePerSh"/>
      <w:bookmarkEnd w:id="996"/>
      <w:r>
        <w:rPr>
          <w:rFonts w:ascii="Times New Roman;Times;Serif" w:hAnsi="Times New Roman;Times;Serif"/>
          <w:b w:val="false"/>
          <w:i w:val="false"/>
          <w:caps w:val="false"/>
          <w:smallCaps w:val="false"/>
          <w:sz w:val="20"/>
        </w:rPr>
        <w:t>18.00 in full satisfaction of the Company’s remaining obligations under the July 1800 Diagonal Note totaling $</w:t>
      </w:r>
      <w:bookmarkStart w:id="997" w:name="xdx_907_eus-gaap--ConversionOfStockAmoun"/>
      <w:bookmarkEnd w:id="997"/>
      <w:r>
        <w:rPr>
          <w:rFonts w:ascii="Times New Roman;Times;Serif" w:hAnsi="Times New Roman;Times;Serif"/>
          <w:b w:val="false"/>
          <w:i w:val="false"/>
          <w:caps w:val="false"/>
          <w:smallCaps w:val="false"/>
          <w:sz w:val="20"/>
        </w:rPr>
        <w:t>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w:t>
      </w:r>
      <w:bookmarkStart w:id="998" w:name="xdx_906_eus-gaap--DebtInstrumentFaceAmou"/>
      <w:bookmarkEnd w:id="998"/>
      <w:r>
        <w:rPr>
          <w:rFonts w:ascii="Times New Roman;Times;Serif" w:hAnsi="Times New Roman;Times;Serif"/>
          <w:b w:val="false"/>
          <w:i w:val="false"/>
          <w:caps w:val="false"/>
          <w:smallCaps w:val="false"/>
          <w:sz w:val="20"/>
        </w:rPr>
        <w:t>152 and received net proceeds of $</w:t>
      </w:r>
      <w:bookmarkStart w:id="999" w:name="xdx_901_eus-gaap--ProceedsFromIssuanceOf"/>
      <w:bookmarkEnd w:id="999"/>
      <w:r>
        <w:rPr>
          <w:rFonts w:ascii="Times New Roman;Times;Serif" w:hAnsi="Times New Roman;Times;Serif"/>
          <w:b w:val="false"/>
          <w:i w:val="false"/>
          <w:caps w:val="false"/>
          <w:smallCaps w:val="false"/>
          <w:sz w:val="20"/>
        </w:rPr>
        <w:t>125, after an original discount of $</w:t>
      </w:r>
      <w:bookmarkStart w:id="1000" w:name="xdx_901_eus-gaap--DebtInstrumentUnamorti"/>
      <w:bookmarkEnd w:id="1000"/>
      <w:r>
        <w:rPr>
          <w:rFonts w:ascii="Times New Roman;Times;Serif" w:hAnsi="Times New Roman;Times;Serif"/>
          <w:b w:val="false"/>
          <w:i w:val="false"/>
          <w:caps w:val="false"/>
          <w:smallCaps w:val="false"/>
          <w:sz w:val="20"/>
        </w:rPr>
        <w:t>20 and issuance costs of $</w:t>
      </w:r>
      <w:bookmarkStart w:id="1001" w:name="xdx_908_ecustom--DebtInstrumentUnamortiz"/>
      <w:bookmarkEnd w:id="1001"/>
      <w:r>
        <w:rPr>
          <w:rFonts w:ascii="Times New Roman;Times;Serif" w:hAnsi="Times New Roman;Times;Serif"/>
          <w:b w:val="false"/>
          <w:i w:val="false"/>
          <w:caps w:val="false"/>
          <w:smallCaps w:val="false"/>
          <w:sz w:val="20"/>
        </w:rPr>
        <w:t xml:space="preserve">7 for due diligence and legal fees. The September 2025 1800 Diagonal Note has a maturity date of </w:t>
      </w:r>
      <w:bookmarkStart w:id="1002" w:name="xdx_90E_eus-gaap--DebtInstrumentMaturity"/>
      <w:bookmarkEnd w:id="1002"/>
      <w:r>
        <w:rPr>
          <w:rFonts w:ascii="Times New Roman;Times;Serif" w:hAnsi="Times New Roman;Times;Serif"/>
          <w:b w:val="false"/>
          <w:i w:val="false"/>
          <w:caps w:val="false"/>
          <w:smallCaps w:val="false"/>
          <w:sz w:val="20"/>
        </w:rPr>
        <w:t xml:space="preserve">June 15, 2026 and bears interest at </w:t>
      </w:r>
      <w:bookmarkStart w:id="1003" w:name="xdx_90D_eus-gaap--DebtInstrumentInterest"/>
      <w:bookmarkEnd w:id="1003"/>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2026, the Lender exercised its conversion option under the July 1800 Diagonal Note and received </w:t>
      </w:r>
      <w:bookmarkStart w:id="1004" w:name="xdx_90E_eus-gaap--StockIssuedDuringPerio"/>
      <w:bookmarkEnd w:id="1004"/>
      <w:r>
        <w:rPr>
          <w:rFonts w:ascii="Times New Roman;Times;Serif" w:hAnsi="Times New Roman;Times;Serif"/>
          <w:b w:val="false"/>
          <w:i w:val="false"/>
          <w:caps w:val="false"/>
          <w:smallCaps w:val="false"/>
          <w:sz w:val="20"/>
        </w:rPr>
        <w:t>3,766 shares of Class A Common Stock at a conversion price per share of $</w:t>
      </w:r>
      <w:bookmarkStart w:id="1005" w:name="xdx_905_eus-gaap--SharesIssuedPricePerSh"/>
      <w:bookmarkEnd w:id="1005"/>
      <w:r>
        <w:rPr>
          <w:rFonts w:ascii="Times New Roman;Times;Serif" w:hAnsi="Times New Roman;Times;Serif"/>
          <w:b w:val="false"/>
          <w:i w:val="false"/>
          <w:caps w:val="false"/>
          <w:smallCaps w:val="false"/>
          <w:sz w:val="20"/>
        </w:rPr>
        <w:t>14.745 in full satisfaction of the Company’s remaining obligations under the July 1800 Diagonal Note totaling $</w:t>
      </w:r>
      <w:bookmarkStart w:id="1006" w:name="xdx_905_eus-gaap--ConversionOfStockAmoun"/>
      <w:bookmarkEnd w:id="1006"/>
      <w:r>
        <w:rPr>
          <w:rFonts w:ascii="Times New Roman;Times;Serif" w:hAnsi="Times New Roman;Times;Serif"/>
          <w:b w:val="false"/>
          <w:i w:val="false"/>
          <w:caps w:val="false"/>
          <w:smallCaps w:val="false"/>
          <w:sz w:val="2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w:t>
      </w:r>
      <w:bookmarkStart w:id="1007" w:name="xdx_90F_eus-gaap--DebtInstrumentFaceAmou"/>
      <w:bookmarkEnd w:id="1007"/>
      <w:r>
        <w:rPr>
          <w:rFonts w:ascii="Times New Roman;Times;Serif" w:hAnsi="Times New Roman;Times;Serif"/>
          <w:b w:val="false"/>
          <w:i w:val="false"/>
          <w:caps w:val="false"/>
          <w:smallCaps w:val="false"/>
          <w:sz w:val="20"/>
        </w:rPr>
        <w:t>238 and received net proceeds of $</w:t>
      </w:r>
      <w:bookmarkStart w:id="1008" w:name="xdx_90E_eus-gaap--ProceedsFromIssuanceOf"/>
      <w:bookmarkEnd w:id="1008"/>
      <w:r>
        <w:rPr>
          <w:rFonts w:ascii="Times New Roman;Times;Serif" w:hAnsi="Times New Roman;Times;Serif"/>
          <w:b w:val="false"/>
          <w:i w:val="false"/>
          <w:caps w:val="false"/>
          <w:smallCaps w:val="false"/>
          <w:sz w:val="20"/>
        </w:rPr>
        <w:t>200, after an original discount of $</w:t>
      </w:r>
      <w:bookmarkStart w:id="1009" w:name="xdx_90E_eus-gaap--DebtInstrumentUnamorti"/>
      <w:bookmarkEnd w:id="1009"/>
      <w:r>
        <w:rPr>
          <w:rFonts w:ascii="Times New Roman;Times;Serif" w:hAnsi="Times New Roman;Times;Serif"/>
          <w:b w:val="false"/>
          <w:i w:val="false"/>
          <w:caps w:val="false"/>
          <w:smallCaps w:val="false"/>
          <w:sz w:val="20"/>
        </w:rPr>
        <w:t>31 and issuance costs of $</w:t>
      </w:r>
      <w:bookmarkStart w:id="1010" w:name="xdx_901_ecustom--DebtInstrumentUnamortiz"/>
      <w:bookmarkEnd w:id="1010"/>
      <w:r>
        <w:rPr>
          <w:rFonts w:ascii="Times New Roman;Times;Serif" w:hAnsi="Times New Roman;Times;Serif"/>
          <w:b w:val="false"/>
          <w:i w:val="false"/>
          <w:caps w:val="false"/>
          <w:smallCaps w:val="false"/>
          <w:sz w:val="20"/>
        </w:rPr>
        <w:t xml:space="preserve">7 for due diligence and legal fees. The November 1800 Diagonal Note has a maturity date of </w:t>
      </w:r>
      <w:bookmarkStart w:id="1011" w:name="xdx_902_eus-gaap--DebtInstrumentMaturity"/>
      <w:bookmarkEnd w:id="1011"/>
      <w:r>
        <w:rPr>
          <w:rFonts w:ascii="Times New Roman;Times;Serif" w:hAnsi="Times New Roman;Times;Serif"/>
          <w:b w:val="false"/>
          <w:i w:val="false"/>
          <w:caps w:val="false"/>
          <w:smallCaps w:val="false"/>
          <w:sz w:val="20"/>
        </w:rPr>
        <w:t xml:space="preserve">July 30, 2026 and bears interest at </w:t>
      </w:r>
      <w:bookmarkStart w:id="1012" w:name="xdx_907_eus-gaap--DebtInstrumentInterest"/>
      <w:bookmarkEnd w:id="1012"/>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tenth promissory note (the “December 2025 1800 Diagonal Note”) for an aggregate principal amount of $</w:t>
      </w:r>
      <w:bookmarkStart w:id="1013" w:name="xdx_90A_eus-gaap--DebtInstrumentFaceAmou"/>
      <w:bookmarkEnd w:id="1013"/>
      <w:r>
        <w:rPr>
          <w:rFonts w:ascii="Times New Roman;Times;Serif" w:hAnsi="Times New Roman;Times;Serif"/>
          <w:b w:val="false"/>
          <w:i w:val="false"/>
          <w:caps w:val="false"/>
          <w:smallCaps w:val="false"/>
          <w:sz w:val="20"/>
        </w:rPr>
        <w:t>94 and received net proceeds of $</w:t>
      </w:r>
      <w:bookmarkStart w:id="1014" w:name="xdx_90B_eus-gaap--ProceedsFromIssuanceOf"/>
      <w:bookmarkEnd w:id="1014"/>
      <w:r>
        <w:rPr>
          <w:rFonts w:ascii="Times New Roman;Times;Serif" w:hAnsi="Times New Roman;Times;Serif"/>
          <w:b w:val="false"/>
          <w:i w:val="false"/>
          <w:caps w:val="false"/>
          <w:smallCaps w:val="false"/>
          <w:sz w:val="20"/>
        </w:rPr>
        <w:t>75, after an original discount of $</w:t>
      </w:r>
      <w:bookmarkStart w:id="1015" w:name="xdx_90D_eus-gaap--DebtInstrumentUnamorti"/>
      <w:bookmarkEnd w:id="1015"/>
      <w:r>
        <w:rPr>
          <w:rFonts w:ascii="Times New Roman;Times;Serif" w:hAnsi="Times New Roman;Times;Serif"/>
          <w:b w:val="false"/>
          <w:i w:val="false"/>
          <w:caps w:val="false"/>
          <w:smallCaps w:val="false"/>
          <w:sz w:val="20"/>
        </w:rPr>
        <w:t>12 and issuance costs of $</w:t>
      </w:r>
      <w:bookmarkStart w:id="1016" w:name="xdx_905_ecustom--DebtInstrumentUnamortiz"/>
      <w:bookmarkEnd w:id="1016"/>
      <w:r>
        <w:rPr>
          <w:rFonts w:ascii="Times New Roman;Times;Serif" w:hAnsi="Times New Roman;Times;Serif"/>
          <w:b w:val="false"/>
          <w:i w:val="false"/>
          <w:caps w:val="false"/>
          <w:smallCaps w:val="false"/>
          <w:sz w:val="20"/>
        </w:rPr>
        <w:t xml:space="preserve">7 for due diligence and legal fees. The December 2025 1800 Diagonal Note has a maturity date of </w:t>
      </w:r>
      <w:bookmarkStart w:id="1017" w:name="xdx_90A_eus-gaap--DebtInstrumentMaturity"/>
      <w:bookmarkEnd w:id="1017"/>
      <w:r>
        <w:rPr>
          <w:rFonts w:ascii="Times New Roman;Times;Serif" w:hAnsi="Times New Roman;Times;Serif"/>
          <w:b w:val="false"/>
          <w:i w:val="false"/>
          <w:caps w:val="false"/>
          <w:smallCaps w:val="false"/>
          <w:sz w:val="20"/>
        </w:rPr>
        <w:t xml:space="preserve">August 30, 2026 and bears interest at </w:t>
      </w:r>
      <w:bookmarkStart w:id="1018" w:name="xdx_906_eus-gaap--DebtInstrumentInterest"/>
      <w:bookmarkEnd w:id="1018"/>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issued an eleventh promissory note (the “1800 Diagonal Note #11”) for an aggregate principal amount of $</w:t>
      </w:r>
      <w:bookmarkStart w:id="1019" w:name="xdx_908_eus-gaap--DebtInstrumentFaceAmou"/>
      <w:bookmarkEnd w:id="1019"/>
      <w:r>
        <w:rPr>
          <w:rFonts w:ascii="Times New Roman;Times;Serif" w:hAnsi="Times New Roman;Times;Serif"/>
          <w:b w:val="false"/>
          <w:i w:val="false"/>
          <w:caps w:val="false"/>
          <w:smallCaps w:val="false"/>
          <w:sz w:val="20"/>
        </w:rPr>
        <w:t>296 and received net proceeds of $</w:t>
      </w:r>
      <w:bookmarkStart w:id="1020" w:name="xdx_90D_eus-gaap--ProceedsFromIssuanceOf"/>
      <w:bookmarkEnd w:id="1020"/>
      <w:r>
        <w:rPr>
          <w:rFonts w:ascii="Times New Roman;Times;Serif" w:hAnsi="Times New Roman;Times;Serif"/>
          <w:b w:val="false"/>
          <w:i w:val="false"/>
          <w:caps w:val="false"/>
          <w:smallCaps w:val="false"/>
          <w:sz w:val="20"/>
        </w:rPr>
        <w:t>250, after an original discount of $</w:t>
      </w:r>
      <w:bookmarkStart w:id="1021" w:name="xdx_90F_eus-gaap--DebtInstrumentUnamorti"/>
      <w:bookmarkEnd w:id="1021"/>
      <w:r>
        <w:rPr>
          <w:rFonts w:ascii="Times New Roman;Times;Serif" w:hAnsi="Times New Roman;Times;Serif"/>
          <w:b w:val="false"/>
          <w:i w:val="false"/>
          <w:caps w:val="false"/>
          <w:smallCaps w:val="false"/>
          <w:sz w:val="20"/>
        </w:rPr>
        <w:t>39 and issuance costs of $</w:t>
      </w:r>
      <w:bookmarkStart w:id="1022" w:name="xdx_90E_ecustom--DebtInstrumentUnamortiz"/>
      <w:bookmarkEnd w:id="1022"/>
      <w:r>
        <w:rPr>
          <w:rFonts w:ascii="Times New Roman;Times;Serif" w:hAnsi="Times New Roman;Times;Serif"/>
          <w:b w:val="false"/>
          <w:i w:val="false"/>
          <w:caps w:val="false"/>
          <w:smallCaps w:val="false"/>
          <w:sz w:val="20"/>
        </w:rPr>
        <w:t xml:space="preserve">7 for due diligence and legal fees. The 1800 Diagonal Note #11 has a maturity date of </w:t>
      </w:r>
      <w:bookmarkStart w:id="1023" w:name="xdx_905_eus-gaap--DebtInstrumentMaturity"/>
      <w:bookmarkEnd w:id="1023"/>
      <w:r>
        <w:rPr>
          <w:rFonts w:ascii="Times New Roman;Times;Serif" w:hAnsi="Times New Roman;Times;Serif"/>
          <w:b w:val="false"/>
          <w:i w:val="false"/>
          <w:caps w:val="false"/>
          <w:smallCaps w:val="false"/>
          <w:sz w:val="20"/>
        </w:rPr>
        <w:t xml:space="preserve">October 15, 2026 and bears interest at </w:t>
      </w:r>
      <w:bookmarkStart w:id="1024" w:name="xdx_90C_eus-gaap--DebtInstrumentInterest"/>
      <w:bookmarkEnd w:id="1024"/>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issued a twelfth promissory note (the “1800 Diagonal Note #12”) for an aggregate principal amount of $</w:t>
      </w:r>
      <w:bookmarkStart w:id="1025" w:name="xdx_900_eus-gaap--DebtInstrumentFaceAmou"/>
      <w:bookmarkEnd w:id="1025"/>
      <w:r>
        <w:rPr>
          <w:rFonts w:ascii="Times New Roman;Times;Serif" w:hAnsi="Times New Roman;Times;Serif"/>
          <w:b w:val="false"/>
          <w:i w:val="false"/>
          <w:caps w:val="false"/>
          <w:smallCaps w:val="false"/>
          <w:sz w:val="20"/>
        </w:rPr>
        <w:t>181 and received net proceeds of $</w:t>
      </w:r>
      <w:bookmarkStart w:id="1026" w:name="xdx_905_eus-gaap--ProceedsFromIssuanceOf"/>
      <w:bookmarkEnd w:id="1026"/>
      <w:r>
        <w:rPr>
          <w:rFonts w:ascii="Times New Roman;Times;Serif" w:hAnsi="Times New Roman;Times;Serif"/>
          <w:b w:val="false"/>
          <w:i w:val="false"/>
          <w:caps w:val="false"/>
          <w:smallCaps w:val="false"/>
          <w:sz w:val="20"/>
        </w:rPr>
        <w:t>150, after an original discount of $</w:t>
      </w:r>
      <w:bookmarkStart w:id="1027" w:name="xdx_90D_eus-gaap--DebtInstrumentUnamorti"/>
      <w:bookmarkEnd w:id="1027"/>
      <w:r>
        <w:rPr>
          <w:rFonts w:ascii="Times New Roman;Times;Serif" w:hAnsi="Times New Roman;Times;Serif"/>
          <w:b w:val="false"/>
          <w:i w:val="false"/>
          <w:caps w:val="false"/>
          <w:smallCaps w:val="false"/>
          <w:sz w:val="20"/>
        </w:rPr>
        <w:t>24 and issuance costs of $</w:t>
      </w:r>
      <w:bookmarkStart w:id="1028" w:name="xdx_900_ecustom--DebtInstrumentUnamortiz"/>
      <w:bookmarkEnd w:id="1028"/>
      <w:r>
        <w:rPr>
          <w:rFonts w:ascii="Times New Roman;Times;Serif" w:hAnsi="Times New Roman;Times;Serif"/>
          <w:b w:val="false"/>
          <w:i w:val="false"/>
          <w:caps w:val="false"/>
          <w:smallCaps w:val="false"/>
          <w:sz w:val="20"/>
        </w:rPr>
        <w:t xml:space="preserve">7 for due diligence and legal fees. The 1800 Diagonal Note #12 has a maturity date of </w:t>
      </w:r>
      <w:bookmarkStart w:id="1029" w:name="xdx_90E_eus-gaap--DebtInstrumentMaturity"/>
      <w:bookmarkEnd w:id="1029"/>
      <w:r>
        <w:rPr>
          <w:rFonts w:ascii="Times New Roman;Times;Serif" w:hAnsi="Times New Roman;Times;Serif"/>
          <w:b w:val="false"/>
          <w:i w:val="false"/>
          <w:caps w:val="false"/>
          <w:smallCaps w:val="false"/>
          <w:sz w:val="20"/>
        </w:rPr>
        <w:t xml:space="preserve">December 15, 2026 and bears interest at </w:t>
      </w:r>
      <w:bookmarkStart w:id="1030" w:name="xdx_903_eus-gaap--DebtInstrumentInterest"/>
      <w:bookmarkEnd w:id="1030"/>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w:t>
      </w:r>
      <w:bookmarkStart w:id="1031" w:name="xdx_908_ecustom--PercentageOfCommonStock"/>
      <w:bookmarkEnd w:id="1031"/>
      <w:r>
        <w:rPr>
          <w:rFonts w:ascii="Times New Roman;Times;Serif" w:hAnsi="Times New Roman;Times;Serif"/>
          <w:b w:val="false"/>
          <w:i w:val="false"/>
          <w:caps w:val="false"/>
          <w:smallCaps w:val="false"/>
          <w:sz w:val="20"/>
        </w:rPr>
        <w:t xml:space="preserve">4.99% of the Company’s outstanding shares of Common Stock. </w:t>
      </w:r>
      <w:bookmarkStart w:id="1032" w:name="xdx_900_eus-gaap--DebtInstrumentConverti"/>
      <w:bookmarkEnd w:id="1032"/>
      <w:r>
        <w:rPr>
          <w:rFonts w:ascii="Times New Roman;Times;Serif" w:hAnsi="Times New Roman;Times;Serif"/>
          <w:b w:val="false"/>
          <w:i w:val="false"/>
          <w:caps w:val="false"/>
          <w:smallCaps w:val="false"/>
          <w:sz w:val="20"/>
        </w:rPr>
        <w:t xml:space="preserve">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w:t>
      </w:r>
      <w:bookmarkStart w:id="1033" w:name="xdx_90F_eus-gaap--DebtInstrumentConverti"/>
      <w:bookmarkEnd w:id="1033"/>
      <w:r>
        <w:rPr>
          <w:rFonts w:ascii="Times New Roman;Times;Serif" w:hAnsi="Times New Roman;Times;Serif"/>
          <w:b w:val="false"/>
          <w:i w:val="false"/>
          <w:caps w:val="false"/>
          <w:smallCaps w:val="false"/>
          <w:sz w:val="20"/>
        </w:rPr>
        <w:t>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w:t>
      </w:r>
      <w:bookmarkStart w:id="1034" w:name="xdx_907_eus-gaap--InterestExpense_pn3n3_"/>
      <w:bookmarkEnd w:id="1034"/>
      <w:r>
        <w:rPr>
          <w:rFonts w:ascii="Times New Roman;Times;Serif" w:hAnsi="Times New Roman;Times;Serif"/>
          <w:b w:val="false"/>
          <w:i w:val="false"/>
          <w:caps w:val="false"/>
          <w:smallCaps w:val="false"/>
          <w:sz w:val="20"/>
        </w:rPr>
        <w:t>115 and $</w:t>
      </w:r>
      <w:bookmarkStart w:id="1035" w:name="xdx_907_eus-gaap--InterestExpense_pn3n3_"/>
      <w:bookmarkEnd w:id="1035"/>
      <w:r>
        <w:rPr>
          <w:rFonts w:ascii="Times New Roman;Times;Serif" w:hAnsi="Times New Roman;Times;Serif"/>
          <w:b w:val="false"/>
          <w:i w:val="false"/>
          <w:caps w:val="false"/>
          <w:smallCaps w:val="false"/>
          <w:sz w:val="20"/>
        </w:rPr>
        <w:t>37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6" w:name="xdx_89E_eus-gaap--ScheduleOfDebtInstrume"/>
      <w:bookmarkEnd w:id="1036"/>
      <w:r>
        <w:rPr>
          <w:rFonts w:ascii="Times New Roman;Times;Serif" w:hAnsi="Times New Roman;Times;Serif"/>
          <w:b w:val="false"/>
          <w:i w:val="false"/>
          <w:caps w:val="false"/>
          <w:smallCaps w:val="false"/>
          <w:sz w:val="20"/>
        </w:rPr>
        <w:t>The following table presents the 1800 Diagonal Notes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037" w:name="xdx_8BF_zEajLi0VxpAe"/>
      <w:bookmarkEnd w:id="1037"/>
      <w:r>
        <w:rPr>
          <w:rFonts w:ascii="Times New Roman;Times;Serif" w:hAnsi="Times New Roman;Times;Serif"/>
          <w:b w:val="false"/>
          <w:i w:val="false"/>
          <w:caps w:val="false"/>
          <w:smallCaps w:val="false"/>
          <w:sz w:val="20"/>
        </w:rPr>
        <w:t>Summary of Notes</w:t>
      </w:r>
    </w:p>
    <w:tbl>
      <w:tblPr>
        <w:tblW w:w="5669" w:type="dxa"/>
        <w:jc w:val="left"/>
        <w:tblInd w:w="0" w:type="dxa"/>
        <w:tblLayout w:type="fixed"/>
        <w:tblCellMar>
          <w:top w:w="0" w:type="dxa"/>
          <w:left w:w="0" w:type="dxa"/>
          <w:bottom w:w="0" w:type="dxa"/>
          <w:right w:w="0" w:type="dxa"/>
        </w:tblCellMar>
      </w:tblPr>
      <w:tblGrid>
        <w:gridCol w:w="4250"/>
        <w:gridCol w:w="60"/>
        <w:gridCol w:w="303"/>
        <w:gridCol w:w="961"/>
        <w:gridCol w:w="95"/>
      </w:tblGrid>
      <w:tr>
        <w:trPr/>
        <w:tc>
          <w:tcPr>
            <w:tcW w:w="42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38" w:name="xdx_49E_20260101__20260331__us-gaap--Lon"/>
            <w:bookmarkEnd w:id="1038"/>
          </w:p>
        </w:tc>
        <w:tc>
          <w:tcPr>
            <w:tcW w:w="12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bookmarkStart w:id="1039" w:name="xdx_40B_eus-gaap--NotesPayable_iS_z2d50a"/>
            <w:bookmarkEnd w:id="1039"/>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top w:val="single" w:sz="8" w:space="0" w:color="000000"/>
            </w:tcBorders>
            <w:shd w:fill="CFF0FC"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40" w:name="xdx_405_ecustom--IssuanceOfLongTermDebt_"/>
            <w:bookmarkEnd w:id="1040"/>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1" w:name="xdx_404_ecustom--GainsLossesOnDebtIssuan"/>
            <w:bookmarkEnd w:id="1041"/>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issuance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42" w:name="xdx_40D_eus-gaap--RepaymentsOfLongTermDe"/>
            <w:bookmarkEnd w:id="1042"/>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43" w:name="xdx_400_ecustom--ChangeInFairValueOfLong"/>
            <w:bookmarkEnd w:id="1043"/>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44" w:name="xdx_404_ecustom--ConversionsOfLongTermDe"/>
            <w:bookmarkEnd w:id="1044"/>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45" w:name="xdx_40E_eus-gaap--NotesPayable_iE_zIg18n"/>
            <w:bookmarkEnd w:id="1045"/>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95" w:type="dxa"/>
            <w:tcBorders>
              <w:bottom w:val="double" w:sz="6"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6" w:name="xdx_401_eus-gaap--LongTermNotesPayable_i"/>
            <w:bookmarkEnd w:id="1046"/>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principal 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47" w:name="xdx_40D_ecustom--InterestPayableOnLongTe"/>
            <w:bookmarkEnd w:id="1047"/>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as of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048" w:name="xdx_8A5_zgvXLvEaXu7f"/>
      <w:bookmarkEnd w:id="104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w:t>
      </w:r>
      <w:bookmarkStart w:id="1049" w:name="xdx_90D_eus-gaap--DebtInstrumentFaceAmou"/>
      <w:bookmarkEnd w:id="1049"/>
      <w:r>
        <w:rPr>
          <w:rFonts w:ascii="Times New Roman;Times;Serif" w:hAnsi="Times New Roman;Times;Serif"/>
          <w:b w:val="false"/>
          <w:i w:val="false"/>
          <w:caps w:val="false"/>
          <w:smallCaps w:val="false"/>
          <w:sz w:val="20"/>
        </w:rPr>
        <w:t>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w:t>
      </w:r>
      <w:bookmarkStart w:id="1050" w:name="xdx_902_ecustom--WarrantsPurchased_iI_pi"/>
      <w:bookmarkEnd w:id="1050"/>
      <w:r>
        <w:rPr>
          <w:rFonts w:ascii="Times New Roman;Times;Serif" w:hAnsi="Times New Roman;Times;Serif"/>
          <w:b w:val="false"/>
          <w:i w:val="false"/>
          <w:caps w:val="false"/>
          <w:smallCaps w:val="false"/>
          <w:sz w:val="20"/>
        </w:rPr>
        <w:t xml:space="preserve">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bookmarkStart w:id="1051" w:name="xdx_893_ecustom--ScheduleOfPrivatePlacem"/>
      <w:bookmarkEnd w:id="1051"/>
      <w:r>
        <w:rPr>
          <w:caps w:val="false"/>
          <w:smallCaps w:val="false"/>
        </w:rPr>
        <w:t> </w:t>
      </w:r>
      <w:bookmarkStart w:id="1052" w:name="xdx_8B4_znfeGcr9lBib"/>
      <w:bookmarkEnd w:id="1052"/>
      <w:r>
        <w:rPr>
          <w:rFonts w:ascii="Times New Roman;Times;Serif" w:hAnsi="Times New Roman;Times;Serif"/>
          <w:b w:val="false"/>
          <w:i w:val="false"/>
          <w:caps w:val="false"/>
          <w:smallCaps w:val="false"/>
          <w:sz w:val="20"/>
        </w:rPr>
        <w:t>Schedule of Private Placement Offerings</w:t>
      </w:r>
    </w:p>
    <w:tbl>
      <w:tblPr>
        <w:tblW w:w="11180" w:type="dxa"/>
        <w:jc w:val="left"/>
        <w:tblInd w:w="0" w:type="dxa"/>
        <w:tblLayout w:type="fixed"/>
        <w:tblCellMar>
          <w:top w:w="0" w:type="dxa"/>
          <w:left w:w="0" w:type="dxa"/>
          <w:bottom w:w="0" w:type="dxa"/>
          <w:right w:w="0" w:type="dxa"/>
        </w:tblCellMar>
      </w:tblPr>
      <w:tblGrid>
        <w:gridCol w:w="890"/>
        <w:gridCol w:w="60"/>
        <w:gridCol w:w="1025"/>
        <w:gridCol w:w="60"/>
        <w:gridCol w:w="1025"/>
        <w:gridCol w:w="60"/>
        <w:gridCol w:w="190"/>
        <w:gridCol w:w="760"/>
        <w:gridCol w:w="60"/>
        <w:gridCol w:w="60"/>
        <w:gridCol w:w="205"/>
        <w:gridCol w:w="820"/>
        <w:gridCol w:w="60"/>
        <w:gridCol w:w="60"/>
        <w:gridCol w:w="238"/>
        <w:gridCol w:w="952"/>
        <w:gridCol w:w="60"/>
        <w:gridCol w:w="60"/>
        <w:gridCol w:w="238"/>
        <w:gridCol w:w="952"/>
        <w:gridCol w:w="60"/>
        <w:gridCol w:w="60"/>
        <w:gridCol w:w="1025"/>
        <w:gridCol w:w="60"/>
        <w:gridCol w:w="83"/>
        <w:gridCol w:w="942"/>
        <w:gridCol w:w="60"/>
        <w:gridCol w:w="60"/>
        <w:gridCol w:w="184"/>
        <w:gridCol w:w="736"/>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Maturity Date of the Note</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bookmarkStart w:id="1053" w:name="xdx_905_eus-gaap--DebtInstrumentMaturity"/>
            <w:bookmarkEnd w:id="1053"/>
            <w:r>
              <w:rPr/>
              <w:t>June 30,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bookmarkStart w:id="1054" w:name="xdx_905_eus-gaap--DebtInstrumentFaceAmou"/>
            <w:bookmarkEnd w:id="1054"/>
            <w:r>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bookmarkStart w:id="1055" w:name="xdx_90B_eus-gaap--ProceedsFromIssuanceOf"/>
            <w:bookmarkEnd w:id="1055"/>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56" w:name="xdx_902_eus-gaap--DebtInstrumentConverti"/>
            <w:bookmarkEnd w:id="1056"/>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57" w:name="xdx_90E_ecustom--DebtInstrumentConversio"/>
            <w:bookmarkEnd w:id="1057"/>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bookmarkStart w:id="1058" w:name="xdx_90B_ecustom--WarrantsIssued_pid_c202"/>
            <w:bookmarkEnd w:id="1058"/>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bookmarkStart w:id="1059" w:name="xdx_906_eus-gaap--ClassOfWarrantOrRightE"/>
            <w:bookmarkEnd w:id="1059"/>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bookmarkStart w:id="1060" w:name="xdx_901_eus-gaap--DebtInstrumentMaturity"/>
            <w:bookmarkEnd w:id="1060"/>
            <w:r>
              <w:rPr/>
              <w:t>September 19, 2026</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bookmarkStart w:id="1061" w:name="xdx_908_eus-gaap--DebtInstrumentFaceAmou"/>
            <w:bookmarkEnd w:id="1061"/>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bookmarkStart w:id="1062" w:name="xdx_906_eus-gaap--ProceedsFromIssuanceOf"/>
            <w:bookmarkEnd w:id="1062"/>
            <w:r>
              <w:rPr/>
              <w:t>1,762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63" w:name="xdx_903_eus-gaap--DebtInstrumentConverti"/>
            <w:bookmarkEnd w:id="1063"/>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64" w:name="xdx_908_ecustom--DebtInstrumentConversio"/>
            <w:bookmarkEnd w:id="1064"/>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Warrant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bookmarkStart w:id="1065" w:name="xdx_90B_ecustom--WarrantsIssued_pid_c202"/>
            <w:bookmarkEnd w:id="1065"/>
            <w:r>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bookmarkStart w:id="1066" w:name="xdx_90E_eus-gaap--ClassOfWarrantOrRightE"/>
            <w:bookmarkEnd w:id="1066"/>
            <w:r>
              <w:rPr/>
              <w:t>50.00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bookmarkStart w:id="1067" w:name="xdx_903_eus-gaap--DebtInstrumentMaturity"/>
            <w:bookmarkEnd w:id="1067"/>
            <w:r>
              <w:rPr/>
              <w:t>October 8,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bookmarkStart w:id="1068" w:name="xdx_902_eus-gaap--DebtInstrumentFaceAmou"/>
            <w:bookmarkEnd w:id="1068"/>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bookmarkStart w:id="1069" w:name="xdx_908_eus-gaap--ProceedsFromIssuanceOf"/>
            <w:bookmarkEnd w:id="1069"/>
            <w:r>
              <w:rPr/>
              <w:t>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70" w:name="xdx_905_eus-gaap--DebtInstrumentConverti"/>
            <w:bookmarkEnd w:id="1070"/>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71" w:name="xdx_901_ecustom--DebtInstrumentConversio"/>
            <w:bookmarkEnd w:id="1071"/>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bookmarkStart w:id="1072" w:name="xdx_907_ecustom--WarrantsIssued_pid_c202"/>
            <w:bookmarkEnd w:id="1072"/>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bookmarkStart w:id="1073" w:name="xdx_90D_eus-gaap--ClassOfWarrantOrRightE"/>
            <w:bookmarkEnd w:id="1073"/>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February 13, 2026</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bookmarkStart w:id="1074" w:name="xdx_90A_eus-gaap--DebtInstrumentMaturity"/>
            <w:bookmarkEnd w:id="1074"/>
            <w:r>
              <w:rPr/>
              <w:t>February 13, 2027</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75" w:name="xdx_907_eus-gaap--DebtInstrumentFaceAmou"/>
            <w:bookmarkEnd w:id="1075"/>
            <w:r>
              <w:rPr/>
              <w:t>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76" w:name="xdx_90B_eus-gaap--ProceedsFromIssuanceOf"/>
            <w:bookmarkEnd w:id="1076"/>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77" w:name="xdx_90D_eus-gaap--DebtInstrumentConverti"/>
            <w:bookmarkEnd w:id="1077"/>
            <w:r>
              <w:rPr/>
              <w:t>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78" w:name="xdx_90D_ecustom--DebtInstrumentConversio"/>
            <w:bookmarkEnd w:id="1078"/>
            <w:r>
              <w:rPr/>
              <w:t>5.080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Warrant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79" w:name="xdx_900_ecustom--WarrantsIssued_pid_c202"/>
            <w:bookmarkEnd w:id="1079"/>
            <w:r>
              <w:rPr/>
              <w:t>21,021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bookmarkStart w:id="1080" w:name="xdx_90C_eus-gaap--ClassOfWarrantOrRightE"/>
            <w:bookmarkEnd w:id="1080"/>
            <w:r>
              <w:rPr/>
              <w:t>22.20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81" w:name="xdx_90F_eus-gaap--DebtInstrumentFaceAmou"/>
            <w:bookmarkEnd w:id="1081"/>
            <w:r>
              <w:rPr>
                <w:b/>
              </w:rPr>
              <w:t>9,233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82" w:name="xdx_90B_eus-gaap--ProceedsFromIssuanceOf"/>
            <w:bookmarkEnd w:id="1082"/>
            <w:r>
              <w:rPr>
                <w:b/>
              </w:rPr>
              <w:t>7,377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83" w:name="xdx_907_ecustom--WarrantsIssued_pid_c202"/>
            <w:bookmarkEnd w:id="1083"/>
            <w:r>
              <w:rPr>
                <w:b/>
              </w:rPr>
              <w:t>50,684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84" w:name="xdx_8A4_zO0jEWcYRnK4"/>
      <w:bookmarkEnd w:id="108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Notes were issued with an original issue discount of </w:t>
      </w:r>
      <w:bookmarkStart w:id="1085" w:name="xdx_900_ecustom--DebtInstrumentInterestR"/>
      <w:bookmarkEnd w:id="1085"/>
      <w:r>
        <w:rPr>
          <w:rFonts w:ascii="Times New Roman;Times;Serif" w:hAnsi="Times New Roman;Times;Serif"/>
          <w:b w:val="false"/>
          <w:i w:val="false"/>
          <w:caps w:val="false"/>
          <w:smallCaps w:val="false"/>
          <w:sz w:val="20"/>
        </w:rPr>
        <w:t xml:space="preserve">10.0% and accrue interest at a rate of </w:t>
      </w:r>
      <w:bookmarkStart w:id="1086" w:name="xdx_905_eus-gaap--DebtInstrumentInterest"/>
      <w:bookmarkEnd w:id="1086"/>
      <w:r>
        <w:rPr>
          <w:rFonts w:ascii="Times New Roman;Times;Serif" w:hAnsi="Times New Roman;Times;Serif"/>
          <w:b w:val="false"/>
          <w:i w:val="false"/>
          <w:caps w:val="false"/>
          <w:smallCaps w:val="false"/>
          <w:sz w:val="20"/>
        </w:rPr>
        <w:t>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w:t>
      </w:r>
      <w:bookmarkStart w:id="1087" w:name="xdx_900_ecustom--DebtInstrumentMaturityF"/>
      <w:bookmarkEnd w:id="1087"/>
      <w:r>
        <w:rPr>
          <w:rFonts w:ascii="Times New Roman;Times;Serif" w:hAnsi="Times New Roman;Times;Serif"/>
          <w:b w:val="false"/>
          <w:i w:val="false"/>
          <w:caps w:val="false"/>
          <w:smallCaps w:val="false"/>
          <w:sz w:val="20"/>
        </w:rPr>
        <w:t xml:space="preserve">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1088" w:name="xdx_901_ecustom--MinimumPercentageOfOuts"/>
      <w:bookmarkEnd w:id="1088"/>
      <w:r>
        <w:rPr>
          <w:rFonts w:ascii="Times New Roman;Times;Serif" w:hAnsi="Times New Roman;Times;Serif"/>
          <w:b w:val="false"/>
          <w:i w:val="false"/>
          <w:caps w:val="false"/>
          <w:smallCaps w:val="false"/>
          <w:sz w:val="20"/>
        </w:rPr>
        <w:t xml:space="preserve">4.99% (or up to </w:t>
      </w:r>
      <w:bookmarkStart w:id="1089" w:name="xdx_906_ecustom--MaximumPercentageOfOuts"/>
      <w:bookmarkEnd w:id="1089"/>
      <w:r>
        <w:rPr>
          <w:rFonts w:ascii="Times New Roman;Times;Serif" w:hAnsi="Times New Roman;Times;Serif"/>
          <w:b w:val="false"/>
          <w:i w:val="false"/>
          <w:caps w:val="false"/>
          <w:smallCaps w:val="false"/>
          <w:sz w:val="20"/>
        </w:rPr>
        <w:t>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as per the terms of the Notes and Warrants, the conversion price and exercise price was adjusted to $</w:t>
      </w:r>
      <w:bookmarkStart w:id="1090" w:name="xdx_90B_ecustom--AdjustedconversionPrice"/>
      <w:bookmarkEnd w:id="1090"/>
      <w:r>
        <w:rPr>
          <w:rFonts w:ascii="Times New Roman;Times;Serif" w:hAnsi="Times New Roman;Times;Serif"/>
          <w:b w:val="false"/>
          <w:i w:val="false"/>
          <w:caps w:val="false"/>
          <w:smallCaps w:val="false"/>
          <w:sz w:val="20"/>
        </w:rPr>
        <w:t xml:space="preserve">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11 – Debt </w:t>
      </w:r>
      <w:r>
        <w:rPr>
          <w:rFonts w:ascii="Times New Roman;Times;Serif" w:hAnsi="Times New Roman;Times;Serif"/>
          <w:b w:val="false"/>
          <w:i w:val="false"/>
          <w:caps w:val="false"/>
          <w:smallCaps w:val="false"/>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w:t>
      </w:r>
      <w:bookmarkStart w:id="1091" w:name="xdx_909_ecustom--PercentageOfPremiumBuye"/>
      <w:bookmarkEnd w:id="1091"/>
      <w:r>
        <w:rPr>
          <w:rFonts w:ascii="Times New Roman;Times;Serif" w:hAnsi="Times New Roman;Times;Serif"/>
          <w:b w:val="false"/>
          <w:i w:val="false"/>
          <w:caps w:val="false"/>
          <w:smallCaps w:val="false"/>
          <w:sz w:val="20"/>
        </w:rPr>
        <w:t>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w:t>
      </w:r>
      <w:bookmarkStart w:id="1092" w:name="xdx_90B_eus-gaap--RepaymentsOfConvertibl"/>
      <w:bookmarkEnd w:id="1092"/>
      <w:r>
        <w:rPr>
          <w:rFonts w:ascii="Times New Roman;Times;Serif" w:hAnsi="Times New Roman;Times;Serif"/>
          <w:b w:val="false"/>
          <w:i w:val="false"/>
          <w:caps w:val="false"/>
          <w:smallCaps w:val="false"/>
          <w:sz w:val="20"/>
        </w:rPr>
        <w:t>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August 12, 2025 and October 22, 2025, the Buyer exercised its contractual conversion options multiple times under the June 3i Note and received an aggregate of </w:t>
      </w:r>
      <w:bookmarkStart w:id="1093" w:name="xdx_90F_eus-gaap--DebtConversionConverte"/>
      <w:bookmarkEnd w:id="1093"/>
      <w:r>
        <w:rPr>
          <w:rFonts w:ascii="Times New Roman;Times;Serif" w:hAnsi="Times New Roman;Times;Serif"/>
          <w:b w:val="false"/>
          <w:i w:val="false"/>
          <w:caps w:val="false"/>
          <w:smallCaps w:val="false"/>
          <w:sz w:val="20"/>
        </w:rPr>
        <w:t>30,823 shares of Class A Common Stock at conversion prices per share ranging from $</w:t>
      </w:r>
      <w:bookmarkStart w:id="1094" w:name="xdx_90A_eus-gaap--DebtInstrumentConverti"/>
      <w:bookmarkEnd w:id="1094"/>
      <w:r>
        <w:rPr>
          <w:rFonts w:ascii="Times New Roman;Times;Serif" w:hAnsi="Times New Roman;Times;Serif"/>
          <w:b w:val="false"/>
          <w:i w:val="false"/>
          <w:caps w:val="false"/>
          <w:smallCaps w:val="false"/>
          <w:sz w:val="20"/>
        </w:rPr>
        <w:t>38.20 to $</w:t>
      </w:r>
      <w:bookmarkStart w:id="1095" w:name="xdx_902_eus-gaap--DebtInstrumentConverti"/>
      <w:bookmarkEnd w:id="1095"/>
      <w:r>
        <w:rPr>
          <w:rFonts w:ascii="Times New Roman;Times;Serif" w:hAnsi="Times New Roman;Times;Serif"/>
          <w:b w:val="false"/>
          <w:i w:val="false"/>
          <w:caps w:val="false"/>
          <w:smallCaps w:val="false"/>
          <w:sz w:val="20"/>
        </w:rPr>
        <w:t>51.60 in full satisfaction of the Company’s remaining obligations under the June 3i Note totaling $</w:t>
      </w:r>
      <w:bookmarkStart w:id="1096" w:name="xdx_907_eus-gaap--DebtInstrumentCarrying"/>
      <w:bookmarkEnd w:id="1096"/>
      <w:r>
        <w:rPr>
          <w:rFonts w:ascii="Times New Roman;Times;Serif" w:hAnsi="Times New Roman;Times;Serif"/>
          <w:b w:val="false"/>
          <w:i w:val="false"/>
          <w:caps w:val="false"/>
          <w:smallCaps w:val="false"/>
          <w:sz w:val="20"/>
        </w:rPr>
        <w:t>1,420.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September 10, 2025 and October 14, 2025, the Buyer exercised its contractual conversion option multiple times under the August 3i Note and received an aggregate of </w:t>
      </w:r>
      <w:bookmarkStart w:id="1097" w:name="xdx_906_eus-gaap--DebtConversionConverte"/>
      <w:bookmarkEnd w:id="1097"/>
      <w:r>
        <w:rPr>
          <w:rFonts w:ascii="Times New Roman;Times;Serif" w:hAnsi="Times New Roman;Times;Serif"/>
          <w:b w:val="false"/>
          <w:i w:val="false"/>
          <w:caps w:val="false"/>
          <w:smallCaps w:val="false"/>
          <w:sz w:val="20"/>
        </w:rPr>
        <w:t>30,883 shares of Class A Common Stock at conversion prices per share ranging from $</w:t>
      </w:r>
      <w:bookmarkStart w:id="1098" w:name="xdx_908_eus-gaap--DebtInstrumentConverti"/>
      <w:bookmarkEnd w:id="1098"/>
      <w:r>
        <w:rPr>
          <w:rFonts w:ascii="Times New Roman;Times;Serif" w:hAnsi="Times New Roman;Times;Serif"/>
          <w:b w:val="false"/>
          <w:i w:val="false"/>
          <w:caps w:val="false"/>
          <w:smallCaps w:val="false"/>
          <w:sz w:val="20"/>
        </w:rPr>
        <w:t>38.20 to $</w:t>
      </w:r>
      <w:bookmarkStart w:id="1099" w:name="xdx_90F_eus-gaap--DebtInstrumentConverti"/>
      <w:bookmarkEnd w:id="1099"/>
      <w:r>
        <w:rPr>
          <w:rFonts w:ascii="Times New Roman;Times;Serif" w:hAnsi="Times New Roman;Times;Serif"/>
          <w:b w:val="false"/>
          <w:i w:val="false"/>
          <w:caps w:val="false"/>
          <w:smallCaps w:val="false"/>
          <w:sz w:val="20"/>
        </w:rPr>
        <w:t>48.40 in satisfaction of $</w:t>
      </w:r>
      <w:bookmarkStart w:id="1100" w:name="xdx_904_eus-gaap--DebtInstrumentCarrying"/>
      <w:bookmarkEnd w:id="1100"/>
      <w:r>
        <w:rPr>
          <w:rFonts w:ascii="Times New Roman;Times;Serif" w:hAnsi="Times New Roman;Times;Serif"/>
          <w:b w:val="false"/>
          <w:i w:val="false"/>
          <w:caps w:val="false"/>
          <w:smallCaps w:val="false"/>
          <w:sz w:val="20"/>
        </w:rPr>
        <w:t>1,412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16, 2025 and December 11, 2025, the Buyer exercised its contractual conversion option multiple times under the October 3i Note and received an aggregate of </w:t>
      </w:r>
      <w:bookmarkStart w:id="1101" w:name="xdx_908_eus-gaap--DebtConversionConverte"/>
      <w:bookmarkEnd w:id="1101"/>
      <w:r>
        <w:rPr>
          <w:rFonts w:ascii="Times New Roman;Times;Serif" w:hAnsi="Times New Roman;Times;Serif"/>
          <w:b w:val="false"/>
          <w:i w:val="false"/>
          <w:caps w:val="false"/>
          <w:smallCaps w:val="false"/>
          <w:sz w:val="20"/>
        </w:rPr>
        <w:t>66,584 shares of Class A Common Stock at conversion prices per share ranging from $</w:t>
      </w:r>
      <w:bookmarkStart w:id="1102" w:name="xdx_90D_eus-gaap--DebtInstrumentConverti"/>
      <w:bookmarkEnd w:id="1102"/>
      <w:r>
        <w:rPr>
          <w:rFonts w:ascii="Times New Roman;Times;Serif" w:hAnsi="Times New Roman;Times;Serif"/>
          <w:b w:val="false"/>
          <w:i w:val="false"/>
          <w:caps w:val="false"/>
          <w:smallCaps w:val="false"/>
          <w:sz w:val="20"/>
        </w:rPr>
        <w:t>20.60 to $</w:t>
      </w:r>
      <w:bookmarkStart w:id="1103" w:name="xdx_90D_eus-gaap--DebtInstrumentConverti"/>
      <w:bookmarkEnd w:id="1103"/>
      <w:r>
        <w:rPr>
          <w:rFonts w:ascii="Times New Roman;Times;Serif" w:hAnsi="Times New Roman;Times;Serif"/>
          <w:b w:val="false"/>
          <w:i w:val="false"/>
          <w:caps w:val="false"/>
          <w:smallCaps w:val="false"/>
          <w:sz w:val="20"/>
        </w:rPr>
        <w:t>50.00 in satisfaction of $</w:t>
      </w:r>
      <w:bookmarkStart w:id="1104" w:name="xdx_903_eus-gaap--DebtInstrumentCarrying"/>
      <w:bookmarkEnd w:id="1104"/>
      <w:r>
        <w:rPr>
          <w:rFonts w:ascii="Times New Roman;Times;Serif" w:hAnsi="Times New Roman;Times;Serif"/>
          <w:b w:val="false"/>
          <w:i w:val="false"/>
          <w:caps w:val="false"/>
          <w:smallCaps w:val="false"/>
          <w:sz w:val="20"/>
        </w:rPr>
        <w:t>1,677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7, 2026 and February 10, 2026, the Buyer exercised its contractual conversion option multiple times under the August 3i Note and received an aggregate of </w:t>
      </w:r>
      <w:bookmarkStart w:id="1105" w:name="xdx_90A_eus-gaap--DebtConversionConverte"/>
      <w:bookmarkEnd w:id="1105"/>
      <w:r>
        <w:rPr>
          <w:rFonts w:ascii="Times New Roman;Times;Serif" w:hAnsi="Times New Roman;Times;Serif"/>
          <w:b w:val="false"/>
          <w:i w:val="false"/>
          <w:caps w:val="false"/>
          <w:smallCaps w:val="false"/>
          <w:sz w:val="20"/>
        </w:rPr>
        <w:t>36,667 shares of Class A Common Stock at a conversion price per share of $</w:t>
      </w:r>
      <w:bookmarkStart w:id="1106" w:name="xdx_900_eus-gaap--DebtInstrumentConverti"/>
      <w:bookmarkEnd w:id="1106"/>
      <w:r>
        <w:rPr>
          <w:rFonts w:ascii="Times New Roman;Times;Serif" w:hAnsi="Times New Roman;Times;Serif"/>
          <w:b w:val="false"/>
          <w:i w:val="false"/>
          <w:caps w:val="false"/>
          <w:smallCaps w:val="false"/>
          <w:sz w:val="20"/>
        </w:rPr>
        <w:t>22.20 in satisfaction of $</w:t>
      </w:r>
      <w:bookmarkStart w:id="1107" w:name="xdx_907_eus-gaap--DebtInstrumentCarrying"/>
      <w:bookmarkEnd w:id="1107"/>
      <w:r>
        <w:rPr>
          <w:rFonts w:ascii="Times New Roman;Times;Serif" w:hAnsi="Times New Roman;Times;Serif"/>
          <w:b w:val="false"/>
          <w:i w:val="false"/>
          <w:caps w:val="false"/>
          <w:smallCaps w:val="false"/>
          <w:sz w:val="20"/>
        </w:rPr>
        <w:t>807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8, 2026 and February 19, 2026, the Buyer exercised its contractual conversion option multiple times under the October 3i Note and received an aggregate of </w:t>
      </w:r>
      <w:bookmarkStart w:id="1108" w:name="xdx_901_eus-gaap--DebtConversionConverte"/>
      <w:bookmarkEnd w:id="1108"/>
      <w:r>
        <w:rPr>
          <w:rFonts w:ascii="Times New Roman;Times;Serif" w:hAnsi="Times New Roman;Times;Serif"/>
          <w:b w:val="false"/>
          <w:i w:val="false"/>
          <w:caps w:val="false"/>
          <w:smallCaps w:val="false"/>
          <w:sz w:val="20"/>
        </w:rPr>
        <w:t>60,764 shares of Class A Common Stock at conversion prices per share ranging from $</w:t>
      </w:r>
      <w:bookmarkStart w:id="1109" w:name="xdx_901_eus-gaap--DebtInstrumentConverti"/>
      <w:bookmarkEnd w:id="1109"/>
      <w:r>
        <w:rPr>
          <w:rFonts w:ascii="Times New Roman;Times;Serif" w:hAnsi="Times New Roman;Times;Serif"/>
          <w:b w:val="false"/>
          <w:i w:val="false"/>
          <w:caps w:val="false"/>
          <w:smallCaps w:val="false"/>
          <w:sz w:val="20"/>
        </w:rPr>
        <w:t>17.20 to $</w:t>
      </w:r>
      <w:bookmarkStart w:id="1110" w:name="xdx_909_eus-gaap--DebtInstrumentConverti"/>
      <w:bookmarkEnd w:id="1110"/>
      <w:r>
        <w:rPr>
          <w:rFonts w:ascii="Times New Roman;Times;Serif" w:hAnsi="Times New Roman;Times;Serif"/>
          <w:b w:val="false"/>
          <w:i w:val="false"/>
          <w:caps w:val="false"/>
          <w:smallCaps w:val="false"/>
          <w:sz w:val="20"/>
        </w:rPr>
        <w:t>20.40 in satisfaction of $</w:t>
      </w:r>
      <w:bookmarkStart w:id="1111" w:name="xdx_900_eus-gaap--DebtInstrumentCarrying"/>
      <w:bookmarkEnd w:id="1111"/>
      <w:r>
        <w:rPr>
          <w:rFonts w:ascii="Times New Roman;Times;Serif" w:hAnsi="Times New Roman;Times;Serif"/>
          <w:b w:val="false"/>
          <w:i w:val="false"/>
          <w:caps w:val="false"/>
          <w:smallCaps w:val="false"/>
          <w:sz w:val="20"/>
        </w:rPr>
        <w:t>1,073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March 2, 2026 and March 25, 2026, the Buyer exercised its contractual conversion option multiple times under the February 3i Note and received an aggregate of </w:t>
      </w:r>
      <w:bookmarkStart w:id="1112" w:name="xdx_90B_eus-gaap--DebtConversionConverte"/>
      <w:bookmarkEnd w:id="1112"/>
      <w:r>
        <w:rPr>
          <w:rFonts w:ascii="Times New Roman;Times;Serif" w:hAnsi="Times New Roman;Times;Serif"/>
          <w:b w:val="false"/>
          <w:i w:val="false"/>
          <w:caps w:val="false"/>
          <w:smallCaps w:val="false"/>
          <w:sz w:val="20"/>
        </w:rPr>
        <w:t>46,371 shares of Class A Common Stock at conversion prices per share ranging from $</w:t>
      </w:r>
      <w:bookmarkStart w:id="1113" w:name="xdx_908_eus-gaap--DebtInstrumentConverti"/>
      <w:bookmarkEnd w:id="1113"/>
      <w:r>
        <w:rPr>
          <w:rFonts w:ascii="Times New Roman;Times;Serif" w:hAnsi="Times New Roman;Times;Serif"/>
          <w:b w:val="false"/>
          <w:i w:val="false"/>
          <w:caps w:val="false"/>
          <w:smallCaps w:val="false"/>
          <w:sz w:val="20"/>
        </w:rPr>
        <w:t>16.60 to $</w:t>
      </w:r>
      <w:bookmarkStart w:id="1114" w:name="xdx_908_eus-gaap--DebtInstrumentConverti"/>
      <w:bookmarkEnd w:id="1114"/>
      <w:r>
        <w:rPr>
          <w:rFonts w:ascii="Times New Roman;Times;Serif" w:hAnsi="Times New Roman;Times;Serif"/>
          <w:b w:val="false"/>
          <w:i w:val="false"/>
          <w:caps w:val="false"/>
          <w:smallCaps w:val="false"/>
          <w:sz w:val="20"/>
        </w:rPr>
        <w:t>19.60 in satisfaction of $</w:t>
      </w:r>
      <w:bookmarkStart w:id="1115" w:name="xdx_90C_eus-gaap--DebtInstrumentCarrying"/>
      <w:bookmarkEnd w:id="1115"/>
      <w:r>
        <w:rPr>
          <w:rFonts w:ascii="Times New Roman;Times;Serif" w:hAnsi="Times New Roman;Times;Serif"/>
          <w:b w:val="false"/>
          <w:i w:val="false"/>
          <w:caps w:val="false"/>
          <w:smallCaps w:val="false"/>
          <w:sz w:val="20"/>
        </w:rPr>
        <w:t>856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w:t>
      </w:r>
      <w:bookmarkStart w:id="1116" w:name="xdx_90C_eus-gaap--InterestExpense_pn3n3_"/>
      <w:bookmarkEnd w:id="1116"/>
      <w:r>
        <w:rPr>
          <w:rFonts w:ascii="Times New Roman;Times;Serif" w:hAnsi="Times New Roman;Times;Serif"/>
          <w:b w:val="false"/>
          <w:i w:val="false"/>
          <w:caps w:val="false"/>
          <w:smallCaps w:val="false"/>
          <w:sz w:val="20"/>
        </w:rPr>
        <w:t>182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7" w:name="xdx_896_eus-gaap--ScheduleOfDebtInstrume"/>
      <w:bookmarkEnd w:id="1117"/>
      <w:r>
        <w:rPr>
          <w:rFonts w:ascii="Times New Roman;Times;Serif" w:hAnsi="Times New Roman;Times;Serif"/>
          <w:b w:val="false"/>
          <w:i w:val="false"/>
          <w:caps w:val="false"/>
          <w:smallCaps w:val="false"/>
          <w:sz w:val="20"/>
        </w:rPr>
        <w:t>The following table presents the Private Placement Convertible Notes as of March 31, 2026:</w:t>
      </w:r>
    </w:p>
    <w:p>
      <w:pPr>
        <w:pStyle w:val="TextBody"/>
        <w:bidi w:val="0"/>
        <w:spacing w:before="0" w:after="0"/>
        <w:ind w:left="0" w:right="0" w:hanging="0"/>
        <w:jc w:val="left"/>
        <w:rPr>
          <w:caps w:val="false"/>
          <w:smallCaps w:val="false"/>
        </w:rPr>
      </w:pPr>
      <w:r>
        <w:rPr>
          <w:caps w:val="false"/>
          <w:smallCaps w:val="false"/>
        </w:rPr>
        <w:t> </w:t>
      </w:r>
      <w:bookmarkStart w:id="1118" w:name="xdx_8B2_ztcGKYxCySl9"/>
      <w:bookmarkEnd w:id="1118"/>
      <w:r>
        <w:rPr>
          <w:rFonts w:ascii="Times New Roman;Times;Serif" w:hAnsi="Times New Roman;Times;Serif"/>
          <w:b w:val="false"/>
          <w:i w:val="false"/>
          <w:caps w:val="false"/>
          <w:smallCaps w:val="false"/>
          <w:sz w:val="20"/>
        </w:rPr>
        <w:t>Summary of Notes</w:t>
      </w:r>
    </w:p>
    <w:tbl>
      <w:tblPr>
        <w:tblW w:w="6374" w:type="dxa"/>
        <w:jc w:val="left"/>
        <w:tblInd w:w="0" w:type="dxa"/>
        <w:tblLayout w:type="fixed"/>
        <w:tblCellMar>
          <w:top w:w="0" w:type="dxa"/>
          <w:left w:w="0" w:type="dxa"/>
          <w:bottom w:w="0" w:type="dxa"/>
          <w:right w:w="0" w:type="dxa"/>
        </w:tblCellMar>
      </w:tblPr>
      <w:tblGrid>
        <w:gridCol w:w="4940"/>
        <w:gridCol w:w="60"/>
        <w:gridCol w:w="228"/>
        <w:gridCol w:w="1036"/>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19" w:name="xdx_490_20260101__20260331__us-gaap--Lon"/>
            <w:bookmarkEnd w:id="1119"/>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3i, LP Notes</w:t>
            </w:r>
          </w:p>
        </w:tc>
        <w:tc>
          <w:tcPr>
            <w:tcW w:w="110" w:type="dxa"/>
            <w:tcBorders/>
            <w:vAlign w:val="center"/>
          </w:tcPr>
          <w:p>
            <w:pPr>
              <w:pStyle w:val="TableContents"/>
              <w:bidi w:val="0"/>
              <w:spacing w:before="0" w:after="283"/>
              <w:jc w:val="left"/>
              <w:rPr/>
            </w:pPr>
            <w:r>
              <w:rPr/>
              <w:t> </w:t>
            </w:r>
            <w:bookmarkStart w:id="1120" w:name="xdx_40B_eus-gaap--NotesPayable_iS_zhm0hh"/>
            <w:bookmarkEnd w:id="1120"/>
          </w:p>
        </w:tc>
      </w:tr>
      <w:tr>
        <w:trPr/>
        <w:tc>
          <w:tcPr>
            <w:tcW w:w="49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1,856</w:t>
            </w:r>
          </w:p>
        </w:tc>
        <w:tc>
          <w:tcPr>
            <w:tcW w:w="110" w:type="dxa"/>
            <w:tcBorders/>
            <w:shd w:fill="CCEEFF" w:val="clear"/>
            <w:vAlign w:val="center"/>
          </w:tcPr>
          <w:p>
            <w:pPr>
              <w:pStyle w:val="TableContents"/>
              <w:bidi w:val="0"/>
              <w:spacing w:before="0" w:after="283"/>
              <w:jc w:val="left"/>
              <w:rPr/>
            </w:pPr>
            <w:r>
              <w:rPr/>
              <w:t> </w:t>
            </w:r>
            <w:bookmarkStart w:id="1121" w:name="xdx_407_ecustom--IssuanceOfLongTermDebt_"/>
            <w:bookmarkEnd w:id="1121"/>
          </w:p>
        </w:tc>
      </w:tr>
      <w:tr>
        <w:trPr/>
        <w:tc>
          <w:tcPr>
            <w:tcW w:w="4940" w:type="dxa"/>
            <w:tcBorders/>
            <w:shd w:fill="FFFFFF" w:val="clear"/>
            <w:vAlign w:val="center"/>
          </w:tcPr>
          <w:p>
            <w:pPr>
              <w:pStyle w:val="TableContents"/>
              <w:bidi w:val="0"/>
              <w:spacing w:before="0" w:after="283"/>
              <w:jc w:val="left"/>
              <w:rPr/>
            </w:pPr>
            <w:r>
              <w:rPr/>
              <w:t>Issuance of Private Placement Convertible Notes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2,121</w:t>
            </w:r>
          </w:p>
        </w:tc>
        <w:tc>
          <w:tcPr>
            <w:tcW w:w="110" w:type="dxa"/>
            <w:tcBorders/>
            <w:shd w:fill="FFFFFF" w:val="clear"/>
            <w:vAlign w:val="center"/>
          </w:tcPr>
          <w:p>
            <w:pPr>
              <w:pStyle w:val="TableContents"/>
              <w:bidi w:val="0"/>
              <w:spacing w:before="0" w:after="283"/>
              <w:jc w:val="left"/>
              <w:rPr/>
            </w:pPr>
            <w:r>
              <w:rPr/>
              <w:t> </w:t>
            </w:r>
            <w:bookmarkStart w:id="1122" w:name="xdx_40F_ecustom--GainsLossesOnDebtIssuan"/>
            <w:bookmarkEnd w:id="1122"/>
          </w:p>
        </w:tc>
      </w:tr>
      <w:tr>
        <w:trPr/>
        <w:tc>
          <w:tcPr>
            <w:tcW w:w="494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1,039</w:t>
            </w:r>
          </w:p>
        </w:tc>
        <w:tc>
          <w:tcPr>
            <w:tcW w:w="110" w:type="dxa"/>
            <w:tcBorders/>
            <w:shd w:fill="CCEEFF" w:val="clear"/>
            <w:vAlign w:val="center"/>
          </w:tcPr>
          <w:p>
            <w:pPr>
              <w:pStyle w:val="TableContents"/>
              <w:bidi w:val="0"/>
              <w:spacing w:before="0" w:after="283"/>
              <w:jc w:val="left"/>
              <w:rPr/>
            </w:pPr>
            <w:r>
              <w:rPr/>
              <w:t> </w:t>
            </w:r>
            <w:bookmarkStart w:id="1123" w:name="xdx_400_ecustom--ChangeInFairValueOfLong"/>
            <w:bookmarkEnd w:id="1123"/>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(391</w:t>
            </w:r>
          </w:p>
        </w:tc>
        <w:tc>
          <w:tcPr>
            <w:tcW w:w="110" w:type="dxa"/>
            <w:tcBorders/>
            <w:shd w:fill="FFFFFF" w:val="clear"/>
            <w:vAlign w:val="center"/>
          </w:tcPr>
          <w:p>
            <w:pPr>
              <w:pStyle w:val="TableContents"/>
              <w:bidi w:val="0"/>
              <w:spacing w:before="0" w:after="283"/>
              <w:jc w:val="left"/>
              <w:rPr/>
            </w:pPr>
            <w:r>
              <w:rPr/>
              <w:t>)</w:t>
            </w:r>
            <w:bookmarkStart w:id="1124" w:name="xdx_404_ecustom--ConversionsOfLongTermDe"/>
            <w:bookmarkEnd w:id="1124"/>
          </w:p>
        </w:tc>
      </w:tr>
      <w:tr>
        <w:trPr/>
        <w:tc>
          <w:tcPr>
            <w:tcW w:w="4940"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w:t>
            </w:r>
            <w:bookmarkStart w:id="1125" w:name="xdx_40E_eus-gaap--NotesPayable_iE_z2cG2Q"/>
            <w:bookmarkEnd w:id="1125"/>
          </w:p>
        </w:tc>
      </w:tr>
      <w:tr>
        <w:trPr/>
        <w:tc>
          <w:tcPr>
            <w:tcW w:w="494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6" w:name="xdx_401_eus-gaap--LongTermNotesPayable_i"/>
            <w:bookmarkEnd w:id="1126"/>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1,556</w:t>
            </w:r>
          </w:p>
        </w:tc>
        <w:tc>
          <w:tcPr>
            <w:tcW w:w="110" w:type="dxa"/>
            <w:tcBorders/>
            <w:shd w:fill="FFFFFF" w:val="clear"/>
            <w:vAlign w:val="center"/>
          </w:tcPr>
          <w:p>
            <w:pPr>
              <w:pStyle w:val="TableContents"/>
              <w:bidi w:val="0"/>
              <w:spacing w:before="0" w:after="283"/>
              <w:jc w:val="left"/>
              <w:rPr/>
            </w:pPr>
            <w:r>
              <w:rPr/>
              <w:t> </w:t>
            </w:r>
            <w:bookmarkStart w:id="1127" w:name="xdx_40D_ecustom--InterestPayableOnLongTe"/>
            <w:bookmarkEnd w:id="1127"/>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28" w:name="xdx_8A5_zXfws3XCALU8"/>
      <w:bookmarkEnd w:id="112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promissory note (the “Boot Capital Note”) for an aggregate principal amount of $</w:t>
      </w:r>
      <w:bookmarkStart w:id="1129" w:name="xdx_908_eus-gaap--DebtInstrumentFaceAmou"/>
      <w:bookmarkEnd w:id="1129"/>
      <w:r>
        <w:rPr>
          <w:rFonts w:ascii="Times New Roman;Times;Serif" w:hAnsi="Times New Roman;Times;Serif"/>
          <w:b w:val="false"/>
          <w:i w:val="false"/>
          <w:caps w:val="false"/>
          <w:smallCaps w:val="false"/>
          <w:sz w:val="20"/>
        </w:rPr>
        <w:t>115 and received $</w:t>
      </w:r>
      <w:bookmarkStart w:id="1130" w:name="xdx_908_eus-gaap--ProceedsFromIssuanceOf"/>
      <w:bookmarkEnd w:id="1130"/>
      <w:r>
        <w:rPr>
          <w:rFonts w:ascii="Times New Roman;Times;Serif" w:hAnsi="Times New Roman;Times;Serif"/>
          <w:b w:val="false"/>
          <w:i w:val="false"/>
          <w:caps w:val="false"/>
          <w:smallCaps w:val="false"/>
          <w:sz w:val="20"/>
        </w:rPr>
        <w:t>100 of proceeds, net of an original discount of $</w:t>
      </w:r>
      <w:bookmarkStart w:id="1131" w:name="xdx_905_eus-gaap--DebtInstrumentUnamorti"/>
      <w:bookmarkEnd w:id="1131"/>
      <w:r>
        <w:rPr>
          <w:rFonts w:ascii="Times New Roman;Times;Serif" w:hAnsi="Times New Roman;Times;Serif"/>
          <w:b w:val="false"/>
          <w:i w:val="false"/>
          <w:caps w:val="false"/>
          <w:smallCaps w:val="false"/>
          <w:sz w:val="20"/>
        </w:rPr>
        <w:t xml:space="preserve">15, with a maturity date of </w:t>
      </w:r>
      <w:bookmarkStart w:id="1132" w:name="xdx_901_eus-gaap--DebtInstrumentMaturity"/>
      <w:bookmarkEnd w:id="1132"/>
      <w:r>
        <w:rPr>
          <w:rFonts w:ascii="Times New Roman;Times;Serif" w:hAnsi="Times New Roman;Times;Serif"/>
          <w:b w:val="false"/>
          <w:i w:val="false"/>
          <w:caps w:val="false"/>
          <w:smallCaps w:val="false"/>
          <w:sz w:val="20"/>
        </w:rPr>
        <w:t xml:space="preserve">August 30, 2026. The stated interest rate on the Boot Capital Note is </w:t>
      </w:r>
      <w:bookmarkStart w:id="1133" w:name="xdx_90E_eus-gaap--DebtInstrumentInterest"/>
      <w:bookmarkEnd w:id="1133"/>
      <w:r>
        <w:rPr>
          <w:rFonts w:ascii="Times New Roman;Times;Serif" w:hAnsi="Times New Roman;Times;Serif"/>
          <w:b w:val="false"/>
          <w:i w:val="false"/>
          <w:caps w:val="false"/>
          <w:smallCaps w:val="false"/>
          <w:sz w:val="20"/>
        </w:rPr>
        <w:t>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w:t>
      </w:r>
      <w:bookmarkStart w:id="1134" w:name="xdx_90D_ecustom--PercentageOfCommonStock"/>
      <w:bookmarkEnd w:id="1134"/>
      <w:r>
        <w:rPr>
          <w:rFonts w:ascii="Times New Roman;Times;Serif" w:hAnsi="Times New Roman;Times;Serif"/>
          <w:b w:val="false"/>
          <w:i w:val="false"/>
          <w:caps w:val="false"/>
          <w:smallCaps w:val="false"/>
          <w:sz w:val="20"/>
        </w:rPr>
        <w:t xml:space="preserve">4.99% of the Company’s outstanding shares of Common Stock. </w:t>
      </w:r>
      <w:bookmarkStart w:id="1135" w:name="xdx_905_eus-gaap--DebtInstrumentConverti"/>
      <w:bookmarkEnd w:id="1135"/>
      <w:r>
        <w:rPr>
          <w:rFonts w:ascii="Times New Roman;Times;Serif" w:hAnsi="Times New Roman;Times;Serif"/>
          <w:b w:val="false"/>
          <w:i w:val="false"/>
          <w:caps w:val="false"/>
          <w:smallCaps w:val="false"/>
          <w:sz w:val="20"/>
        </w:rPr>
        <w:t xml:space="preserve">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w:t>
      </w:r>
      <w:bookmarkStart w:id="1136" w:name="xdx_906_eus-gaap--DebtInstrumentConverti"/>
      <w:bookmarkEnd w:id="1136"/>
      <w:r>
        <w:rPr>
          <w:rFonts w:ascii="Times New Roman;Times;Serif" w:hAnsi="Times New Roman;Times;Serif"/>
          <w:b w:val="false"/>
          <w:i w:val="false"/>
          <w:caps w:val="false"/>
          <w:smallCaps w:val="false"/>
          <w:sz w:val="20"/>
        </w:rPr>
        <w:t>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7" w:name="xdx_897_eus-gaap--ScheduleOfDebtInstrume"/>
      <w:bookmarkEnd w:id="1137"/>
      <w:r>
        <w:rPr>
          <w:rFonts w:ascii="Times New Roman;Times;Serif" w:hAnsi="Times New Roman;Times;Serif"/>
          <w:b w:val="false"/>
          <w:i w:val="false"/>
          <w:caps w:val="false"/>
          <w:smallCaps w:val="false"/>
          <w:sz w:val="20"/>
        </w:rPr>
        <w:t>The following table presents the Boot Capital Convertible Note as of March 31, 2026:</w:t>
      </w:r>
    </w:p>
    <w:p>
      <w:pPr>
        <w:pStyle w:val="TextBody"/>
        <w:bidi w:val="0"/>
        <w:spacing w:before="0" w:after="0"/>
        <w:ind w:left="0" w:right="0" w:hanging="0"/>
        <w:jc w:val="left"/>
        <w:rPr>
          <w:caps w:val="false"/>
          <w:smallCaps w:val="false"/>
        </w:rPr>
      </w:pPr>
      <w:r>
        <w:rPr>
          <w:caps w:val="false"/>
          <w:smallCaps w:val="false"/>
        </w:rPr>
        <w:t> </w:t>
      </w:r>
      <w:bookmarkStart w:id="1138" w:name="xdx_8B2_zvjxp3BOafnj"/>
      <w:bookmarkEnd w:id="1138"/>
      <w:r>
        <w:rPr>
          <w:rFonts w:ascii="Times New Roman;Times;Serif" w:hAnsi="Times New Roman;Times;Serif"/>
          <w:b w:val="false"/>
          <w:i w:val="false"/>
          <w:caps w:val="false"/>
          <w:smallCaps w:val="false"/>
          <w:sz w:val="20"/>
        </w:rPr>
        <w:t>Summary of Notes</w:t>
      </w:r>
    </w:p>
    <w:tbl>
      <w:tblPr>
        <w:tblW w:w="6384" w:type="dxa"/>
        <w:jc w:val="left"/>
        <w:tblInd w:w="0" w:type="dxa"/>
        <w:tblLayout w:type="fixed"/>
        <w:tblCellMar>
          <w:top w:w="0" w:type="dxa"/>
          <w:left w:w="0" w:type="dxa"/>
          <w:bottom w:w="0" w:type="dxa"/>
          <w:right w:w="0" w:type="dxa"/>
        </w:tblCellMar>
      </w:tblPr>
      <w:tblGrid>
        <w:gridCol w:w="4940"/>
        <w:gridCol w:w="60"/>
        <w:gridCol w:w="352"/>
        <w:gridCol w:w="957"/>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39" w:name="xdx_49B_20260101__20260331__us-gaap--Lon"/>
            <w:bookmarkEnd w:id="1139"/>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Boot Capital</w:t>
            </w:r>
          </w:p>
        </w:tc>
        <w:tc>
          <w:tcPr>
            <w:tcW w:w="75" w:type="dxa"/>
            <w:tcBorders/>
            <w:vAlign w:val="center"/>
          </w:tcPr>
          <w:p>
            <w:pPr>
              <w:pStyle w:val="TableContents"/>
              <w:bidi w:val="0"/>
              <w:spacing w:before="0" w:after="283"/>
              <w:jc w:val="left"/>
              <w:rPr/>
            </w:pPr>
            <w:r>
              <w:rPr/>
              <w:t> </w:t>
            </w:r>
            <w:bookmarkStart w:id="1140" w:name="xdx_40B_eus-gaap--NotesPayable_iS_z9LpZu"/>
            <w:bookmarkEnd w:id="1140"/>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bookmarkStart w:id="1141" w:name="xdx_400_ecustom--ChangeInFairValueOfLong"/>
            <w:bookmarkEnd w:id="1141"/>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bookmarkStart w:id="1142" w:name="xdx_40E_eus-gaap--NotesPayable_iE_z1BGQJ"/>
            <w:bookmarkEnd w:id="1142"/>
          </w:p>
        </w:tc>
      </w:tr>
      <w:tr>
        <w:trPr/>
        <w:tc>
          <w:tcPr>
            <w:tcW w:w="494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43" w:name="xdx_401_eus-gaap--LongTermNotesPayable_i"/>
            <w:bookmarkEnd w:id="1143"/>
          </w:p>
        </w:tc>
      </w:tr>
      <w:tr>
        <w:trPr/>
        <w:tc>
          <w:tcPr>
            <w:tcW w:w="4940" w:type="dxa"/>
            <w:tcBorders/>
            <w:shd w:fill="CCEEFF" w:val="clear"/>
            <w:vAlign w:val="center"/>
          </w:tcPr>
          <w:p>
            <w:pPr>
              <w:pStyle w:val="TableContents"/>
              <w:bidi w:val="0"/>
              <w:spacing w:before="0" w:after="283"/>
              <w:jc w:val="left"/>
              <w:rPr/>
            </w:pPr>
            <w:r>
              <w:rPr/>
              <w:t>Outstanding principal balance as of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bookmarkStart w:id="1144" w:name="xdx_40D_ecustom--InterestPayableOnLongTe"/>
            <w:bookmarkEnd w:id="1144"/>
          </w:p>
        </w:tc>
      </w:tr>
      <w:tr>
        <w:trPr/>
        <w:tc>
          <w:tcPr>
            <w:tcW w:w="4940" w:type="dxa"/>
            <w:tcBorders/>
            <w:shd w:fill="FFFFFF" w:val="clear"/>
            <w:vAlign w:val="center"/>
          </w:tcPr>
          <w:p>
            <w:pPr>
              <w:pStyle w:val="TableContents"/>
              <w:bidi w:val="0"/>
              <w:spacing w:before="0" w:after="283"/>
              <w:jc w:val="left"/>
              <w:rPr/>
            </w:pPr>
            <w:r>
              <w:rPr/>
              <w:t>Accrued interest as of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957"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45" w:name="xdx_8AF_zT1Er3Z3cu7h"/>
      <w:bookmarkEnd w:id="114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46" w:name="xdx_808_eus-gaap--DerivativeInstrumentsA"/>
      <w:bookmarkEnd w:id="1146"/>
      <w:r>
        <w:rPr>
          <w:rFonts w:ascii="Times New Roman;Times;Serif" w:hAnsi="Times New Roman;Times;Serif"/>
          <w:b/>
          <w:i w:val="false"/>
          <w:caps w:val="false"/>
          <w:smallCaps w:val="false"/>
          <w:sz w:val="20"/>
        </w:rPr>
        <w:t xml:space="preserve">12. </w:t>
      </w:r>
      <w:bookmarkStart w:id="1147" w:name="xdx_820_zYgk3A5NhRbd"/>
      <w:bookmarkEnd w:id="1147"/>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Public Warrants in the Merger, exercisable into </w:t>
      </w:r>
      <w:bookmarkStart w:id="1148" w:name="xdx_907_eus-gaap--ClassOfWarrantOrRightO"/>
      <w:bookmarkEnd w:id="1148"/>
      <w:r>
        <w:rPr>
          <w:rFonts w:ascii="Times New Roman;Times;Serif" w:hAnsi="Times New Roman;Times;Serif"/>
          <w:b w:val="false"/>
          <w:i w:val="false"/>
          <w:caps w:val="false"/>
          <w:smallCaps w:val="false"/>
          <w:sz w:val="20"/>
        </w:rPr>
        <w:t xml:space="preserve">1,150 shares of Common Stock of the Company, and which remained outstanding as of March 31, 2026. </w:t>
      </w:r>
      <w:bookmarkStart w:id="1149" w:name="xdx_90B_ecustom--WarrantsExercisePriceDe"/>
      <w:bookmarkEnd w:id="1149"/>
      <w:r>
        <w:rPr>
          <w:rFonts w:ascii="Times New Roman;Times;Serif" w:hAnsi="Times New Roman;Times;Serif"/>
          <w:b w:val="false"/>
          <w:i w:val="false"/>
          <w:caps w:val="false"/>
          <w:smallCaps w:val="false"/>
          <w:sz w:val="20"/>
        </w:rPr>
        <w:t>The Public Warrants have an exercise price of $</w:t>
      </w:r>
      <w:bookmarkStart w:id="1150" w:name="xdx_907_eus-gaap--ClassOfWarrantOrRightE"/>
      <w:bookmarkEnd w:id="1150"/>
      <w:r>
        <w:rPr>
          <w:rFonts w:ascii="Times New Roman;Times;Serif" w:hAnsi="Times New Roman;Times;Serif"/>
          <w:b w:val="false"/>
          <w:i w:val="false"/>
          <w:caps w:val="false"/>
          <w:smallCaps w:val="false"/>
          <w:sz w:val="20"/>
        </w:rPr>
        <w:t xml:space="preserve">115,000.00 per share, subject to adjustments, and will expire </w:t>
      </w:r>
      <w:bookmarkStart w:id="1151" w:name="xdx_90E_ecustom--WarrantExpirationPeriod"/>
      <w:bookmarkEnd w:id="1151"/>
      <w:r>
        <w:rPr>
          <w:rFonts w:ascii="Times New Roman;Times;Serif" w:hAnsi="Times New Roman;Times;Serif"/>
          <w:b w:val="false"/>
          <w:i w:val="false"/>
          <w:caps w:val="false"/>
          <w:smallCaps w:val="false"/>
          <w:sz w:val="20"/>
        </w:rPr>
        <w:t>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w:t>
      </w:r>
      <w:bookmarkStart w:id="1152" w:name="xdx_90C_ecustom--WarrantsExercisable_iI_"/>
      <w:bookmarkEnd w:id="1152"/>
      <w:r>
        <w:rPr>
          <w:rFonts w:ascii="Times New Roman;Times;Serif" w:hAnsi="Times New Roman;Times;Serif"/>
          <w:b w:val="false"/>
          <w:i w:val="false"/>
          <w:caps w:val="false"/>
          <w:smallCaps w:val="false"/>
          <w:sz w:val="20"/>
        </w:rPr>
        <w:t xml:space="preserve">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w:t>
      </w:r>
      <w:bookmarkStart w:id="1153" w:name="xdx_90A_ecustom--ContractualTerm_dtD_c20"/>
      <w:bookmarkEnd w:id="1153"/>
      <w:r>
        <w:rPr>
          <w:rFonts w:ascii="Times New Roman;Times;Serif" w:hAnsi="Times New Roman;Times;Serif"/>
          <w:b w:val="false"/>
          <w:i w:val="false"/>
          <w:caps w:val="false"/>
          <w:smallCaps w:val="false"/>
          <w:sz w:val="20"/>
        </w:rPr>
        <w:t>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w:t>
      </w:r>
      <w:bookmarkStart w:id="1154" w:name="xdx_909_ecustom--ClassOfWarrantOrRightRe"/>
      <w:bookmarkEnd w:id="1154"/>
      <w:r>
        <w:rPr>
          <w:rFonts w:ascii="Times New Roman;Times;Serif" w:hAnsi="Times New Roman;Times;Serif"/>
          <w:b w:val="false"/>
          <w:i/>
          <w:caps w:val="false"/>
          <w:smallCaps w:val="false"/>
          <w:sz w:val="20"/>
        </w:rPr>
        <w:t>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55" w:name="xdx_90C_ecustom--WarrantsExercisableDesc"/>
      <w:bookmarkEnd w:id="1155"/>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both"/>
        <w:rPr>
          <w:caps w:val="false"/>
          <w:smallCaps w:val="false"/>
        </w:rPr>
      </w:pPr>
      <w:bookmarkStart w:id="1156" w:name="xdx_C0A_gIFWED-UTF_zEBXWPBUH2ei"/>
      <w:bookmarkEnd w:id="115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w:t>
            </w:r>
            <w:bookmarkStart w:id="1157" w:name="xdx_904_ecustom--ClassOfWarrantOrRightRe"/>
            <w:bookmarkEnd w:id="1157"/>
            <w:r>
              <w:rPr>
                <w:rFonts w:ascii="Times New Roman;Times;Serif" w:hAnsi="Times New Roman;Times;Serif"/>
                <w:b w:val="false"/>
                <w:i w:val="false"/>
                <w:caps w:val="false"/>
                <w:smallCaps w:val="false"/>
                <w:sz w:val="20"/>
              </w:rPr>
              <w:t>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158" w:name="xdx_C0B_gIFWED-UTF_zclc5aCwskl3"/>
      <w:bookmarkEnd w:id="11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w:t>
      </w:r>
      <w:bookmarkStart w:id="1159" w:name="xdx_901_ecustom--ClassOfWarrantOrRightRe"/>
      <w:bookmarkEnd w:id="1159"/>
      <w:r>
        <w:rPr>
          <w:rFonts w:ascii="Times New Roman;Times;Serif" w:hAnsi="Times New Roman;Times;Serif"/>
          <w:b w:val="false"/>
          <w:i w:val="false"/>
          <w:caps w:val="false"/>
          <w:smallCaps w:val="false"/>
          <w:sz w:val="20"/>
        </w:rPr>
        <w:t>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w:t>
      </w:r>
      <w:bookmarkStart w:id="1160" w:name="xdx_90A_eus-gaap--ClassOfWarrantOrRightE"/>
      <w:bookmarkEnd w:id="1160"/>
      <w:r>
        <w:rPr>
          <w:rFonts w:ascii="Times New Roman;Times;Serif" w:hAnsi="Times New Roman;Times;Serif"/>
          <w:b w:val="false"/>
          <w:i w:val="false"/>
          <w:caps w:val="false"/>
          <w:smallCaps w:val="false"/>
          <w:sz w:val="20"/>
        </w:rPr>
        <w:t>115,000.00 per share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1" w:name="xdx_905_ecustom--FractionalSharesIssuedU"/>
      <w:bookmarkEnd w:id="1161"/>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w:t>
      </w:r>
      <w:bookmarkStart w:id="1162" w:name="xdx_901_ecustom--WarrantsPurchased_iI_pi"/>
      <w:bookmarkEnd w:id="1162"/>
      <w:r>
        <w:rPr>
          <w:rFonts w:ascii="Times New Roman;Times;Serif" w:hAnsi="Times New Roman;Times;Serif"/>
          <w:b w:val="false"/>
          <w:i w:val="false"/>
          <w:caps w:val="false"/>
          <w:smallCaps w:val="false"/>
          <w:sz w:val="20"/>
        </w:rPr>
        <w:t>83 shares at an exercise price of $</w:t>
      </w:r>
      <w:bookmarkStart w:id="1163" w:name="xdx_902_eus-gaap--ClassOfWarrantOrRightE"/>
      <w:bookmarkEnd w:id="1163"/>
      <w:r>
        <w:rPr>
          <w:rFonts w:ascii="Times New Roman;Times;Serif" w:hAnsi="Times New Roman;Times;Serif"/>
          <w:b w:val="false"/>
          <w:i w:val="false"/>
          <w:caps w:val="false"/>
          <w:smallCaps w:val="false"/>
          <w:sz w:val="20"/>
        </w:rPr>
        <w:t xml:space="preserve">64,900.00 per share. </w:t>
      </w:r>
      <w:bookmarkStart w:id="1164" w:name="xdx_904_ecustom--WarrantsExercisePriceDe"/>
      <w:bookmarkEnd w:id="1164"/>
      <w:r>
        <w:rPr>
          <w:rFonts w:ascii="Times New Roman;Times;Serif" w:hAnsi="Times New Roman;Times;Serif"/>
          <w:b w:val="false"/>
          <w:i w:val="false"/>
          <w:caps w:val="false"/>
          <w:smallCaps w:val="false"/>
          <w:sz w:val="20"/>
        </w:rPr>
        <w:t>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w:t>
      </w:r>
      <w:bookmarkStart w:id="1165" w:name="xdx_907_ecustom--ClassOfWarrantOrRightSt"/>
      <w:bookmarkEnd w:id="1165"/>
      <w:r>
        <w:rPr>
          <w:rFonts w:ascii="Times New Roman;Times;Serif" w:hAnsi="Times New Roman;Times;Serif"/>
          <w:b w:val="false"/>
          <w:i w:val="false"/>
          <w:caps w:val="false"/>
          <w:smallCaps w:val="false"/>
          <w:sz w:val="20"/>
        </w:rPr>
        <w:t>366.00.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may not be exercised if such exercise would result in the beneficial ownership of the holder and its affiliates in excess of </w:t>
      </w:r>
      <w:bookmarkStart w:id="1166" w:name="xdx_902_ecustom--ClassOfWarrantsOrRights"/>
      <w:bookmarkEnd w:id="1166"/>
      <w:r>
        <w:rPr>
          <w:rFonts w:ascii="Times New Roman;Times;Serif" w:hAnsi="Times New Roman;Times;Serif"/>
          <w:b w:val="false"/>
          <w:i w:val="false"/>
          <w:caps w:val="false"/>
          <w:smallCaps w:val="false"/>
          <w:sz w:val="20"/>
        </w:rPr>
        <w:t>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7" w:name="xdx_804_eus-gaap--CommitmentsAndContinge"/>
      <w:bookmarkEnd w:id="1167"/>
      <w:r>
        <w:rPr>
          <w:rFonts w:ascii="Times New Roman;Times;Serif" w:hAnsi="Times New Roman;Times;Serif"/>
          <w:b/>
          <w:i w:val="false"/>
          <w:caps w:val="false"/>
          <w:smallCaps w:val="false"/>
          <w:sz w:val="20"/>
        </w:rPr>
        <w:t xml:space="preserve">13. </w:t>
      </w:r>
      <w:bookmarkStart w:id="1168" w:name="xdx_82E_zv3ljnBIEmZ3"/>
      <w:bookmarkEnd w:id="116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9" w:name="xdx_89B_ecustom--ScheduleOfSupplementalC"/>
      <w:bookmarkEnd w:id="1169"/>
      <w:r>
        <w:rPr>
          <w:rFonts w:ascii="Times New Roman;Times;Serif" w:hAnsi="Times New Roman;Times;Serif"/>
          <w:b w:val="false"/>
          <w:i w:val="false"/>
          <w:caps w:val="false"/>
          <w:smallCaps w:val="false"/>
          <w:sz w:val="20"/>
        </w:rPr>
        <w:t>The Company has an operating lease for its office space. 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bookmarkStart w:id="1170" w:name="xdx_8BB_z7tgW5WIwm8a"/>
      <w:bookmarkEnd w:id="1170"/>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0" w:type="dxa"/>
          <w:right w:w="0" w:type="dxa"/>
        </w:tblCellMar>
      </w:tblPr>
      <w:tblGrid>
        <w:gridCol w:w="6182"/>
        <w:gridCol w:w="60"/>
        <w:gridCol w:w="657"/>
        <w:gridCol w:w="1011"/>
        <w:gridCol w:w="316"/>
        <w:gridCol w:w="199"/>
        <w:gridCol w:w="657"/>
        <w:gridCol w:w="1011"/>
        <w:gridCol w:w="112"/>
      </w:tblGrid>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bookmarkStart w:id="1171" w:name="xdx_496_20260101__20260331_zHToGh9ijYGc"/>
            <w:bookmarkEnd w:id="1171"/>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bookmarkStart w:id="1172" w:name="xdx_494_20250101__20250331_z7YzUuWGcsVg"/>
            <w:bookmarkEnd w:id="1172"/>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73" w:name="xdx_404_ecustom--NoncashLeaseExpenseInOp"/>
            <w:bookmarkEnd w:id="1173"/>
          </w:p>
        </w:tc>
      </w:tr>
      <w:tr>
        <w:trPr/>
        <w:tc>
          <w:tcPr>
            <w:tcW w:w="6182" w:type="dxa"/>
            <w:tcBorders/>
            <w:shd w:fill="FFFFFF" w:val="clear"/>
            <w:vAlign w:val="center"/>
          </w:tcPr>
          <w:p>
            <w:pPr>
              <w:pStyle w:val="TableContents"/>
              <w:bidi w:val="0"/>
              <w:spacing w:before="0" w:after="283"/>
              <w:jc w:val="left"/>
              <w:rPr/>
            </w:pPr>
            <w:r>
              <w:rPr/>
              <w:t>Non-cash lease expense (operating cash flow)</w:t>
            </w:r>
          </w:p>
        </w:tc>
        <w:tc>
          <w:tcPr>
            <w:tcW w:w="60"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7</w:t>
            </w:r>
          </w:p>
        </w:tc>
        <w:tc>
          <w:tcPr>
            <w:tcW w:w="31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bookmarkStart w:id="1174" w:name="xdx_40A_ecustom--IncreaseDecreaseInLease"/>
            <w:bookmarkEnd w:id="1174"/>
          </w:p>
        </w:tc>
      </w:tr>
      <w:tr>
        <w:trPr/>
        <w:tc>
          <w:tcPr>
            <w:tcW w:w="6182" w:type="dxa"/>
            <w:tcBorders/>
            <w:shd w:fill="CCEEFF" w:val="clear"/>
            <w:vAlign w:val="center"/>
          </w:tcPr>
          <w:p>
            <w:pPr>
              <w:pStyle w:val="TableContents"/>
              <w:bidi w:val="0"/>
              <w:spacing w:before="0" w:after="283"/>
              <w:jc w:val="left"/>
              <w:rPr/>
            </w:pPr>
            <w:r>
              <w:rPr/>
              <w:t>Change in lease liabilities (operating cash flow)</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w:t>
            </w:r>
          </w:p>
        </w:tc>
        <w:tc>
          <w:tcPr>
            <w:tcW w:w="316"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75" w:name="xdx_8AB_zW32fLRsxdCj"/>
      <w:bookmarkEnd w:id="117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Sidley Austin LLP (“Sidley”) for previously provided legal services (the “Sidley Repayment Agreement”). Under the Sidley Repayment Agreement, the Company’s outstanding fees have been lowered from $</w:t>
      </w:r>
      <w:bookmarkStart w:id="1176" w:name="xdx_90A_eus-gaap--DebtInstrumentFeeAmoun"/>
      <w:bookmarkEnd w:id="1176"/>
      <w:r>
        <w:rPr>
          <w:rFonts w:ascii="Times New Roman;Times;Serif" w:hAnsi="Times New Roman;Times;Serif"/>
          <w:b w:val="false"/>
          <w:i w:val="false"/>
          <w:caps w:val="false"/>
          <w:smallCaps w:val="false"/>
          <w:sz w:val="20"/>
        </w:rPr>
        <w:t>4,816 to $</w:t>
      </w:r>
      <w:bookmarkStart w:id="1177" w:name="xdx_906_eus-gaap--DebtInstrumentFeeAmoun"/>
      <w:bookmarkEnd w:id="1177"/>
      <w:r>
        <w:rPr>
          <w:rFonts w:ascii="Times New Roman;Times;Serif" w:hAnsi="Times New Roman;Times;Serif"/>
          <w:b w:val="false"/>
          <w:i w:val="false"/>
          <w:caps w:val="false"/>
          <w:smallCaps w:val="false"/>
          <w:sz w:val="20"/>
        </w:rPr>
        <w:t xml:space="preserve">1,605 (the “Sidley Unpaid Fee”). Under the Sidley Repayment Agreement, the Company agrees to </w:t>
      </w:r>
      <w:bookmarkStart w:id="1178" w:name="xdx_90E_eus-gaap--DebtInstrumentFrequenc"/>
      <w:bookmarkEnd w:id="1178"/>
      <w:r>
        <w:rPr>
          <w:rFonts w:ascii="Times New Roman;Times;Serif" w:hAnsi="Times New Roman;Times;Serif"/>
          <w:b w:val="false"/>
          <w:i w:val="false"/>
          <w:caps w:val="false"/>
          <w:smallCaps w:val="false"/>
          <w:sz w:val="20"/>
        </w:rPr>
        <w:t xml:space="preserve">12 monthly payments that Sidley applies to the balance of the Sidley </w:t>
      </w:r>
      <w:bookmarkStart w:id="1179" w:name="xdx_909_ecustom--UnpaidFeeDescription_c2"/>
      <w:bookmarkEnd w:id="1179"/>
      <w:r>
        <w:rPr>
          <w:rFonts w:ascii="Times New Roman;Times;Serif" w:hAnsi="Times New Roman;Times;Serif"/>
          <w:b w:val="false"/>
          <w:i w:val="false"/>
          <w:caps w:val="false"/>
          <w:smallCaps w:val="false"/>
          <w:sz w:val="20"/>
        </w:rPr>
        <w:t xml:space="preserve">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w:t>
      </w:r>
      <w:bookmarkStart w:id="1180" w:name="xdx_909_ecustom--ShortfallAccruedInteres"/>
      <w:bookmarkEnd w:id="1180"/>
      <w:r>
        <w:rPr>
          <w:rFonts w:ascii="Times New Roman;Times;Serif" w:hAnsi="Times New Roman;Times;Serif"/>
          <w:b w:val="false"/>
          <w:i w:val="false"/>
          <w:caps w:val="false"/>
          <w:smallCaps w:val="false"/>
          <w:sz w:val="20"/>
        </w:rPr>
        <w:t>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w:t>
      </w:r>
      <w:bookmarkStart w:id="1181" w:name="xdx_90E_eus-gaap--GainsLossesOnExtinguis"/>
      <w:bookmarkEnd w:id="1181"/>
      <w:r>
        <w:rPr>
          <w:rFonts w:ascii="Times New Roman;Times;Serif" w:hAnsi="Times New Roman;Times;Serif"/>
          <w:b w:val="false"/>
          <w:i w:val="false"/>
          <w:caps w:val="false"/>
          <w:smallCaps w:val="false"/>
          <w:sz w:val="20"/>
        </w:rPr>
        <w:t xml:space="preserve">3.2 million, recognized within gain on extinguishment of liabilities on the </w:t>
      </w:r>
      <w:r>
        <w:rPr>
          <w:rFonts w:ascii="Times New Roman;Times;Serif" w:hAnsi="Times New Roman;Times;Serif"/>
          <w:b w:val="false"/>
          <w:i w:val="false"/>
          <w:caps w:val="false"/>
          <w:smallCaps w:val="false"/>
          <w:sz w:val="20"/>
          <w:shd w:fill="FFFFFF" w:val="clear"/>
        </w:rPr>
        <w:t>unaudited condensed consolidated statements of operations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w:t>
      </w:r>
      <w:bookmarkStart w:id="1182" w:name="xdx_901_eus-gaap--DebtInstrumentFeeAmoun"/>
      <w:bookmarkEnd w:id="1182"/>
      <w:r>
        <w:rPr>
          <w:rFonts w:ascii="Times New Roman;Times;Serif" w:hAnsi="Times New Roman;Times;Serif"/>
          <w:b w:val="false"/>
          <w:i w:val="false"/>
          <w:caps w:val="false"/>
          <w:smallCaps w:val="false"/>
          <w:sz w:val="20"/>
        </w:rPr>
        <w:t>1,072 to $</w:t>
      </w:r>
      <w:bookmarkStart w:id="1183" w:name="xdx_905_eus-gaap--DebtInstrumentFeeAmoun"/>
      <w:bookmarkEnd w:id="1183"/>
      <w:r>
        <w:rPr>
          <w:rFonts w:ascii="Times New Roman;Times;Serif" w:hAnsi="Times New Roman;Times;Serif"/>
          <w:b w:val="false"/>
          <w:i w:val="false"/>
          <w:caps w:val="false"/>
          <w:smallCaps w:val="false"/>
          <w:sz w:val="20"/>
        </w:rPr>
        <w:t xml:space="preserve">357 (the “Donnelley Unpaid Fee”). The Donnelley Unpaid Fee will be paid in </w:t>
      </w:r>
      <w:bookmarkStart w:id="1184" w:name="xdx_903_eus-gaap--DebtInstrumentFrequenc"/>
      <w:bookmarkEnd w:id="1184"/>
      <w:r>
        <w:rPr>
          <w:rFonts w:ascii="Times New Roman;Times;Serif" w:hAnsi="Times New Roman;Times;Serif"/>
          <w:b w:val="false"/>
          <w:i w:val="false"/>
          <w:caps w:val="false"/>
          <w:smallCaps w:val="false"/>
          <w:sz w:val="20"/>
        </w:rPr>
        <w:t>12 monthly installments, with the first monthly payment of $</w:t>
      </w:r>
      <w:bookmarkStart w:id="1185" w:name="xdx_90E_eus-gaap--DebtInstrumentPeriodic"/>
      <w:bookmarkEnd w:id="1185"/>
      <w:r>
        <w:rPr>
          <w:rFonts w:ascii="Times New Roman;Times;Serif" w:hAnsi="Times New Roman;Times;Serif"/>
          <w:b w:val="false"/>
          <w:i w:val="false"/>
          <w:caps w:val="false"/>
          <w:smallCaps w:val="false"/>
          <w:sz w:val="20"/>
        </w:rPr>
        <w:t xml:space="preserve">45 due on October 1, 2024; the remaining </w:t>
      </w:r>
      <w:bookmarkStart w:id="1186" w:name="xdx_904_ecustom--NumberOfInstallmentsRem"/>
      <w:bookmarkEnd w:id="1186"/>
      <w:r>
        <w:rPr>
          <w:rFonts w:ascii="Times New Roman;Times;Serif" w:hAnsi="Times New Roman;Times;Serif"/>
          <w:b w:val="false"/>
          <w:i w:val="false"/>
          <w:caps w:val="false"/>
          <w:smallCaps w:val="false"/>
          <w:sz w:val="20"/>
        </w:rPr>
        <w:t>11 payments shall each be in the amount of $</w:t>
      </w:r>
      <w:bookmarkStart w:id="1187" w:name="xdx_90E_ecustom--RemainingMonthlyInstall"/>
      <w:bookmarkEnd w:id="1187"/>
      <w:r>
        <w:rPr>
          <w:rFonts w:ascii="Times New Roman;Times;Serif" w:hAnsi="Times New Roman;Times;Serif"/>
          <w:b w:val="false"/>
          <w:i w:val="false"/>
          <w:caps w:val="false"/>
          <w:smallCaps w:val="false"/>
          <w:sz w:val="20"/>
        </w:rPr>
        <w:t xml:space="preserve">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w:t>
      </w:r>
      <w:bookmarkStart w:id="1188" w:name="xdx_90D_eus-gaap--GainsLossesOnExtinguis"/>
      <w:bookmarkEnd w:id="1188"/>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remaining unpaid balance of $</w:t>
      </w:r>
      <w:bookmarkStart w:id="1189" w:name="xdx_903_eus-gaap--DebtInstrumentFeeAmoun"/>
      <w:bookmarkEnd w:id="1189"/>
      <w:r>
        <w:rPr>
          <w:rFonts w:ascii="Times New Roman;Times;Serif" w:hAnsi="Times New Roman;Times;Serif"/>
          <w:b w:val="false"/>
          <w:i w:val="false"/>
          <w:caps w:val="false"/>
          <w:smallCaps w:val="false"/>
          <w:sz w:val="20"/>
        </w:rPr>
        <w:t>85 is included in accrued expenses and other current liabilities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w:t>
      </w:r>
      <w:bookmarkStart w:id="1190" w:name="xdx_902_eus-gaap--DebtInstrumentFeeAmoun"/>
      <w:bookmarkEnd w:id="1190"/>
      <w:r>
        <w:rPr>
          <w:rFonts w:ascii="Times New Roman;Times;Serif" w:hAnsi="Times New Roman;Times;Serif"/>
          <w:b w:val="false"/>
          <w:i w:val="false"/>
          <w:caps w:val="false"/>
          <w:smallCaps w:val="false"/>
          <w:sz w:val="20"/>
        </w:rPr>
        <w:t>197 (the “Verista Unpaid Fee”). The Company and Verista have agreed that the Verista Unpaid Fee will be repaid with $</w:t>
      </w:r>
      <w:bookmarkStart w:id="1191" w:name="xdx_903_eus-gaap--StockIssuedDuringPerio"/>
      <w:bookmarkEnd w:id="1191"/>
      <w:r>
        <w:rPr>
          <w:rFonts w:ascii="Times New Roman;Times;Serif" w:hAnsi="Times New Roman;Times;Serif"/>
          <w:b w:val="false"/>
          <w:i w:val="false"/>
          <w:caps w:val="false"/>
          <w:smallCaps w:val="false"/>
          <w:sz w:val="20"/>
        </w:rPr>
        <w:t>67 worth of shares of the Company, and $</w:t>
      </w:r>
      <w:bookmarkStart w:id="1192" w:name="xdx_904_ecustom--DebtInstrumentFeeRemain"/>
      <w:bookmarkEnd w:id="1192"/>
      <w:r>
        <w:rPr>
          <w:rFonts w:ascii="Times New Roman;Times;Serif" w:hAnsi="Times New Roman;Times;Serif"/>
          <w:b w:val="false"/>
          <w:i w:val="false"/>
          <w:caps w:val="false"/>
          <w:smallCaps w:val="false"/>
          <w:sz w:val="20"/>
        </w:rPr>
        <w:t xml:space="preserve">130 in </w:t>
      </w:r>
      <w:bookmarkStart w:id="1193" w:name="xdx_902_eus-gaap--DebtInstrumentFrequenc"/>
      <w:bookmarkEnd w:id="1193"/>
      <w:r>
        <w:rPr>
          <w:rFonts w:ascii="Times New Roman;Times;Serif" w:hAnsi="Times New Roman;Times;Serif"/>
          <w:b w:val="false"/>
          <w:i w:val="false"/>
          <w:caps w:val="false"/>
          <w:smallCaps w:val="false"/>
          <w:sz w:val="20"/>
        </w:rPr>
        <w:t>16 equal cash installment payments of $</w:t>
      </w:r>
      <w:bookmarkStart w:id="1194" w:name="xdx_90E_ecustom--RemainingMonthlyInstall"/>
      <w:bookmarkEnd w:id="1194"/>
      <w:r>
        <w:rPr>
          <w:rFonts w:ascii="Times New Roman;Times;Serif" w:hAnsi="Times New Roman;Times;Serif"/>
          <w:b w:val="false"/>
          <w:i w:val="false"/>
          <w:caps w:val="false"/>
          <w:smallCaps w:val="false"/>
          <w:sz w:val="20"/>
        </w:rPr>
        <w:t xml:space="preserve">8 beginning on October 1, 2024, and on the first day of each month thereafter through January 1, 2026. As of March 31, 2026, the Company had issued </w:t>
      </w:r>
      <w:bookmarkStart w:id="1195" w:name="xdx_907_eus-gaap--StockIssuedDuringPerio"/>
      <w:bookmarkEnd w:id="1195"/>
      <w:r>
        <w:rPr>
          <w:rFonts w:ascii="Times New Roman;Times;Serif" w:hAnsi="Times New Roman;Times;Serif"/>
          <w:b w:val="false"/>
          <w:i w:val="false"/>
          <w:caps w:val="false"/>
          <w:smallCaps w:val="false"/>
          <w:sz w:val="20"/>
        </w:rPr>
        <w:t>3,000 shares and made aggregate installment payments of $</w:t>
      </w:r>
      <w:bookmarkStart w:id="1196" w:name="xdx_90E_eus-gaap--DebtInstrumentPeriodic"/>
      <w:bookmarkEnd w:id="1196"/>
      <w:r>
        <w:rPr>
          <w:rFonts w:ascii="Times New Roman;Times;Serif" w:hAnsi="Times New Roman;Times;Serif"/>
          <w:b w:val="false"/>
          <w:i w:val="false"/>
          <w:caps w:val="false"/>
          <w:smallCaps w:val="false"/>
          <w:sz w:val="20"/>
        </w:rPr>
        <w:t>78 to Verista. The remaining unpaid balance of $</w:t>
      </w:r>
      <w:bookmarkStart w:id="1197" w:name="xdx_903_eus-gaap--DebtInstrumentFeeAmoun"/>
      <w:bookmarkEnd w:id="1197"/>
      <w:r>
        <w:rPr>
          <w:rFonts w:ascii="Times New Roman;Times;Serif" w:hAnsi="Times New Roman;Times;Serif"/>
          <w:b w:val="false"/>
          <w:i w:val="false"/>
          <w:caps w:val="false"/>
          <w:smallCaps w:val="false"/>
          <w:sz w:val="20"/>
        </w:rPr>
        <w:t>46 is included in Accounts Payable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1198" w:name="xdx_80B_eus-gaap--StockholdersEquityNote"/>
      <w:bookmarkEnd w:id="1198"/>
      <w:r>
        <w:rPr>
          <w:rFonts w:ascii="Times New Roman;Times;Serif" w:hAnsi="Times New Roman;Times;Serif"/>
          <w:b/>
          <w:i w:val="false"/>
          <w:caps w:val="false"/>
          <w:smallCaps w:val="false"/>
          <w:sz w:val="20"/>
          <w:shd w:fill="FFFFFF" w:val="clear"/>
        </w:rPr>
        <w:t xml:space="preserve">14. </w:t>
      </w:r>
      <w:bookmarkStart w:id="1199" w:name="xdx_82C_zzCCEVGhM7M7"/>
      <w:bookmarkEnd w:id="1199"/>
      <w:r>
        <w:rPr>
          <w:rFonts w:ascii="Times New Roman;Times;Serif" w:hAnsi="Times New Roman;Times;Serif"/>
          <w:b/>
          <w:i w:val="false"/>
          <w:caps w:val="false"/>
          <w:smallCaps w:val="false"/>
          <w:sz w:val="20"/>
          <w:shd w:fill="FFFFFF" w:val="clear"/>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w:t>
      </w:r>
      <w:bookmarkStart w:id="1200" w:name="xdx_90C_eus-gaap--PreferredStockParOrSta"/>
      <w:bookmarkEnd w:id="1200"/>
      <w:r>
        <w:rPr>
          <w:rFonts w:ascii="Times New Roman;Times;Serif" w:hAnsi="Times New Roman;Times;Serif"/>
          <w:b w:val="false"/>
          <w:i w:val="false"/>
          <w:caps w:val="false"/>
          <w:smallCaps w:val="false"/>
          <w:sz w:val="20"/>
          <w:shd w:fill="FFFFFF" w:val="clear"/>
        </w:rPr>
        <w:t>0.0001 per share. The table below sets forth information about the Company’s equity, as of March 31, 2026:</w:t>
      </w:r>
    </w:p>
    <w:p>
      <w:pPr>
        <w:pStyle w:val="TextBody"/>
        <w:bidi w:val="0"/>
        <w:spacing w:before="0" w:after="0"/>
        <w:ind w:left="0" w:right="0" w:hanging="0"/>
        <w:jc w:val="both"/>
        <w:rPr>
          <w:caps w:val="false"/>
          <w:smallCaps w:val="false"/>
        </w:rPr>
      </w:pPr>
      <w:bookmarkStart w:id="1201" w:name="xdx_899_eus-gaap--ScheduleOfStockByClass"/>
      <w:bookmarkEnd w:id="1201"/>
      <w:r>
        <w:rPr>
          <w:caps w:val="false"/>
          <w:smallCaps w:val="false"/>
        </w:rPr>
        <w:t> </w:t>
      </w:r>
      <w:bookmarkStart w:id="1202" w:name="xdx_8B1_zCZMv0eKPmqa"/>
      <w:bookmarkEnd w:id="1202"/>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3" w:name="xdx_986_eus-gaap--PreferredStockSharesAu"/>
            <w:bookmarkEnd w:id="1203"/>
          </w:p>
        </w:tc>
        <w:tc>
          <w:tcPr>
            <w:tcW w:w="1220" w:type="dxa"/>
            <w:tcBorders/>
            <w:shd w:fill="CCEEFF" w:val="clear"/>
            <w:vAlign w:val="center"/>
          </w:tcPr>
          <w:p>
            <w:pPr>
              <w:pStyle w:val="TableContents"/>
              <w:bidi w:val="0"/>
              <w:spacing w:before="0" w:after="283"/>
              <w:jc w:val="right"/>
              <w:rPr/>
            </w:pPr>
            <w:r>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4" w:name="xdx_98B_eus-gaap--PreferredStockSharesIs"/>
            <w:bookmarkEnd w:id="1204"/>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205" w:name="xdx_98F_eus-gaap--PreferredStockSharesOu"/>
            <w:bookmarkEnd w:id="1205"/>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6" w:name="xdx_984_eus-gaap--PreferredStockSharesAu"/>
            <w:bookmarkEnd w:id="1206"/>
          </w:p>
        </w:tc>
        <w:tc>
          <w:tcPr>
            <w:tcW w:w="12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7" w:name="xdx_986_eus-gaap--PreferredStockSharesIs"/>
            <w:bookmarkEnd w:id="1207"/>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1208" w:name="xdx_989_eus-gaap--PreferredStockSharesOu"/>
            <w:bookmarkEnd w:id="1208"/>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9" w:name="xdx_985_eus-gaap--CommonStockSharesAutho"/>
            <w:bookmarkEnd w:id="1209"/>
          </w:p>
        </w:tc>
        <w:tc>
          <w:tcPr>
            <w:tcW w:w="1220" w:type="dxa"/>
            <w:tcBorders/>
            <w:shd w:fill="CCEEFF" w:val="clear"/>
            <w:vAlign w:val="center"/>
          </w:tcPr>
          <w:p>
            <w:pPr>
              <w:pStyle w:val="TableContents"/>
              <w:bidi w:val="0"/>
              <w:spacing w:before="0" w:after="283"/>
              <w:jc w:val="right"/>
              <w:rPr/>
            </w:pPr>
            <w:r>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0" w:name="xdx_981_eus-gaap--CommonStockSharesIssue"/>
            <w:bookmarkEnd w:id="1210"/>
          </w:p>
        </w:tc>
        <w:tc>
          <w:tcPr>
            <w:tcW w:w="800" w:type="dxa"/>
            <w:tcBorders/>
            <w:shd w:fill="CCEEFF" w:val="clear"/>
            <w:vAlign w:val="center"/>
          </w:tcPr>
          <w:p>
            <w:pPr>
              <w:pStyle w:val="TableContents"/>
              <w:bidi w:val="0"/>
              <w:spacing w:before="0" w:after="283"/>
              <w:jc w:val="right"/>
              <w:rPr/>
            </w:pPr>
            <w:r>
              <w:rPr/>
              <w:t>855,799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211" w:name="xdx_986_eus-gaap--CommonStockSharesOutst"/>
            <w:bookmarkEnd w:id="1211"/>
          </w:p>
        </w:tc>
        <w:tc>
          <w:tcPr>
            <w:tcW w:w="1191" w:type="dxa"/>
            <w:tcBorders/>
            <w:shd w:fill="CCEEFF" w:val="clear"/>
            <w:vAlign w:val="center"/>
          </w:tcPr>
          <w:p>
            <w:pPr>
              <w:pStyle w:val="TableContents"/>
              <w:bidi w:val="0"/>
              <w:spacing w:before="0" w:after="283"/>
              <w:jc w:val="right"/>
              <w:rPr/>
            </w:pPr>
            <w:r>
              <w:rPr/>
              <w:t>855,799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2" w:name="xdx_981_eus-gaap--CommonStockSharesAutho"/>
            <w:bookmarkEnd w:id="1212"/>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3" w:name="xdx_98D_eus-gaap--CommonStockSharesIssue"/>
            <w:bookmarkEnd w:id="1213"/>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4" w:name="xdx_985_eus-gaap--CommonStockSharesOutst"/>
            <w:bookmarkEnd w:id="1214"/>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5" w:name="xdx_98F_ecustom--SharesAuthorized_iI_pid"/>
            <w:bookmarkEnd w:id="1215"/>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6" w:name="xdx_980_eus-gaap--SharesIssued_iI_pid_c2"/>
            <w:bookmarkEnd w:id="121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7" w:name="xdx_98E_eus-gaap--SharesOutstanding_iI_p"/>
            <w:bookmarkEnd w:id="1217"/>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hd w:fill="FFFFFF" w:val="clear"/>
        </w:rPr>
      </w:pPr>
      <w:bookmarkStart w:id="1218" w:name="xdx_8AC_z0fh5UXvZ0Oh"/>
      <w:bookmarkEnd w:id="1218"/>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9" w:name="xdx_90D_eus-gaap--CommonStockVotingRight"/>
      <w:bookmarkEnd w:id="1219"/>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w:t>
      </w:r>
      <w:bookmarkStart w:id="1220" w:name="xdx_90F_eus-gaap--PreferredStockSharesIs"/>
      <w:bookmarkEnd w:id="1220"/>
      <w:r>
        <w:rPr>
          <w:rFonts w:ascii="Times New Roman;Times;Serif" w:hAnsi="Times New Roman;Times;Serif"/>
          <w:b w:val="false"/>
          <w:i w:val="false"/>
          <w:caps w:val="false"/>
          <w:smallCaps w:val="false"/>
          <w:sz w:val="20"/>
        </w:rPr>
        <w:t xml:space="preserve">1) share of series FE preferred stock (the “Series FE Preferred Stock”), to one of the OpenReel Stockholders, FE IV OR Aggregator, LLC. The Series FE Preferred Stock has a </w:t>
      </w:r>
      <w:bookmarkStart w:id="1221" w:name="xdx_905_eus-gaap--PreferredStockContract"/>
      <w:bookmarkEnd w:id="1221"/>
      <w:r>
        <w:rPr>
          <w:rFonts w:ascii="Times New Roman;Times;Serif" w:hAnsi="Times New Roman;Times;Serif"/>
          <w:b w:val="false"/>
          <w:i w:val="false"/>
          <w:caps w:val="false"/>
          <w:smallCaps w:val="false"/>
          <w:sz w:val="20"/>
        </w:rPr>
        <w:t>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Standby Equity Purchase Agreement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w:t>
      </w:r>
      <w:bookmarkStart w:id="1222" w:name="xdx_900_eus-gaap--AssetAcquisitionConsid"/>
      <w:bookmarkEnd w:id="1222"/>
      <w:r>
        <w:rPr>
          <w:rFonts w:ascii="Times New Roman;Times;Serif" w:hAnsi="Times New Roman;Times;Serif"/>
          <w:b w:val="false"/>
          <w:i w:val="false"/>
          <w:caps w:val="false"/>
          <w:smallCaps w:val="false"/>
          <w:sz w:val="20"/>
        </w:rPr>
        <w:t>100 million of the Company’s shares of Class A common stock, par value $</w:t>
      </w:r>
      <w:bookmarkStart w:id="1223" w:name="xdx_906_eus-gaap--CommonStockParOrStated"/>
      <w:bookmarkEnd w:id="1223"/>
      <w:r>
        <w:rPr>
          <w:rFonts w:ascii="Times New Roman;Times;Serif" w:hAnsi="Times New Roman;Times;Serif"/>
          <w:b w:val="false"/>
          <w:i w:val="false"/>
          <w:caps w:val="false"/>
          <w:smallCaps w:val="false"/>
          <w:sz w:val="20"/>
        </w:rPr>
        <w:t>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an “Advance”) the Company requests under the SEPA (notice of such request, an “Advance Notice”) may be for a number of shares of Class A common stock up to the greater of (i) </w:t>
      </w:r>
      <w:bookmarkStart w:id="1224" w:name="xdx_90E_eus-gaap--SharesIssued_iI_pid_c2"/>
      <w:bookmarkEnd w:id="1224"/>
      <w:r>
        <w:rPr>
          <w:rFonts w:ascii="Times New Roman;Times;Serif" w:hAnsi="Times New Roman;Times;Serif"/>
          <w:b w:val="false"/>
          <w:i w:val="false"/>
          <w:caps w:val="false"/>
          <w:smallCaps w:val="false"/>
          <w:sz w:val="20"/>
        </w:rPr>
        <w:t xml:space="preserve">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w:t>
      </w:r>
      <w:bookmarkStart w:id="1225" w:name="xdx_90C_ecustom--PercentageOfSharesOutst"/>
      <w:bookmarkEnd w:id="1225"/>
      <w:r>
        <w:rPr>
          <w:rFonts w:ascii="Times New Roman;Times;Serif" w:hAnsi="Times New Roman;Times;Serif"/>
          <w:b w:val="false"/>
          <w:i w:val="false"/>
          <w:caps w:val="false"/>
          <w:smallCaps w:val="false"/>
          <w:sz w:val="20"/>
        </w:rPr>
        <w:t>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26" w:name="xdx_903_ecustom--PercentageOfAverageDail"/>
            <w:bookmarkEnd w:id="1226"/>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27" w:name="xdx_905_ecustom--PercentageOfLowestDaily"/>
            <w:bookmarkEnd w:id="1227"/>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purchase under an Advance would be subject to certain limitations, including that Yorkville shall not purchase or acquire any shares that would result in it and its affiliates beneficially owning more than </w:t>
      </w:r>
      <w:bookmarkStart w:id="1228" w:name="xdx_90F_ecustom--PurchaseOfStockPercenta"/>
      <w:bookmarkEnd w:id="1228"/>
      <w:r>
        <w:rPr>
          <w:rFonts w:ascii="Times New Roman;Times;Serif" w:hAnsi="Times New Roman;Times;Serif"/>
          <w:b w:val="false"/>
          <w:i w:val="false"/>
          <w:caps w:val="false"/>
          <w:smallCaps w:val="false"/>
          <w:sz w:val="20"/>
        </w:rPr>
        <w:t xml:space="preserve">9.99% of the then outstanding voting power or number of shares of Class A common stock or any shares that, aggregated with shares issued under all other earlier Advances, would exceed </w:t>
      </w:r>
      <w:bookmarkStart w:id="1229" w:name="xdx_907_ecustom--PurchaseOfStockPercenta"/>
      <w:bookmarkEnd w:id="1229"/>
      <w:r>
        <w:rPr>
          <w:rFonts w:ascii="Times New Roman;Times;Serif" w:hAnsi="Times New Roman;Times;Serif"/>
          <w:b w:val="false"/>
          <w:i w:val="false"/>
          <w:caps w:val="false"/>
          <w:smallCaps w:val="false"/>
          <w:sz w:val="20"/>
        </w:rPr>
        <w:t>19.99% of all shares of Class A Common Stock and Class B Common Stock of the Company, par value $</w:t>
      </w:r>
      <w:bookmarkStart w:id="1230" w:name="xdx_906_eus-gaap--CommonStockParOrStated"/>
      <w:bookmarkEnd w:id="1230"/>
      <w:r>
        <w:rPr>
          <w:rFonts w:ascii="Times New Roman;Times;Serif" w:hAnsi="Times New Roman;Times;Serif"/>
          <w:b w:val="false"/>
          <w:i w:val="false"/>
          <w:caps w:val="false"/>
          <w:smallCaps w:val="false"/>
          <w:sz w:val="20"/>
        </w:rPr>
        <w:t>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w:t>
      </w:r>
      <w:bookmarkStart w:id="1231" w:name="xdx_906_ecustom--CommitmentFeePayable_iI"/>
      <w:bookmarkEnd w:id="1231"/>
      <w:r>
        <w:rPr>
          <w:rFonts w:ascii="Times New Roman;Times;Serif" w:hAnsi="Times New Roman;Times;Serif"/>
          <w:b w:val="false"/>
          <w:i w:val="false"/>
          <w:caps w:val="false"/>
          <w:smallCaps w:val="false"/>
          <w:sz w:val="20"/>
        </w:rPr>
        <w:t xml:space="preserve">500 to Yorkville at the earlier of (i) March 14, 2024 or (ii) the termination of the SEPA, which will be payable, at the option of the Company, in cash or shares of Class A Common Stock through an Advance (the “Deferred Fee”). In March 2024 the Company issued </w:t>
      </w:r>
      <w:bookmarkStart w:id="1232" w:name="xdx_90D_ecustom--SharesIssuedAsPaymentOf"/>
      <w:bookmarkEnd w:id="1232"/>
      <w:r>
        <w:rPr>
          <w:rFonts w:ascii="Times New Roman;Times;Serif" w:hAnsi="Times New Roman;Times;Serif"/>
          <w:b w:val="false"/>
          <w:i w:val="false"/>
          <w:caps w:val="false"/>
          <w:smallCaps w:val="false"/>
          <w:sz w:val="20"/>
        </w:rPr>
        <w:t>71 shares of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w:t>
      </w:r>
      <w:bookmarkStart w:id="1233" w:name="xdx_900_eus-gaap--SharesIssuedPricePerSh"/>
      <w:bookmarkEnd w:id="1233"/>
      <w:r>
        <w:rPr>
          <w:rFonts w:ascii="Times New Roman;Times;Serif" w:hAnsi="Times New Roman;Times;Serif"/>
          <w:b w:val="false"/>
          <w:i w:val="false"/>
          <w:caps w:val="false"/>
          <w:smallCaps w:val="false"/>
          <w:sz w:val="20"/>
        </w:rPr>
        <w:t xml:space="preserve">100,000.00 per share of Class A common stock (the “Fixed Price”), or (ii) </w:t>
      </w:r>
      <w:bookmarkStart w:id="1234" w:name="xdx_909_ecustom--PercentageOfLowestDaily"/>
      <w:bookmarkEnd w:id="1234"/>
      <w:r>
        <w:rPr>
          <w:rFonts w:ascii="Times New Roman;Times;Serif" w:hAnsi="Times New Roman;Times;Serif"/>
          <w:b w:val="false"/>
          <w:i w:val="false"/>
          <w:caps w:val="false"/>
          <w:smallCaps w:val="false"/>
          <w:sz w:val="20"/>
        </w:rPr>
        <w:t>90% of the lowest daily Volume Weighted Average Price (“VWAP”) of the Class A common stock on Nasdaq during the 10 consecutive Trading Days immediately preceding the Investor Notice date or other date of determination (the “Variable Price”). The Variable Price shall not be lower than $</w:t>
      </w:r>
      <w:bookmarkStart w:id="1235" w:name="xdx_902_ecustom--MaximumFloorPrice_iI_pi"/>
      <w:bookmarkEnd w:id="1235"/>
      <w:r>
        <w:rPr>
          <w:rFonts w:ascii="Times New Roman;Times;Serif" w:hAnsi="Times New Roman;Times;Serif"/>
          <w:b w:val="false"/>
          <w:i w:val="false"/>
          <w:caps w:val="false"/>
          <w:smallCaps w:val="false"/>
          <w:sz w:val="20"/>
        </w:rPr>
        <w:t xml:space="preserve">20,000.00 per share (the “Floor Price”). </w:t>
      </w:r>
      <w:bookmarkStart w:id="1236" w:name="xdx_901_ecustom--FloorPriceAdjustment_pi"/>
      <w:bookmarkEnd w:id="1236"/>
      <w:r>
        <w:rPr>
          <w:rFonts w:ascii="Times New Roman;Times;Serif" w:hAnsi="Times New Roman;Times;Serif"/>
          <w:b w:val="false"/>
          <w:i w:val="false"/>
          <w:caps w:val="false"/>
          <w:smallCaps w:val="false"/>
          <w:sz w:val="20"/>
        </w:rPr>
        <w:t xml:space="preserve">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w:t>
      </w:r>
      <w:bookmarkStart w:id="1237" w:name="xdx_90F_ecustom--MaximumPercentageOfClos"/>
      <w:bookmarkEnd w:id="1237"/>
      <w:r>
        <w:rPr>
          <w:rFonts w:ascii="Times New Roman;Times;Serif" w:hAnsi="Times New Roman;Times;Serif"/>
          <w:b w:val="false"/>
          <w:i w:val="false"/>
          <w:caps w:val="false"/>
          <w:smallCaps w:val="false"/>
          <w:sz w:val="20"/>
        </w:rPr>
        <w:t>75% of the closing price on the Trading Day immediately prior to the time of such reduction and no greater than $</w:t>
      </w:r>
      <w:bookmarkStart w:id="1238" w:name="xdx_90D_eus-gaap--CommonStockConvertible"/>
      <w:bookmarkEnd w:id="1238"/>
      <w:r>
        <w:rPr>
          <w:rFonts w:ascii="Times New Roman;Times;Serif" w:hAnsi="Times New Roman;Times;Serif"/>
          <w:b w:val="false"/>
          <w:i w:val="false"/>
          <w:caps w:val="false"/>
          <w:smallCaps w:val="false"/>
          <w:sz w:val="20"/>
        </w:rPr>
        <w:t>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requested the purchase of a total of </w:t>
      </w:r>
      <w:bookmarkStart w:id="1239" w:name="xdx_901_eus-gaap--CommonStockSharesAutho"/>
      <w:bookmarkEnd w:id="1239"/>
      <w:r>
        <w:rPr>
          <w:rFonts w:ascii="Times New Roman;Times;Serif" w:hAnsi="Times New Roman;Times;Serif"/>
          <w:b w:val="false"/>
          <w:i w:val="false"/>
          <w:caps w:val="false"/>
          <w:smallCaps w:val="false"/>
          <w:sz w:val="20"/>
        </w:rPr>
        <w:t>15,875 shares of the Company’s Class A common stock in connection with the Option 1 Advances, which Yorkville purchased for a total purchase price of approximately $</w:t>
      </w:r>
      <w:bookmarkStart w:id="1240" w:name="xdx_908_eus-gaap--ProceedsFromIssuanceOr"/>
      <w:bookmarkEnd w:id="1240"/>
      <w:r>
        <w:rPr>
          <w:rFonts w:ascii="Times New Roman;Times;Serif" w:hAnsi="Times New Roman;Times;Serif"/>
          <w:b w:val="false"/>
          <w:i w:val="false"/>
          <w:caps w:val="false"/>
          <w:smallCaps w:val="false"/>
          <w:sz w:val="20"/>
        </w:rPr>
        <w:t>336. The Company recognized a loss of approximately $</w:t>
      </w:r>
      <w:bookmarkStart w:id="1241" w:name="xdx_90E_eus-gaap--GainsLossesOnExtinguis"/>
      <w:bookmarkEnd w:id="1241"/>
      <w:r>
        <w:rPr>
          <w:rFonts w:ascii="Times New Roman;Times;Serif" w:hAnsi="Times New Roman;Times;Serif"/>
          <w:b w:val="false"/>
          <w:i w:val="false"/>
          <w:caps w:val="false"/>
          <w:smallCaps w:val="false"/>
          <w:sz w:val="20"/>
        </w:rPr>
        <w:t>14 on the sales during the three months ended March 31, 2026,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requested the purchase of a total of </w:t>
      </w:r>
      <w:bookmarkStart w:id="1242" w:name="xdx_90C_eus-gaap--CommonStockSharesAutho"/>
      <w:bookmarkEnd w:id="1242"/>
      <w:r>
        <w:rPr>
          <w:rFonts w:ascii="Times New Roman;Times;Serif" w:hAnsi="Times New Roman;Times;Serif"/>
          <w:b w:val="false"/>
          <w:i w:val="false"/>
          <w:caps w:val="false"/>
          <w:smallCaps w:val="false"/>
          <w:sz w:val="20"/>
        </w:rPr>
        <w:t>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w:t>
      </w:r>
      <w:bookmarkStart w:id="1243" w:name="xdx_908_eus-gaap--DerivativeInstrumentsI"/>
      <w:bookmarkEnd w:id="1243"/>
      <w:r>
        <w:rPr>
          <w:rFonts w:ascii="Times New Roman;Times;Serif" w:hAnsi="Times New Roman;Times;Serif"/>
          <w:b w:val="false"/>
          <w:i w:val="false"/>
          <w:caps w:val="false"/>
          <w:smallCaps w:val="false"/>
          <w:sz w:val="20"/>
        </w:rPr>
        <w:t>14 in the aggregate, the fair values of which represented the intrinsic value of the requested number of shares of Class A common stock on the Advance Notice dates. The Company recognized a loss of approximately $</w:t>
      </w:r>
      <w:bookmarkStart w:id="1244" w:name="xdx_90C_eus-gaap--GainsLossesOnExtinguis"/>
      <w:bookmarkEnd w:id="1244"/>
      <w:r>
        <w:rPr>
          <w:rFonts w:ascii="Times New Roman;Times;Serif" w:hAnsi="Times New Roman;Times;Serif"/>
          <w:b w:val="false"/>
          <w:i w:val="false"/>
          <w:caps w:val="false"/>
          <w:smallCaps w:val="false"/>
          <w:sz w:val="20"/>
        </w:rPr>
        <w:t xml:space="preserve">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w:t>
      </w:r>
      <w:bookmarkStart w:id="1245" w:name="xdx_904_ecustom--SharesSold_iI_pid_c2026"/>
      <w:bookmarkEnd w:id="1245"/>
      <w:r>
        <w:rPr>
          <w:rFonts w:ascii="Times New Roman;Times;Serif" w:hAnsi="Times New Roman;Times;Serif"/>
          <w:b w:val="false"/>
          <w:i w:val="false"/>
          <w:caps w:val="false"/>
          <w:smallCaps w:val="false"/>
          <w:sz w:val="20"/>
        </w:rPr>
        <w:t>15,875 shares of the Company’s Class A common stock to Yorkville for total proceeds of approximately $</w:t>
      </w:r>
      <w:bookmarkStart w:id="1246" w:name="xdx_905_ecustom--GrossProceeds_pn3n3_c20"/>
      <w:bookmarkEnd w:id="1246"/>
      <w:r>
        <w:rPr>
          <w:rFonts w:ascii="Times New Roman;Times;Serif" w:hAnsi="Times New Roman;Times;Serif"/>
          <w:b w:val="false"/>
          <w:i w:val="false"/>
          <w:caps w:val="false"/>
          <w:smallCaps w:val="false"/>
          <w:sz w:val="20"/>
        </w:rPr>
        <w:t>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the three months ended March 31, 2026, the Company settled five Advance Notices subject to the Option 2 Pricing Period issued on December 30, 2024, and accordingly sold </w:t>
      </w:r>
      <w:bookmarkStart w:id="1247" w:name="xdx_903_ecustom--SharesSold_iI_pid_c2024"/>
      <w:bookmarkEnd w:id="1247"/>
      <w:r>
        <w:rPr>
          <w:rFonts w:ascii="Times New Roman;Times;Serif" w:hAnsi="Times New Roman;Times;Serif"/>
          <w:b w:val="false"/>
          <w:i w:val="false"/>
          <w:caps w:val="false"/>
          <w:smallCaps w:val="false"/>
          <w:sz w:val="20"/>
        </w:rPr>
        <w:t>31,750 of the Company’s Class A common stock to Yorkville for proceeds of approximately $</w:t>
      </w:r>
      <w:bookmarkStart w:id="1248" w:name="xdx_90A_ecustom--GrossProceeds_pn3n3_c20"/>
      <w:bookmarkEnd w:id="1248"/>
      <w:r>
        <w:rPr>
          <w:rFonts w:ascii="Times New Roman;Times;Serif" w:hAnsi="Times New Roman;Times;Serif"/>
          <w:b w:val="false"/>
          <w:i w:val="false"/>
          <w:caps w:val="false"/>
          <w:smallCaps w:val="false"/>
          <w:sz w:val="20"/>
        </w:rPr>
        <w:t>701.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w:t>
      </w:r>
      <w:bookmarkStart w:id="1249" w:name="xdx_90C_eus-gaap--CommonStockParOrStated"/>
      <w:bookmarkEnd w:id="1249"/>
      <w:r>
        <w:rPr>
          <w:rFonts w:ascii="Times New Roman;Times;Serif" w:hAnsi="Times New Roman;Times;Serif"/>
          <w:b w:val="false"/>
          <w:i w:val="false"/>
          <w:caps w:val="false"/>
          <w:smallCaps w:val="false"/>
          <w:sz w:val="20"/>
        </w:rPr>
        <w:t>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w:t>
      </w:r>
      <w:bookmarkStart w:id="1250" w:name="xdx_900_eus-gaap--StockIssuedDuringPerio"/>
      <w:bookmarkEnd w:id="1250"/>
      <w:r>
        <w:rPr>
          <w:rFonts w:ascii="Times New Roman;Times;Serif" w:hAnsi="Times New Roman;Times;Serif"/>
          <w:b w:val="false"/>
          <w:i w:val="false"/>
          <w:caps w:val="false"/>
          <w:smallCaps w:val="false"/>
          <w:sz w:val="20"/>
        </w:rPr>
        <w:t>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provides that the Company will pay the Manager commissions for its services for acting as agent in the sale of the ATM Shares. The Manager will be entitled to compensation at a fixed commission rate equal to up to </w:t>
      </w:r>
      <w:bookmarkStart w:id="1251" w:name="xdx_906_ecustom--MaximumCommissionRateAs"/>
      <w:bookmarkEnd w:id="1251"/>
      <w:r>
        <w:rPr>
          <w:rFonts w:ascii="Times New Roman;Times;Serif" w:hAnsi="Times New Roman;Times;Serif"/>
          <w:b w:val="false"/>
          <w:i w:val="false"/>
          <w:caps w:val="false"/>
          <w:smallCaps w:val="false"/>
          <w:sz w:val="20"/>
        </w:rPr>
        <w:t>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w:t>
      </w:r>
      <w:bookmarkStart w:id="1252" w:name="xdx_90E_eus-gaap--LegalFees_pn3n3_c20251"/>
      <w:bookmarkEnd w:id="1252"/>
      <w:r>
        <w:rPr>
          <w:rFonts w:ascii="Times New Roman;Times;Serif" w:hAnsi="Times New Roman;Times;Serif"/>
          <w:b w:val="false"/>
          <w:i w:val="false"/>
          <w:caps w:val="false"/>
          <w:smallCaps w:val="false"/>
          <w:sz w:val="20"/>
        </w:rPr>
        <w:t>100 (excluding any periodic due diligence fees) incurred in connection with entering into the transactions contemplated by the ATM Agreement and has agreed to reimburse Wainwright up to a maximum of $</w:t>
      </w:r>
      <w:bookmarkStart w:id="1253" w:name="xdx_903_ecustom--WainrightReimbursement_"/>
      <w:bookmarkEnd w:id="1253"/>
      <w:r>
        <w:rPr>
          <w:rFonts w:ascii="Times New Roman;Times;Serif" w:hAnsi="Times New Roman;Times;Serif"/>
          <w:b w:val="false"/>
          <w:i w:val="false"/>
          <w:caps w:val="false"/>
          <w:smallCaps w:val="false"/>
          <w:sz w:val="20"/>
        </w:rPr>
        <w:t>5 per Representation Date (as defined in the ATM Agreement) in connection with a new Registration Statement or the filing of the Company’s Annual Report on Form 10-K and approximately $</w:t>
      </w:r>
      <w:bookmarkStart w:id="1254" w:name="xdx_909_ecustom--IncidentalExpense_pn3n3"/>
      <w:bookmarkEnd w:id="1254"/>
      <w:r>
        <w:rPr>
          <w:rFonts w:ascii="Times New Roman;Times;Serif" w:hAnsi="Times New Roman;Times;Serif"/>
          <w:b w:val="false"/>
          <w:i w:val="false"/>
          <w:caps w:val="false"/>
          <w:smallCaps w:val="false"/>
          <w:sz w:val="20"/>
        </w:rPr>
        <w:t>3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1255" w:name="xdx_904_eus-gaap--CommonStockSharesAutho"/>
      <w:bookmarkEnd w:id="1255"/>
      <w:r>
        <w:rPr>
          <w:rFonts w:ascii="Times New Roman;Times;Serif" w:hAnsi="Times New Roman;Times;Serif"/>
          <w:b w:val="false"/>
          <w:i w:val="false"/>
          <w:caps w:val="false"/>
          <w:smallCaps w:val="false"/>
          <w:sz w:val="20"/>
        </w:rPr>
        <w:t>1,595 shares of Class A common stock at $</w:t>
      </w:r>
      <w:bookmarkStart w:id="1256" w:name="xdx_900_eus-gaap--SaleOfStockPricePerSha"/>
      <w:bookmarkEnd w:id="1256"/>
      <w:r>
        <w:rPr>
          <w:rFonts w:ascii="Times New Roman;Times;Serif" w:hAnsi="Times New Roman;Times;Serif"/>
          <w:b w:val="false"/>
          <w:i w:val="false"/>
          <w:caps w:val="false"/>
          <w:smallCaps w:val="false"/>
          <w:sz w:val="20"/>
        </w:rPr>
        <w:t xml:space="preserve">138.00 per share and </w:t>
      </w:r>
      <w:bookmarkStart w:id="1257" w:name="xdx_904_eus-gaap--ClassOfWarrantOrRightO"/>
      <w:bookmarkEnd w:id="1257"/>
      <w:r>
        <w:rPr>
          <w:rFonts w:ascii="Times New Roman;Times;Serif" w:hAnsi="Times New Roman;Times;Serif"/>
          <w:b w:val="false"/>
          <w:i w:val="false"/>
          <w:caps w:val="false"/>
          <w:smallCaps w:val="false"/>
          <w:sz w:val="20"/>
        </w:rPr>
        <w:t>1,618 prefunded warrants (the “May 2025 Prefunded Warrants”) at $</w:t>
      </w:r>
      <w:bookmarkStart w:id="1258" w:name="xdx_90A_eus-gaap--SharePrice_iI_pid_c202"/>
      <w:bookmarkEnd w:id="1258"/>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1259" w:name="xdx_90C_eus-gaap--ClassOfWarrantOrRightN"/>
      <w:bookmarkEnd w:id="1259"/>
      <w:r>
        <w:rPr>
          <w:rFonts w:ascii="Times New Roman;Times;Serif" w:hAnsi="Times New Roman;Times;Serif"/>
          <w:b w:val="false"/>
          <w:i w:val="false"/>
          <w:caps w:val="false"/>
          <w:smallCaps w:val="false"/>
          <w:sz w:val="20"/>
        </w:rPr>
        <w:t>1,618 shares of Class A common stock. The Company collected in aggregate $</w:t>
      </w:r>
      <w:bookmarkStart w:id="1260" w:name="xdx_904_eus-gaap--ProceedsFromIssuanceOf"/>
      <w:bookmarkEnd w:id="1260"/>
      <w:r>
        <w:rPr>
          <w:rFonts w:ascii="Times New Roman;Times;Serif" w:hAnsi="Times New Roman;Times;Serif"/>
          <w:b w:val="false"/>
          <w:i w:val="false"/>
          <w:caps w:val="false"/>
          <w:smallCaps w:val="false"/>
          <w:sz w:val="20"/>
        </w:rPr>
        <w:t>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issued </w:t>
      </w:r>
      <w:bookmarkStart w:id="1261" w:name="xdx_90F_eus-gaap--CommonStockSharesIssue"/>
      <w:bookmarkEnd w:id="1261"/>
      <w:r>
        <w:rPr>
          <w:rFonts w:ascii="Times New Roman;Times;Serif" w:hAnsi="Times New Roman;Times;Serif"/>
          <w:b w:val="false"/>
          <w:i w:val="false"/>
          <w:caps w:val="false"/>
          <w:smallCaps w:val="false"/>
          <w:sz w:val="20"/>
        </w:rPr>
        <w:t>107,258 shares under the ATM Agreement for net proceeds of approximately $</w:t>
      </w:r>
      <w:bookmarkStart w:id="1262" w:name="xdx_90B_eus-gaap--ProceedsFromIssuanceOf"/>
      <w:bookmarkEnd w:id="1262"/>
      <w:r>
        <w:rPr>
          <w:rFonts w:ascii="Times New Roman;Times;Serif" w:hAnsi="Times New Roman;Times;Serif"/>
          <w:b w:val="false"/>
          <w:i w:val="false"/>
          <w:caps w:val="false"/>
          <w:smallCaps w:val="false"/>
          <w:sz w:val="20"/>
        </w:rPr>
        <w:t>2,636.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 xml:space="preserve">25, the Company issued </w:t>
      </w:r>
      <w:bookmarkStart w:id="1263" w:name="xdx_900_eus-gaap--CommonStockSharesIssue"/>
      <w:bookmarkEnd w:id="1263"/>
      <w:r>
        <w:rPr>
          <w:rFonts w:ascii="Times New Roman;Times;Serif" w:hAnsi="Times New Roman;Times;Serif"/>
          <w:b w:val="false"/>
          <w:i w:val="false"/>
          <w:caps w:val="false"/>
          <w:smallCaps w:val="false"/>
          <w:sz w:val="20"/>
        </w:rPr>
        <w:t>750 restricted shares of its Common Stock, with a determined fair value of $</w:t>
      </w:r>
      <w:bookmarkStart w:id="1264" w:name="xdx_908_eus-gaap--StockIssuedDuringPerio"/>
      <w:bookmarkEnd w:id="1264"/>
      <w:r>
        <w:rPr>
          <w:rFonts w:ascii="Times New Roman;Times;Serif" w:hAnsi="Times New Roman;Times;Serif"/>
          <w:b w:val="false"/>
          <w:i w:val="false"/>
          <w:caps w:val="false"/>
          <w:smallCaps w:val="false"/>
          <w:sz w:val="20"/>
        </w:rPr>
        <w:t xml:space="preserve">231, partially in exchange for the business advisory services outlined in the consulting agreement with Hudson Global Ventures, LLC, a Nevada limited liability company (“Hudson”). On April 25, 2025, July 1, 2025 and September 3, 2025, the Company issued </w:t>
      </w:r>
      <w:bookmarkStart w:id="1265" w:name="xdx_90C_eus-gaap--CommonStockSharesIssue"/>
      <w:bookmarkEnd w:id="1265"/>
      <w:r>
        <w:rPr>
          <w:rFonts w:ascii="Times New Roman;Times;Serif" w:hAnsi="Times New Roman;Times;Serif"/>
          <w:b w:val="false"/>
          <w:i w:val="false"/>
          <w:caps w:val="false"/>
          <w:smallCaps w:val="false"/>
          <w:sz w:val="20"/>
        </w:rPr>
        <w:t xml:space="preserve">2,000, </w:t>
      </w:r>
      <w:bookmarkStart w:id="1266" w:name="xdx_90F_eus-gaap--CommonStockSharesIssue"/>
      <w:bookmarkEnd w:id="1266"/>
      <w:r>
        <w:rPr>
          <w:rFonts w:ascii="Times New Roman;Times;Serif" w:hAnsi="Times New Roman;Times;Serif"/>
          <w:b w:val="false"/>
          <w:i w:val="false"/>
          <w:caps w:val="false"/>
          <w:smallCaps w:val="false"/>
          <w:sz w:val="20"/>
        </w:rPr>
        <w:t xml:space="preserve">1,180, and </w:t>
      </w:r>
      <w:bookmarkStart w:id="1267" w:name="xdx_908_eus-gaap--CommonStockSharesIssue"/>
      <w:bookmarkEnd w:id="1267"/>
      <w:r>
        <w:rPr>
          <w:rFonts w:ascii="Times New Roman;Times;Serif" w:hAnsi="Times New Roman;Times;Serif"/>
          <w:b w:val="false"/>
          <w:i w:val="false"/>
          <w:caps w:val="false"/>
          <w:smallCaps w:val="false"/>
          <w:sz w:val="20"/>
        </w:rPr>
        <w:t>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w:t>
      </w:r>
      <w:bookmarkStart w:id="1268" w:name="xdx_909_eus-gaap--CommonStockSharesIssue"/>
      <w:bookmarkEnd w:id="1268"/>
      <w:r>
        <w:rPr>
          <w:rFonts w:ascii="Times New Roman;Times;Serif" w:hAnsi="Times New Roman;Times;Serif"/>
          <w:b w:val="false"/>
          <w:i w:val="false"/>
          <w:caps w:val="false"/>
          <w:smallCaps w:val="false"/>
          <w:sz w:val="20"/>
        </w:rPr>
        <w:t>150 shares of its Common Stock, with a determined fair value of $</w:t>
      </w:r>
      <w:bookmarkStart w:id="1269" w:name="xdx_902_eus-gaap--StockIssuedDuringPerio"/>
      <w:bookmarkEnd w:id="1269"/>
      <w:r>
        <w:rPr>
          <w:rFonts w:ascii="Times New Roman;Times;Serif" w:hAnsi="Times New Roman;Times;Serif"/>
          <w:b w:val="false"/>
          <w:i w:val="false"/>
          <w:caps w:val="false"/>
          <w:smallCaps w:val="false"/>
          <w:sz w:val="20"/>
        </w:rPr>
        <w:t xml:space="preserve">50, in partial settlement of amounts owing to Verista. Refer to </w:t>
      </w:r>
      <w:r>
        <w:rPr>
          <w:rFonts w:ascii="Times New Roman;Times;Serif" w:hAnsi="Times New Roman;Times;Serif"/>
          <w:b w:val="false"/>
          <w:i/>
          <w:caps w:val="false"/>
          <w:smallCaps w:val="false"/>
          <w:sz w:val="20"/>
        </w:rPr>
        <w:t>Note 13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and 2025, </w:t>
      </w:r>
      <w:bookmarkStart w:id="1270" w:name="xdx_90C_ecustom--ShareBasedCompensationA"/>
      <w:bookmarkEnd w:id="1270"/>
      <w:r>
        <w:rPr>
          <w:rFonts w:ascii="Times New Roman;Times;Serif" w:hAnsi="Times New Roman;Times;Serif"/>
          <w:b w:val="false"/>
          <w:i w:val="false"/>
          <w:caps w:val="false"/>
          <w:smallCaps w:val="false"/>
          <w:sz w:val="20"/>
        </w:rPr>
        <w:t xml:space="preserve">38,304 and </w:t>
      </w:r>
      <w:bookmarkStart w:id="1271" w:name="xdx_904_ecustom--ShareBasedCompensationA"/>
      <w:bookmarkEnd w:id="1271"/>
      <w:r>
        <w:rPr>
          <w:rFonts w:ascii="Times New Roman;Times;Serif" w:hAnsi="Times New Roman;Times;Serif"/>
          <w:b w:val="false"/>
          <w:i w:val="false"/>
          <w:caps w:val="false"/>
          <w:smallCaps w:val="false"/>
          <w:sz w:val="20"/>
        </w:rPr>
        <w:t>1,689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w:t>
      </w:r>
      <w:bookmarkStart w:id="1272" w:name="xdx_903_eus-gaap--BusinessAcquisitionEqu"/>
      <w:bookmarkEnd w:id="1272"/>
      <w:r>
        <w:rPr>
          <w:rFonts w:ascii="Times New Roman;Times;Serif" w:hAnsi="Times New Roman;Times;Serif"/>
          <w:b w:val="false"/>
          <w:i w:val="false"/>
          <w:caps w:val="false"/>
          <w:smallCaps w:val="false"/>
          <w:sz w:val="20"/>
        </w:rPr>
        <w:t>4,491 shares of Class A Common Stock, with a determined fair value of $</w:t>
      </w:r>
      <w:bookmarkStart w:id="1273" w:name="xdx_90A_eus-gaap--StockIssuedDuringPerio"/>
      <w:bookmarkEnd w:id="1273"/>
      <w:r>
        <w:rPr>
          <w:rFonts w:ascii="Times New Roman;Times;Serif" w:hAnsi="Times New Roman;Times;Serif"/>
          <w:b w:val="false"/>
          <w:i w:val="false"/>
          <w:caps w:val="false"/>
          <w:smallCaps w:val="false"/>
          <w:sz w:val="20"/>
        </w:rPr>
        <w:t xml:space="preserve">1,662.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w:t>
      </w:r>
      <w:bookmarkStart w:id="1274" w:name="xdx_901_eus-gaap--CommonStockSharesIssue"/>
      <w:bookmarkEnd w:id="1274"/>
      <w:r>
        <w:rPr>
          <w:rFonts w:ascii="Times New Roman;Times;Serif" w:hAnsi="Times New Roman;Times;Serif"/>
          <w:b w:val="false"/>
          <w:i w:val="false"/>
          <w:caps w:val="false"/>
          <w:smallCaps w:val="false"/>
          <w:sz w:val="20"/>
        </w:rPr>
        <w:t>4 shares of Class A Common Stock to CP BF, resulting from the exercise by CP BF of exercise of four (</w:t>
      </w:r>
      <w:bookmarkStart w:id="1275" w:name="xdx_903_ecustom--PrefundedWarrantExercis"/>
      <w:bookmarkEnd w:id="1275"/>
      <w:r>
        <w:rPr>
          <w:rFonts w:ascii="Times New Roman;Times;Serif" w:hAnsi="Times New Roman;Times;Serif"/>
          <w:b w:val="false"/>
          <w:i w:val="false"/>
          <w:caps w:val="false"/>
          <w:smallCaps w:val="false"/>
          <w:sz w:val="20"/>
        </w:rPr>
        <w:t xml:space="preserve">4) pre-funded warrants under the CP BF Pre-Funded Warrant. See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2025, the Company issued </w:t>
      </w:r>
      <w:bookmarkStart w:id="1276" w:name="xdx_90F_eus-gaap--CommonStockSharesIssue"/>
      <w:bookmarkEnd w:id="1276"/>
      <w:r>
        <w:rPr>
          <w:rFonts w:ascii="Times New Roman;Times;Serif" w:hAnsi="Times New Roman;Times;Serif"/>
          <w:b w:val="false"/>
          <w:i w:val="false"/>
          <w:caps w:val="false"/>
          <w:smallCaps w:val="false"/>
          <w:sz w:val="20"/>
        </w:rPr>
        <w:t>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the Company issued </w:t>
      </w:r>
      <w:bookmarkStart w:id="1277" w:name="xdx_907_eus-gaap--CommonStockSharesIssue"/>
      <w:bookmarkEnd w:id="1277"/>
      <w:r>
        <w:rPr>
          <w:rFonts w:ascii="Times New Roman;Times;Serif" w:hAnsi="Times New Roman;Times;Serif"/>
          <w:b w:val="false"/>
          <w:i w:val="false"/>
          <w:caps w:val="false"/>
          <w:smallCaps w:val="false"/>
          <w:sz w:val="20"/>
        </w:rPr>
        <w:t>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1278" w:name="xdx_900_eus-gaap--CommonStockSharesAutho"/>
      <w:bookmarkEnd w:id="1278"/>
      <w:r>
        <w:rPr>
          <w:rFonts w:ascii="Times New Roman;Times;Serif" w:hAnsi="Times New Roman;Times;Serif"/>
          <w:b w:val="false"/>
          <w:i w:val="false"/>
          <w:caps w:val="false"/>
          <w:smallCaps w:val="false"/>
          <w:sz w:val="20"/>
        </w:rPr>
        <w:t>1,594 shares of Class A common stock at $</w:t>
      </w:r>
      <w:bookmarkStart w:id="1279" w:name="xdx_905_eus-gaap--SaleOfStockPricePerSha"/>
      <w:bookmarkEnd w:id="1279"/>
      <w:r>
        <w:rPr>
          <w:rFonts w:ascii="Times New Roman;Times;Serif" w:hAnsi="Times New Roman;Times;Serif"/>
          <w:b w:val="false"/>
          <w:i w:val="false"/>
          <w:caps w:val="false"/>
          <w:smallCaps w:val="false"/>
          <w:sz w:val="20"/>
        </w:rPr>
        <w:t xml:space="preserve">138.00 per share and </w:t>
      </w:r>
      <w:bookmarkStart w:id="1280" w:name="xdx_90A_eus-gaap--ClassOfWarrantOrRightO"/>
      <w:bookmarkEnd w:id="1280"/>
      <w:r>
        <w:rPr>
          <w:rFonts w:ascii="Times New Roman;Times;Serif" w:hAnsi="Times New Roman;Times;Serif"/>
          <w:b w:val="false"/>
          <w:i w:val="false"/>
          <w:caps w:val="false"/>
          <w:smallCaps w:val="false"/>
          <w:sz w:val="20"/>
        </w:rPr>
        <w:t>1,618 prefunded warrants (the “May 2025 Prefunded Warrants”) at $</w:t>
      </w:r>
      <w:bookmarkStart w:id="1281" w:name="xdx_901_eus-gaap--ClassOfWarrantOrRightE"/>
      <w:bookmarkEnd w:id="1281"/>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1282" w:name="xdx_905_eus-gaap--ClassOfWarrantOrRightN"/>
      <w:bookmarkEnd w:id="1282"/>
      <w:r>
        <w:rPr>
          <w:rFonts w:ascii="Times New Roman;Times;Serif" w:hAnsi="Times New Roman;Times;Serif"/>
          <w:b w:val="false"/>
          <w:i w:val="false"/>
          <w:caps w:val="false"/>
          <w:smallCaps w:val="false"/>
          <w:sz w:val="20"/>
        </w:rPr>
        <w:t>1,618 shares of Class A common stock. The Company collected in aggregate $</w:t>
      </w:r>
      <w:bookmarkStart w:id="1283" w:name="xdx_908_eus-gaap--ProceedsFromIssuanceOf"/>
      <w:bookmarkEnd w:id="1283"/>
      <w:r>
        <w:rPr>
          <w:rFonts w:ascii="Times New Roman;Times;Serif" w:hAnsi="Times New Roman;Times;Serif"/>
          <w:b w:val="false"/>
          <w:i w:val="false"/>
          <w:caps w:val="false"/>
          <w:smallCaps w:val="false"/>
          <w:sz w:val="20"/>
        </w:rPr>
        <w:t>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84" w:name="xdx_801_eus-gaap--DisclosureOfCompensati"/>
      <w:bookmarkEnd w:id="1284"/>
      <w:r>
        <w:rPr>
          <w:rFonts w:ascii="Times New Roman;Times;Serif" w:hAnsi="Times New Roman;Times;Serif"/>
          <w:b/>
          <w:i w:val="false"/>
          <w:caps w:val="false"/>
          <w:smallCaps w:val="false"/>
          <w:sz w:val="20"/>
        </w:rPr>
        <w:t xml:space="preserve">15. </w:t>
      </w:r>
      <w:bookmarkStart w:id="1285" w:name="xdx_82B_zLn1n8AKepT8"/>
      <w:bookmarkEnd w:id="1285"/>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86" w:name="xdx_896_eus-gaap--ScheduleOfShareBasedCo"/>
      <w:bookmarkEnd w:id="1286"/>
      <w:r>
        <w:rPr>
          <w:rFonts w:ascii="Times New Roman;Times;Serif" w:hAnsi="Times New Roman;Times;Serif"/>
          <w:b w:val="false"/>
          <w:i w:val="false"/>
          <w:caps w:val="false"/>
          <w:smallCaps w:val="false"/>
          <w:sz w:val="20"/>
        </w:rPr>
        <w:t>A summary of stock option activity under the 2021 Equity Incentive Plan (“Plan”)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1287" w:name="xdx_8BE_zSpTmWcIN8xf"/>
      <w:bookmarkEnd w:id="1287"/>
      <w:r>
        <w:rPr>
          <w:rFonts w:ascii="Times New Roman;Times;Serif" w:hAnsi="Times New Roman;Times;Serif"/>
          <w:b w:val="false"/>
          <w:i w:val="false"/>
          <w:caps w:val="false"/>
          <w:smallCaps w:val="false"/>
          <w:sz w:val="20"/>
        </w:rPr>
        <w:t>Summary of Stock Option Activity</w:t>
      </w:r>
    </w:p>
    <w:tbl>
      <w:tblPr>
        <w:tblW w:w="10205" w:type="dxa"/>
        <w:jc w:val="left"/>
        <w:tblInd w:w="0" w:type="dxa"/>
        <w:tblLayout w:type="fixed"/>
        <w:tblCellMar>
          <w:top w:w="0" w:type="dxa"/>
          <w:left w:w="0" w:type="dxa"/>
          <w:bottom w:w="0" w:type="dxa"/>
          <w:right w:w="0" w:type="dxa"/>
        </w:tblCellMar>
      </w:tblPr>
      <w:tblGrid>
        <w:gridCol w:w="1962"/>
        <w:gridCol w:w="60"/>
        <w:gridCol w:w="237"/>
        <w:gridCol w:w="1510"/>
        <w:gridCol w:w="60"/>
        <w:gridCol w:w="60"/>
        <w:gridCol w:w="242"/>
        <w:gridCol w:w="1696"/>
        <w:gridCol w:w="60"/>
        <w:gridCol w:w="60"/>
        <w:gridCol w:w="353"/>
        <w:gridCol w:w="2596"/>
        <w:gridCol w:w="60"/>
        <w:gridCol w:w="60"/>
        <w:gridCol w:w="388"/>
        <w:gridCol w:w="722"/>
        <w:gridCol w:w="79"/>
      </w:tblGrid>
      <w:tr>
        <w:trPr/>
        <w:tc>
          <w:tcPr>
            <w:tcW w:w="19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Underlying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Intrinsic Value</w:t>
            </w:r>
          </w:p>
        </w:tc>
        <w:tc>
          <w:tcPr>
            <w:tcW w:w="79" w:type="dxa"/>
            <w:tcBorders/>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1288" w:name="xdx_98B_eus-gaap--ShareBasedCompensation"/>
            <w:bookmarkEnd w:id="1288"/>
          </w:p>
        </w:tc>
        <w:tc>
          <w:tcPr>
            <w:tcW w:w="151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bookmarkStart w:id="1289" w:name="xdx_98E_eus-gaap--ShareBasedCompensation"/>
            <w:bookmarkEnd w:id="1289"/>
          </w:p>
        </w:tc>
        <w:tc>
          <w:tcPr>
            <w:tcW w:w="1696" w:type="dxa"/>
            <w:tcBorders/>
            <w:shd w:fill="CCEEFF" w:val="clear"/>
            <w:vAlign w:val="center"/>
          </w:tcPr>
          <w:p>
            <w:pPr>
              <w:pStyle w:val="TableContents"/>
              <w:bidi w:val="0"/>
              <w:spacing w:before="0" w:after="283"/>
              <w:jc w:val="right"/>
              <w:rPr/>
            </w:pPr>
            <w:r>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2596" w:type="dxa"/>
            <w:tcBorders/>
            <w:shd w:fill="CCEEFF" w:val="clear"/>
            <w:vAlign w:val="center"/>
          </w:tcPr>
          <w:p>
            <w:pPr>
              <w:pStyle w:val="TableContents"/>
              <w:bidi w:val="0"/>
              <w:spacing w:before="0" w:after="283"/>
              <w:jc w:val="right"/>
              <w:rPr/>
            </w:pPr>
            <w:bookmarkStart w:id="1290" w:name="xdx_901_eus-gaap--SharebasedCompensation"/>
            <w:bookmarkEnd w:id="1290"/>
            <w:r>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1291" w:name="xdx_98D_eus-gaap--ShareBasedCompensation"/>
            <w:bookmarkEnd w:id="1291"/>
          </w:p>
        </w:tc>
        <w:tc>
          <w:tcPr>
            <w:tcW w:w="72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bookmarkStart w:id="1292" w:name="xdx_98C_eus-gaap--ShareBasedCompensation"/>
            <w:bookmarkEnd w:id="1292"/>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bookmarkStart w:id="1293" w:name="xdx_989_eus-gaap--ShareBasedCompensation"/>
            <w:bookmarkEnd w:id="1293"/>
          </w:p>
        </w:tc>
        <w:tc>
          <w:tcPr>
            <w:tcW w:w="1696" w:type="dxa"/>
            <w:tcBorders/>
            <w:shd w:fill="FFFFFF" w:val="clear"/>
            <w:vAlign w:val="center"/>
          </w:tcPr>
          <w:p>
            <w:pPr>
              <w:pStyle w:val="TableContents"/>
              <w:bidi w:val="0"/>
              <w:spacing w:before="0" w:after="283"/>
              <w:jc w:val="right"/>
              <w:rPr/>
            </w:pPr>
            <w:r>
              <w:rPr/>
              <w:t>1,170.00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4" w:name="xdx_98E_eus-gaap--ShareBasedCompensation"/>
            <w:bookmarkEnd w:id="1294"/>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5" w:name="xdx_98C_eus-gaap--ShareBasedCompensation"/>
            <w:bookmarkEnd w:id="1295"/>
          </w:p>
        </w:tc>
        <w:tc>
          <w:tcPr>
            <w:tcW w:w="1696" w:type="dxa"/>
            <w:tcBorders>
              <w:bottom w:val="single" w:sz="8" w:space="0" w:color="000000"/>
            </w:tcBorders>
            <w:shd w:fill="CCEEFF" w:val="clear"/>
            <w:tcMar>
              <w:bottom w:w="28" w:type="dxa"/>
            </w:tcMar>
            <w:vAlign w:val="center"/>
          </w:tcPr>
          <w:p>
            <w:pPr>
              <w:pStyle w:val="TableContents"/>
              <w:bidi w:val="0"/>
              <w:spacing w:before="0" w:after="283"/>
              <w:jc w:val="right"/>
              <w:rPr/>
            </w:pPr>
            <w:r>
              <w:rPr/>
              <w:t>6,901.20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96"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296" w:name="xdx_909_eus-gaap--SharebasedCompensation"/>
            <w:bookmarkEnd w:id="1296"/>
            <w:r>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7" w:name="xdx_98B_eus-gaap--ShareBasedCompensation"/>
            <w:bookmarkEnd w:id="1297"/>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98" w:name="xdx_98A_eus-gaap--ShareBasedCompensation"/>
            <w:bookmarkEnd w:id="1298"/>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99" w:name="xdx_989_eus-gaap--ShareBasedCompensation"/>
            <w:bookmarkEnd w:id="1299"/>
          </w:p>
        </w:tc>
        <w:tc>
          <w:tcPr>
            <w:tcW w:w="1696" w:type="dxa"/>
            <w:tcBorders>
              <w:bottom w:val="double" w:sz="6" w:space="0" w:color="000000"/>
            </w:tcBorders>
            <w:shd w:fill="FFFFFF" w:val="clear"/>
            <w:tcMar>
              <w:bottom w:w="28" w:type="dxa"/>
            </w:tcMar>
            <w:vAlign w:val="center"/>
          </w:tcPr>
          <w:p>
            <w:pPr>
              <w:pStyle w:val="TableContents"/>
              <w:bidi w:val="0"/>
              <w:spacing w:before="0" w:after="283"/>
              <w:jc w:val="right"/>
              <w:rPr/>
            </w:pPr>
            <w:r>
              <w:rPr/>
              <w:t>12,959.60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9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00" w:name="xdx_901_eus-gaap--SharebasedCompensation"/>
            <w:bookmarkEnd w:id="1300"/>
            <w:r>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301" w:name="xdx_98E_eus-gaap--SharebasedCompensation"/>
            <w:bookmarkEnd w:id="1301"/>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02" w:name="xdx_8A7_z68CTbyvHuMa"/>
      <w:bookmarkEnd w:id="13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related to stock options of $</w:t>
      </w:r>
      <w:bookmarkStart w:id="1303" w:name="xdx_902_eus-gaap--AllocatedShareBasedCom"/>
      <w:bookmarkEnd w:id="1303"/>
      <w:r>
        <w:rPr>
          <w:rFonts w:ascii="Times New Roman;Times;Serif" w:hAnsi="Times New Roman;Times;Serif"/>
          <w:b w:val="false"/>
          <w:i w:val="false"/>
          <w:caps w:val="false"/>
          <w:smallCaps w:val="false"/>
          <w:sz w:val="20"/>
        </w:rPr>
        <w:t>23 and $</w:t>
      </w:r>
      <w:bookmarkStart w:id="1304" w:name="xdx_90D_eus-gaap--AllocatedShareBasedCom"/>
      <w:bookmarkEnd w:id="1304"/>
      <w:r>
        <w:rPr>
          <w:rFonts w:ascii="Times New Roman;Times;Serif" w:hAnsi="Times New Roman;Times;Serif"/>
          <w:b w:val="false"/>
          <w:i w:val="false"/>
          <w:caps w:val="false"/>
          <w:smallCaps w:val="false"/>
          <w:sz w:val="20"/>
        </w:rPr>
        <w:t>22, which is included in general and administrative expense. As of March 31, 2026 and 2025, $</w:t>
      </w:r>
      <w:bookmarkStart w:id="1305" w:name="xdx_906_eus-gaap--EmployeeServiceShareBa"/>
      <w:bookmarkEnd w:id="1305"/>
      <w:r>
        <w:rPr>
          <w:rFonts w:ascii="Times New Roman;Times;Serif" w:hAnsi="Times New Roman;Times;Serif"/>
          <w:b w:val="false"/>
          <w:i w:val="false"/>
          <w:caps w:val="false"/>
          <w:smallCaps w:val="false"/>
          <w:sz w:val="20"/>
        </w:rPr>
        <w:t>203 and $</w:t>
      </w:r>
      <w:bookmarkStart w:id="1306" w:name="xdx_90A_eus-gaap--EmployeeServiceShareBa"/>
      <w:bookmarkEnd w:id="1306"/>
      <w:r>
        <w:rPr>
          <w:rFonts w:ascii="Times New Roman;Times;Serif" w:hAnsi="Times New Roman;Times;Serif"/>
          <w:b w:val="false"/>
          <w:i w:val="false"/>
          <w:caps w:val="false"/>
          <w:smallCaps w:val="false"/>
          <w:sz w:val="20"/>
        </w:rPr>
        <w:t xml:space="preserve">191 of unrecognized compensation expense related to non-vested awards is expected to be recognized over the weighted average period of </w:t>
      </w:r>
      <w:bookmarkStart w:id="1307" w:name="xdx_907_eus-gaap--EmployeeServiceShareBa"/>
      <w:bookmarkEnd w:id="1307"/>
      <w:r>
        <w:rPr>
          <w:rFonts w:ascii="Times New Roman;Times;Serif" w:hAnsi="Times New Roman;Times;Serif"/>
          <w:b w:val="false"/>
          <w:i w:val="false"/>
          <w:caps w:val="false"/>
          <w:smallCaps w:val="false"/>
          <w:sz w:val="20"/>
        </w:rPr>
        <w:t xml:space="preserve">8.87 and </w:t>
      </w:r>
      <w:bookmarkStart w:id="1308" w:name="xdx_909_eus-gaap--EmployeeServiceShareBa"/>
      <w:bookmarkEnd w:id="1308"/>
      <w:r>
        <w:rPr>
          <w:rFonts w:ascii="Times New Roman;Times;Serif" w:hAnsi="Times New Roman;Times;Serif"/>
          <w:b w:val="false"/>
          <w:i w:val="false"/>
          <w:caps w:val="false"/>
          <w:smallCaps w:val="false"/>
          <w:sz w:val="20"/>
        </w:rPr>
        <w:t>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the fair value of RSUs using the stock price on the date of grant. Stock-based compensation expense for employee-granted RSUs is generally recorded ratably over their vesting period of (a) </w:t>
      </w:r>
      <w:bookmarkStart w:id="1309" w:name="xdx_90E_eus-gaap--ShareBasedCompensation"/>
      <w:bookmarkEnd w:id="1309"/>
      <w:r>
        <w:rPr>
          <w:rFonts w:ascii="Times New Roman;Times;Serif" w:hAnsi="Times New Roman;Times;Serif"/>
          <w:b w:val="false"/>
          <w:i w:val="false"/>
          <w:caps w:val="false"/>
          <w:smallCaps w:val="false"/>
          <w:sz w:val="20"/>
        </w:rPr>
        <w:t xml:space="preserve">four years, with </w:t>
      </w:r>
      <w:bookmarkStart w:id="1310" w:name="xdx_906_eus-gaap--SharebasedCompensation"/>
      <w:bookmarkEnd w:id="1310"/>
      <w:r>
        <w:rPr>
          <w:rFonts w:ascii="Times New Roman;Times;Serif" w:hAnsi="Times New Roman;Times;Serif"/>
          <w:b w:val="false"/>
          <w:i w:val="false"/>
          <w:caps w:val="false"/>
          <w:smallCaps w:val="false"/>
          <w:sz w:val="20"/>
        </w:rPr>
        <w:t xml:space="preserve">25% of the RSUs vesting on each anniversary, or (b) </w:t>
      </w:r>
      <w:bookmarkStart w:id="1311" w:name="xdx_902_eus-gaap--ShareBasedCompensation"/>
      <w:bookmarkEnd w:id="1311"/>
      <w:r>
        <w:rPr>
          <w:rFonts w:ascii="Times New Roman;Times;Serif" w:hAnsi="Times New Roman;Times;Serif"/>
          <w:b w:val="false"/>
          <w:i w:val="false"/>
          <w:caps w:val="false"/>
          <w:smallCaps w:val="false"/>
          <w:sz w:val="20"/>
        </w:rPr>
        <w:t xml:space="preserve">one year, with </w:t>
      </w:r>
      <w:bookmarkStart w:id="1312" w:name="xdx_900_eus-gaap--SharebasedCompensation"/>
      <w:bookmarkEnd w:id="1312"/>
      <w:r>
        <w:rPr>
          <w:rFonts w:ascii="Times New Roman;Times;Serif" w:hAnsi="Times New Roman;Times;Serif"/>
          <w:b w:val="false"/>
          <w:i w:val="false"/>
          <w:caps w:val="false"/>
          <w:smallCaps w:val="false"/>
          <w:sz w:val="20"/>
        </w:rPr>
        <w:t xml:space="preserve">25% vesting quarterly, or (c) </w:t>
      </w:r>
      <w:bookmarkStart w:id="1313" w:name="xdx_90C_eus-gaap--ShareBasedCompensation"/>
      <w:bookmarkEnd w:id="1313"/>
      <w:r>
        <w:rPr>
          <w:rFonts w:ascii="Times New Roman;Times;Serif" w:hAnsi="Times New Roman;Times;Serif"/>
          <w:b w:val="false"/>
          <w:i w:val="false"/>
          <w:caps w:val="false"/>
          <w:smallCaps w:val="false"/>
          <w:sz w:val="20"/>
        </w:rPr>
        <w:t xml:space="preserve">one year, with </w:t>
      </w:r>
      <w:bookmarkStart w:id="1314" w:name="xdx_90F_eus-gaap--SharebasedCompensation"/>
      <w:bookmarkEnd w:id="1314"/>
      <w:r>
        <w:rPr>
          <w:rFonts w:ascii="Times New Roman;Times;Serif" w:hAnsi="Times New Roman;Times;Serif"/>
          <w:b w:val="false"/>
          <w:i w:val="false"/>
          <w:caps w:val="false"/>
          <w:smallCaps w:val="false"/>
          <w:sz w:val="20"/>
        </w:rPr>
        <w:t>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RSU activity during the three months ended March 31, 2026 is as follows:</w:t>
      </w:r>
    </w:p>
    <w:p>
      <w:pPr>
        <w:pStyle w:val="TextBody"/>
        <w:bidi w:val="0"/>
        <w:spacing w:before="0" w:after="0"/>
        <w:ind w:left="0" w:right="0" w:hanging="0"/>
        <w:jc w:val="both"/>
        <w:rPr>
          <w:caps w:val="false"/>
          <w:smallCaps w:val="false"/>
        </w:rPr>
      </w:pPr>
      <w:bookmarkStart w:id="1315" w:name="xdx_89D_eus-gaap--ScheduleOfShareBasedCo"/>
      <w:bookmarkEnd w:id="1315"/>
      <w:r>
        <w:rPr>
          <w:caps w:val="false"/>
          <w:smallCaps w:val="false"/>
        </w:rPr>
        <w:t> </w:t>
      </w:r>
      <w:bookmarkStart w:id="1316" w:name="xdx_8B6_zMaHblAcX7Ag"/>
      <w:bookmarkEnd w:id="1316"/>
      <w:r>
        <w:rPr>
          <w:rFonts w:ascii="Times New Roman;Times;Serif" w:hAnsi="Times New Roman;Times;Serif"/>
          <w:b w:val="false"/>
          <w:i w:val="false"/>
          <w:caps w:val="false"/>
          <w:smallCaps w:val="false"/>
          <w:sz w:val="20"/>
        </w:rPr>
        <w:t>Summary of RSU Activity</w:t>
      </w:r>
    </w:p>
    <w:tbl>
      <w:tblPr>
        <w:tblW w:w="8734" w:type="dxa"/>
        <w:jc w:val="left"/>
        <w:tblInd w:w="0" w:type="dxa"/>
        <w:tblLayout w:type="fixed"/>
        <w:tblCellMar>
          <w:top w:w="0" w:type="dxa"/>
          <w:left w:w="0" w:type="dxa"/>
          <w:bottom w:w="0" w:type="dxa"/>
          <w:right w:w="0" w:type="dxa"/>
        </w:tblCellMar>
      </w:tblPr>
      <w:tblGrid>
        <w:gridCol w:w="3350"/>
        <w:gridCol w:w="60"/>
        <w:gridCol w:w="60"/>
        <w:gridCol w:w="755"/>
        <w:gridCol w:w="95"/>
        <w:gridCol w:w="60"/>
        <w:gridCol w:w="726"/>
        <w:gridCol w:w="3553"/>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7" w:name="xdx_98D_eus-gaap--ShareBasedCompensation"/>
            <w:bookmarkEnd w:id="1317"/>
          </w:p>
        </w:tc>
        <w:tc>
          <w:tcPr>
            <w:tcW w:w="755" w:type="dxa"/>
            <w:tcBorders/>
            <w:shd w:fill="CCEEFF" w:val="clear"/>
            <w:vAlign w:val="center"/>
          </w:tcPr>
          <w:p>
            <w:pPr>
              <w:pStyle w:val="TableContents"/>
              <w:bidi w:val="0"/>
              <w:spacing w:before="0" w:after="283"/>
              <w:jc w:val="right"/>
              <w:rPr/>
            </w:pPr>
            <w:r>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bookmarkStart w:id="1318" w:name="xdx_987_eus-gaap--ShareBasedCompensation"/>
            <w:bookmarkEnd w:id="1318"/>
          </w:p>
        </w:tc>
        <w:tc>
          <w:tcPr>
            <w:tcW w:w="3553" w:type="dxa"/>
            <w:tcBorders/>
            <w:shd w:fill="CCEEFF" w:val="clear"/>
            <w:vAlign w:val="center"/>
          </w:tcPr>
          <w:p>
            <w:pPr>
              <w:pStyle w:val="TableContents"/>
              <w:bidi w:val="0"/>
              <w:spacing w:before="0" w:after="283"/>
              <w:jc w:val="right"/>
              <w:rPr/>
            </w:pPr>
            <w:r>
              <w:rPr/>
              <w:t>149.00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19" w:name="xdx_98E_eus-gaap--ShareBasedCompensation"/>
            <w:bookmarkEnd w:id="1319"/>
          </w:p>
        </w:tc>
        <w:tc>
          <w:tcPr>
            <w:tcW w:w="755" w:type="dxa"/>
            <w:tcBorders/>
            <w:shd w:fill="FFFFFF" w:val="clear"/>
            <w:vAlign w:val="center"/>
          </w:tcPr>
          <w:p>
            <w:pPr>
              <w:pStyle w:val="TableContents"/>
              <w:bidi w:val="0"/>
              <w:spacing w:before="0" w:after="283"/>
              <w:jc w:val="right"/>
              <w:rPr/>
            </w:pPr>
            <w:r>
              <w:rPr/>
              <w:t>44,557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bookmarkStart w:id="1320" w:name="xdx_982_eus-gaap--ShareBasedCompensation"/>
            <w:bookmarkEnd w:id="1320"/>
          </w:p>
        </w:tc>
        <w:tc>
          <w:tcPr>
            <w:tcW w:w="3553" w:type="dxa"/>
            <w:tcBorders/>
            <w:shd w:fill="FFFFFF" w:val="clear"/>
            <w:vAlign w:val="center"/>
          </w:tcPr>
          <w:p>
            <w:pPr>
              <w:pStyle w:val="TableContents"/>
              <w:bidi w:val="0"/>
              <w:spacing w:before="0" w:after="283"/>
              <w:jc w:val="right"/>
              <w:rPr/>
            </w:pPr>
            <w:r>
              <w:rPr/>
              <w:t>21.96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1" w:name="xdx_982_eus-gaap--ShareBasedCompensation"/>
            <w:bookmarkEnd w:id="1321"/>
          </w:p>
        </w:tc>
        <w:tc>
          <w:tcPr>
            <w:tcW w:w="755" w:type="dxa"/>
            <w:tcBorders/>
            <w:shd w:fill="CCEEFF" w:val="clear"/>
            <w:vAlign w:val="center"/>
          </w:tcPr>
          <w:p>
            <w:pPr>
              <w:pStyle w:val="TableContents"/>
              <w:bidi w:val="0"/>
              <w:spacing w:before="0" w:after="283"/>
              <w:jc w:val="right"/>
              <w:rPr/>
            </w:pPr>
            <w:r>
              <w:rPr/>
              <w:t>(38,304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bookmarkStart w:id="1322" w:name="xdx_98F_eus-gaap--ShareBasedCompensation"/>
            <w:bookmarkEnd w:id="1322"/>
          </w:p>
        </w:tc>
        <w:tc>
          <w:tcPr>
            <w:tcW w:w="3553" w:type="dxa"/>
            <w:tcBorders/>
            <w:shd w:fill="CCEEFF" w:val="clear"/>
            <w:vAlign w:val="center"/>
          </w:tcPr>
          <w:p>
            <w:pPr>
              <w:pStyle w:val="TableContents"/>
              <w:bidi w:val="0"/>
              <w:spacing w:before="0" w:after="283"/>
              <w:jc w:val="right"/>
              <w:rPr/>
            </w:pPr>
            <w:r>
              <w:rPr/>
              <w:t>36.84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3" w:name="xdx_98F_eus-gaap--ShareBasedCompensation"/>
            <w:bookmarkEnd w:id="1323"/>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4" w:name="xdx_98F_eus-gaap--ShareBasedCompensation"/>
            <w:bookmarkEnd w:id="1324"/>
          </w:p>
        </w:tc>
        <w:tc>
          <w:tcPr>
            <w:tcW w:w="3553" w:type="dxa"/>
            <w:tcBorders>
              <w:bottom w:val="single" w:sz="8" w:space="0" w:color="000000"/>
            </w:tcBorders>
            <w:shd w:fill="FFFFFF" w:val="clear"/>
            <w:tcMar>
              <w:bottom w:w="28" w:type="dxa"/>
            </w:tcMar>
            <w:vAlign w:val="center"/>
          </w:tcPr>
          <w:p>
            <w:pPr>
              <w:pStyle w:val="TableContents"/>
              <w:bidi w:val="0"/>
              <w:spacing w:before="0" w:after="283"/>
              <w:jc w:val="right"/>
              <w:rPr/>
            </w:pPr>
            <w:r>
              <w:rPr/>
              <w:t>206.00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25" w:name="xdx_98E_eus-gaap--ShareBasedCompensation"/>
            <w:bookmarkEnd w:id="1325"/>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26" w:name="xdx_984_eus-gaap--ShareBasedCompensation"/>
            <w:bookmarkEnd w:id="1326"/>
          </w:p>
        </w:tc>
        <w:tc>
          <w:tcPr>
            <w:tcW w:w="3553" w:type="dxa"/>
            <w:tcBorders>
              <w:bottom w:val="double" w:sz="6" w:space="0" w:color="000000"/>
            </w:tcBorders>
            <w:shd w:fill="CCEEFF" w:val="clear"/>
            <w:tcMar>
              <w:bottom w:w="28" w:type="dxa"/>
            </w:tcMar>
            <w:vAlign w:val="center"/>
          </w:tcPr>
          <w:p>
            <w:pPr>
              <w:pStyle w:val="TableContents"/>
              <w:bidi w:val="0"/>
              <w:spacing w:before="0" w:after="283"/>
              <w:jc w:val="right"/>
              <w:rPr/>
            </w:pPr>
            <w:r>
              <w:rPr/>
              <w:t>71.77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27" w:name="xdx_8AD_z8j69kxahcah"/>
      <w:bookmarkEnd w:id="13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total stock-based compensation expense related to RSUs of $</w:t>
      </w:r>
      <w:bookmarkStart w:id="1328" w:name="xdx_907_eus-gaap--AllocatedShareBasedCom"/>
      <w:bookmarkEnd w:id="1328"/>
      <w:r>
        <w:rPr>
          <w:rFonts w:ascii="Times New Roman;Times;Serif" w:hAnsi="Times New Roman;Times;Serif"/>
          <w:b w:val="false"/>
          <w:i w:val="false"/>
          <w:caps w:val="false"/>
          <w:smallCaps w:val="false"/>
          <w:sz w:val="20"/>
        </w:rPr>
        <w:t>1,065 and $</w:t>
      </w:r>
      <w:bookmarkStart w:id="1329" w:name="xdx_90F_eus-gaap--AllocatedShareBasedCom"/>
      <w:bookmarkEnd w:id="1329"/>
      <w:r>
        <w:rPr>
          <w:rFonts w:ascii="Times New Roman;Times;Serif" w:hAnsi="Times New Roman;Times;Serif"/>
          <w:b w:val="false"/>
          <w:i w:val="false"/>
          <w:caps w:val="false"/>
          <w:smallCaps w:val="false"/>
          <w:sz w:val="20"/>
        </w:rPr>
        <w:t>315, respectively, which is included in general and administrative expense. As of March 31, 2026 and 2025, unrecognized compensation cost related to the grant of RSUs was $</w:t>
      </w:r>
      <w:bookmarkStart w:id="1330" w:name="xdx_90D_eus-gaap--EmployeeServiceShareBa"/>
      <w:bookmarkEnd w:id="1330"/>
      <w:r>
        <w:rPr>
          <w:rFonts w:ascii="Times New Roman;Times;Serif" w:hAnsi="Times New Roman;Times;Serif"/>
          <w:b w:val="false"/>
          <w:i w:val="false"/>
          <w:caps w:val="false"/>
          <w:smallCaps w:val="false"/>
          <w:sz w:val="20"/>
        </w:rPr>
        <w:t>1,542 and $</w:t>
      </w:r>
      <w:bookmarkStart w:id="1331" w:name="xdx_905_eus-gaap--EmployeeServiceShareBa"/>
      <w:bookmarkEnd w:id="1331"/>
      <w:r>
        <w:rPr>
          <w:rFonts w:ascii="Times New Roman;Times;Serif" w:hAnsi="Times New Roman;Times;Serif"/>
          <w:b w:val="false"/>
          <w:i w:val="false"/>
          <w:caps w:val="false"/>
          <w:smallCaps w:val="false"/>
          <w:sz w:val="20"/>
        </w:rPr>
        <w:t xml:space="preserve">191, respectively. Unvested outstanding RSUs as of March 31, 2026 and 2025 had a weighted average remaining vesting period of </w:t>
      </w:r>
      <w:bookmarkStart w:id="1332" w:name="xdx_906_eus-gaap--EmployeeServiceShareBa"/>
      <w:bookmarkEnd w:id="1332"/>
      <w:r>
        <w:rPr>
          <w:rFonts w:ascii="Times New Roman;Times;Serif" w:hAnsi="Times New Roman;Times;Serif"/>
          <w:b w:val="false"/>
          <w:i w:val="false"/>
          <w:caps w:val="false"/>
          <w:smallCaps w:val="false"/>
          <w:sz w:val="20"/>
        </w:rPr>
        <w:t xml:space="preserve">1.73 and </w:t>
      </w:r>
      <w:bookmarkStart w:id="1333" w:name="xdx_904_eus-gaap--EmployeeServiceShareBa"/>
      <w:bookmarkEnd w:id="1333"/>
      <w:r>
        <w:rPr>
          <w:rFonts w:ascii="Times New Roman;Times;Serif" w:hAnsi="Times New Roman;Times;Serif"/>
          <w:b w:val="false"/>
          <w:i w:val="false"/>
          <w:caps w:val="false"/>
          <w:smallCaps w:val="false"/>
          <w:sz w:val="20"/>
        </w:rPr>
        <w:t>2.25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w:t>
      </w:r>
      <w:bookmarkStart w:id="1334" w:name="xdx_903_eus-gaap--ShareBasedCompensation"/>
      <w:bookmarkEnd w:id="1334"/>
      <w:r>
        <w:rPr>
          <w:rFonts w:ascii="Times New Roman;Times;Serif" w:hAnsi="Times New Roman;Times;Serif"/>
          <w:b w:val="false"/>
          <w:i w:val="false"/>
          <w:caps w:val="false"/>
          <w:smallCaps w:val="false"/>
          <w:sz w:val="20"/>
        </w:rPr>
        <w:t>15.0 million to $</w:t>
      </w:r>
      <w:bookmarkStart w:id="1335" w:name="xdx_90B_eus-gaap--ShareBasedCompensation"/>
      <w:bookmarkEnd w:id="1335"/>
      <w:r>
        <w:rPr>
          <w:rFonts w:ascii="Times New Roman;Times;Serif" w:hAnsi="Times New Roman;Times;Serif"/>
          <w:b w:val="false"/>
          <w:i w:val="false"/>
          <w:caps w:val="false"/>
          <w:smallCaps w:val="false"/>
          <w:sz w:val="20"/>
        </w:rPr>
        <w:t>30.0 million, which result in stock grants ranging from $</w:t>
      </w:r>
      <w:bookmarkStart w:id="1336" w:name="xdx_90F_eus-gaap--ShareBasedCompensation"/>
      <w:bookmarkEnd w:id="1336"/>
      <w:r>
        <w:rPr>
          <w:rFonts w:ascii="Times New Roman;Times;Serif" w:hAnsi="Times New Roman;Times;Serif"/>
          <w:b w:val="false"/>
          <w:i w:val="false"/>
          <w:caps w:val="false"/>
          <w:smallCaps w:val="false"/>
          <w:sz w:val="20"/>
        </w:rPr>
        <w:t>250 to $</w:t>
      </w:r>
      <w:bookmarkStart w:id="1337" w:name="xdx_901_eus-gaap--ShareBasedCompensation"/>
      <w:bookmarkEnd w:id="1337"/>
      <w:r>
        <w:rPr>
          <w:rFonts w:ascii="Times New Roman;Times;Serif" w:hAnsi="Times New Roman;Times;Serif"/>
          <w:b w:val="false"/>
          <w:i w:val="false"/>
          <w:caps w:val="false"/>
          <w:smallCaps w:val="false"/>
          <w:sz w:val="20"/>
        </w:rPr>
        <w:t>750, up to $</w:t>
      </w:r>
      <w:bookmarkStart w:id="1338" w:name="xdx_902_eus-gaap--ShareBasedCompensation"/>
      <w:bookmarkEnd w:id="1338"/>
      <w:r>
        <w:rPr>
          <w:rFonts w:ascii="Times New Roman;Times;Serif" w:hAnsi="Times New Roman;Times;Serif"/>
          <w:b w:val="false"/>
          <w:i w:val="false"/>
          <w:caps w:val="false"/>
          <w:smallCaps w:val="false"/>
          <w:sz w:val="20"/>
        </w:rPr>
        <w:t>2.0 million in the aggregate. The CEO Award is equity-classified and the grant-date fair value was estimated using a Monte Carlo simulation model, using historical volatility as a key input. The Company recognized $</w:t>
      </w:r>
      <w:bookmarkStart w:id="1339" w:name="xdx_90A_eus-gaap--AllocatedShareBasedCom"/>
      <w:bookmarkEnd w:id="1339"/>
      <w:r>
        <w:rPr>
          <w:rFonts w:ascii="Times New Roman;Times;Serif" w:hAnsi="Times New Roman;Times;Serif"/>
          <w:b w:val="false"/>
          <w:i w:val="false"/>
          <w:caps w:val="false"/>
          <w:smallCaps w:val="false"/>
          <w:sz w:val="20"/>
        </w:rPr>
        <w:t>220 of stock-based compensation expense related to this award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0" w:name="xdx_80C_eus-gaap--IncomeTaxDisclosureTex"/>
      <w:bookmarkEnd w:id="1340"/>
      <w:r>
        <w:rPr>
          <w:rFonts w:ascii="Times New Roman;Times;Serif" w:hAnsi="Times New Roman;Times;Serif"/>
          <w:b/>
          <w:i w:val="false"/>
          <w:caps w:val="false"/>
          <w:smallCaps w:val="false"/>
          <w:sz w:val="20"/>
        </w:rPr>
        <w:t xml:space="preserve">16. </w:t>
      </w:r>
      <w:bookmarkStart w:id="1341" w:name="xdx_82A_zuKZ1Mtv9PR"/>
      <w:bookmarkEnd w:id="1341"/>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an annual effective tax rate of </w:t>
      </w:r>
      <w:bookmarkStart w:id="1342" w:name="xdx_90B_eus-gaap--EffectiveIncomeTaxRate"/>
      <w:bookmarkEnd w:id="1342"/>
      <w:r>
        <w:rPr>
          <w:rFonts w:ascii="Times New Roman;Times;Serif" w:hAnsi="Times New Roman;Times;Serif"/>
          <w:b w:val="false"/>
          <w:i w:val="false"/>
          <w:caps w:val="false"/>
          <w:smallCaps w:val="false"/>
          <w:sz w:val="20"/>
        </w:rPr>
        <w:t xml:space="preserve">19% for the year ended December 31, 2026. The effective tax rate for the three months ended March 31, 2026 is </w:t>
      </w:r>
      <w:bookmarkStart w:id="1343" w:name="xdx_90E_eus-gaap--EffectiveIncomeTaxRate"/>
      <w:bookmarkEnd w:id="1343"/>
      <w:r>
        <w:rPr>
          <w:rFonts w:ascii="Times New Roman;Times;Serif" w:hAnsi="Times New Roman;Times;Serif"/>
          <w:b w:val="false"/>
          <w:i w:val="false"/>
          <w:caps w:val="false"/>
          <w:smallCaps w:val="false"/>
          <w:sz w:val="20"/>
        </w:rPr>
        <w:t xml:space="preserve">0.63%. The effective tax rate is due to the Company’s operations in England and Wales derived by the Vidello Merger. The Vidello operations in England and Wales are subject to a statutory corporate tax rate of </w:t>
      </w:r>
      <w:bookmarkStart w:id="1344" w:name="xdx_907_eus-gaap--EffectiveIncomeTaxRate"/>
      <w:bookmarkEnd w:id="1344"/>
      <w:r>
        <w:rPr>
          <w:rFonts w:ascii="Times New Roman;Times;Serif" w:hAnsi="Times New Roman;Times;Serif"/>
          <w:b w:val="false"/>
          <w:i w:val="false"/>
          <w:caps w:val="false"/>
          <w:smallCaps w:val="false"/>
          <w:sz w:val="20"/>
        </w:rPr>
        <w:t>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Company had </w:t>
      </w:r>
      <w:bookmarkStart w:id="1345" w:name="xdx_908_eus-gaap--UnrecognizedTaxBenefit"/>
      <w:bookmarkEnd w:id="1345"/>
      <w:r>
        <w:rPr>
          <w:rFonts w:ascii="Times New Roman;Times;Serif" w:hAnsi="Times New Roman;Times;Serif"/>
          <w:b w:val="false"/>
          <w:i w:val="false"/>
          <w:caps w:val="false"/>
          <w:smallCaps w:val="false"/>
          <w:sz w:val="20"/>
        </w:rPr>
        <w:t>no unrecognized tax benefits that would reduce the Company’s effective tax rate if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6" w:name="xdx_809_eus-gaap--SegmentReportingDisclo"/>
      <w:bookmarkEnd w:id="1346"/>
      <w:r>
        <w:rPr>
          <w:rFonts w:ascii="Times New Roman;Times;Serif" w:hAnsi="Times New Roman;Times;Serif"/>
          <w:b/>
          <w:i w:val="false"/>
          <w:caps w:val="false"/>
          <w:smallCaps w:val="false"/>
          <w:sz w:val="20"/>
        </w:rPr>
        <w:t xml:space="preserve">17. </w:t>
      </w:r>
      <w:bookmarkStart w:id="1347" w:name="xdx_829_zN1HCIboyCQi"/>
      <w:bookmarkEnd w:id="1347"/>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348" w:name="xdx_900_eus-gaap--NumberOfOperatingSegme"/>
      <w:bookmarkStart w:id="1349" w:name="xdx_907_eus-gaap--NumberOfReportableSegm"/>
      <w:bookmarkEnd w:id="1348"/>
      <w:bookmarkEnd w:id="1349"/>
      <w:r>
        <w:rPr>
          <w:rFonts w:ascii="Times New Roman;Times;Serif" w:hAnsi="Times New Roman;Times;Serif"/>
          <w:b w:val="false"/>
          <w:i w:val="false"/>
          <w:caps w:val="false"/>
          <w:smallCaps w:val="false"/>
          <w:sz w:val="20"/>
        </w:rPr>
        <w:t>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t>
      </w:r>
      <w:bookmarkStart w:id="1350" w:name="xdx_901_eus-gaap--SegmentReportingCodmPr"/>
      <w:bookmarkEnd w:id="1350"/>
      <w:r>
        <w:rPr>
          <w:rFonts w:ascii="Times New Roman;Times;Serif" w:hAnsi="Times New Roman;Times;Serif"/>
          <w:b w:val="false"/>
          <w:i w:val="false"/>
          <w:caps w:val="false"/>
          <w:smallCaps w:val="false"/>
          <w:sz w:val="20"/>
        </w:rPr>
        <w:t>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1" w:name="xdx_894_eus-gaap--ScheduleOfSegmentRepor"/>
      <w:bookmarkEnd w:id="1351"/>
      <w:r>
        <w:rPr>
          <w:rFonts w:ascii="Times New Roman;Times;Serif" w:hAnsi="Times New Roman;Times;Serif"/>
          <w:b w:val="false"/>
          <w:i w:val="false"/>
          <w:caps w:val="false"/>
          <w:smallCaps w:val="false"/>
          <w:sz w:val="20"/>
        </w:rPr>
        <w:t>The table below presents information about segments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352" w:name="xdx_8B6_z8NBsCDrpUpg"/>
      <w:bookmarkEnd w:id="1352"/>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493"/>
        <w:gridCol w:w="60"/>
        <w:gridCol w:w="284"/>
        <w:gridCol w:w="1295"/>
        <w:gridCol w:w="95"/>
        <w:gridCol w:w="60"/>
        <w:gridCol w:w="205"/>
        <w:gridCol w:w="820"/>
        <w:gridCol w:w="60"/>
        <w:gridCol w:w="60"/>
        <w:gridCol w:w="199"/>
        <w:gridCol w:w="541"/>
        <w:gridCol w:w="95"/>
        <w:gridCol w:w="60"/>
        <w:gridCol w:w="318"/>
        <w:gridCol w:w="1448"/>
        <w:gridCol w:w="112"/>
      </w:tblGrid>
      <w:tr>
        <w:trPr/>
        <w:tc>
          <w:tcPr>
            <w:tcW w:w="4493" w:type="dxa"/>
            <w:tcBorders/>
            <w:vAlign w:val="center"/>
          </w:tcPr>
          <w:p>
            <w:pPr>
              <w:pStyle w:val="TableContents"/>
              <w:bidi w:val="0"/>
              <w:spacing w:before="0" w:after="283"/>
              <w:jc w:val="left"/>
              <w:rPr>
                <w:b/>
              </w:rPr>
            </w:pPr>
            <w:r>
              <w:rPr>
                <w:b/>
              </w:rPr>
              <w:t>Three months ended March 31, 2026</w:t>
            </w:r>
          </w:p>
        </w:tc>
        <w:tc>
          <w:tcPr>
            <w:tcW w:w="60" w:type="dxa"/>
            <w:tcBorders/>
            <w:vAlign w:val="center"/>
          </w:tcPr>
          <w:p>
            <w:pPr>
              <w:pStyle w:val="TableContents"/>
              <w:bidi w:val="0"/>
              <w:spacing w:before="0" w:after="283"/>
              <w:jc w:val="left"/>
              <w:rPr/>
            </w:pPr>
            <w:r>
              <w:rPr/>
              <w:t> </w:t>
            </w:r>
            <w:bookmarkStart w:id="1353" w:name="xdx_492_20260101__20260331__us-gaap--Sta"/>
            <w:bookmarkEnd w:id="1353"/>
          </w:p>
        </w:tc>
        <w:tc>
          <w:tcPr>
            <w:tcW w:w="15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4" w:name="xdx_495_20260101__20260331__us-gaap--Sta"/>
            <w:bookmarkEnd w:id="1354"/>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5" w:name="xdx_49F_20260101__20260331__us-gaap--Sta"/>
            <w:bookmarkEnd w:id="1355"/>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6" w:name="xdx_498_20260101__20260331_zwSXC398KcSf"/>
            <w:bookmarkEnd w:id="1356"/>
          </w:p>
        </w:tc>
        <w:tc>
          <w:tcPr>
            <w:tcW w:w="176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2" w:type="dxa"/>
            <w:tcBorders/>
            <w:vAlign w:val="center"/>
          </w:tcPr>
          <w:p>
            <w:pPr>
              <w:pStyle w:val="TableContents"/>
              <w:bidi w:val="0"/>
              <w:spacing w:before="0" w:after="283"/>
              <w:jc w:val="left"/>
              <w:rPr/>
            </w:pPr>
            <w:r>
              <w:rPr/>
              <w:t> </w:t>
            </w:r>
            <w:bookmarkStart w:id="1357" w:name="xdx_404_eus-gaap--RevenueFromContractWit"/>
            <w:bookmarkEnd w:id="1357"/>
          </w:p>
        </w:tc>
      </w:tr>
      <w:tr>
        <w:trPr/>
        <w:tc>
          <w:tcPr>
            <w:tcW w:w="449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2,696</w:t>
            </w:r>
          </w:p>
        </w:tc>
        <w:tc>
          <w:tcPr>
            <w:tcW w:w="112" w:type="dxa"/>
            <w:tcBorders/>
            <w:shd w:fill="CCEEFF" w:val="clear"/>
            <w:vAlign w:val="center"/>
          </w:tcPr>
          <w:p>
            <w:pPr>
              <w:pStyle w:val="TableContents"/>
              <w:bidi w:val="0"/>
              <w:spacing w:before="0" w:after="283"/>
              <w:jc w:val="left"/>
              <w:rPr/>
            </w:pPr>
            <w:r>
              <w:rPr/>
              <w:t> </w:t>
            </w:r>
            <w:bookmarkStart w:id="1358" w:name="xdx_408_eus-gaap--CostOfRevenue_hsrt--Co"/>
            <w:bookmarkEnd w:id="1358"/>
          </w:p>
        </w:tc>
      </w:tr>
      <w:tr>
        <w:trPr/>
        <w:tc>
          <w:tcPr>
            <w:tcW w:w="449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112" w:type="dxa"/>
            <w:tcBorders/>
            <w:shd w:fill="FFFFFF" w:val="clear"/>
            <w:vAlign w:val="center"/>
          </w:tcPr>
          <w:p>
            <w:pPr>
              <w:pStyle w:val="TableContents"/>
              <w:bidi w:val="0"/>
              <w:spacing w:before="0" w:after="283"/>
              <w:jc w:val="left"/>
              <w:rPr/>
            </w:pPr>
            <w:r>
              <w:rPr/>
              <w:t> </w:t>
            </w:r>
            <w:bookmarkStart w:id="1359" w:name="xdx_402_eus-gaap--GrossProfit_iT_hsrt--C"/>
            <w:bookmarkEnd w:id="1359"/>
          </w:p>
        </w:tc>
      </w:tr>
      <w:tr>
        <w:trPr/>
        <w:tc>
          <w:tcPr>
            <w:tcW w:w="449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2,175</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60" w:name="xdx_405_eus-gaap--OperatingExpensesAbstr"/>
            <w:bookmarkEnd w:id="1360"/>
          </w:p>
        </w:tc>
      </w:tr>
      <w:tr>
        <w:trPr/>
        <w:tc>
          <w:tcPr>
            <w:tcW w:w="4493"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361" w:name="xdx_408_eus-gaap--LaborAndRelatedExpense"/>
            <w:bookmarkEnd w:id="1361"/>
          </w:p>
        </w:tc>
      </w:tr>
      <w:tr>
        <w:trPr/>
        <w:tc>
          <w:tcPr>
            <w:tcW w:w="4493"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3,096</w:t>
            </w:r>
          </w:p>
        </w:tc>
        <w:tc>
          <w:tcPr>
            <w:tcW w:w="112" w:type="dxa"/>
            <w:tcBorders/>
            <w:shd w:fill="FFFFFF" w:val="clear"/>
            <w:vAlign w:val="center"/>
          </w:tcPr>
          <w:p>
            <w:pPr>
              <w:pStyle w:val="TableContents"/>
              <w:bidi w:val="0"/>
              <w:spacing w:before="0" w:after="283"/>
              <w:jc w:val="left"/>
              <w:rPr/>
            </w:pPr>
            <w:r>
              <w:rPr/>
              <w:t> </w:t>
            </w:r>
            <w:bookmarkStart w:id="1362" w:name="xdx_40E_eus-gaap--MarketingAndAdvertisin"/>
            <w:bookmarkEnd w:id="1362"/>
          </w:p>
        </w:tc>
      </w:tr>
      <w:tr>
        <w:trPr/>
        <w:tc>
          <w:tcPr>
            <w:tcW w:w="4493"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533</w:t>
            </w:r>
          </w:p>
        </w:tc>
        <w:tc>
          <w:tcPr>
            <w:tcW w:w="112" w:type="dxa"/>
            <w:tcBorders/>
            <w:shd w:fill="CCEEFF" w:val="clear"/>
            <w:vAlign w:val="center"/>
          </w:tcPr>
          <w:p>
            <w:pPr>
              <w:pStyle w:val="TableContents"/>
              <w:bidi w:val="0"/>
              <w:spacing w:before="0" w:after="283"/>
              <w:jc w:val="left"/>
              <w:rPr/>
            </w:pPr>
            <w:r>
              <w:rPr/>
              <w:t> </w:t>
            </w:r>
            <w:bookmarkStart w:id="1363" w:name="xdx_400_eus-gaap--CommunicationsAndInfor"/>
            <w:bookmarkEnd w:id="1363"/>
          </w:p>
        </w:tc>
      </w:tr>
      <w:tr>
        <w:trPr/>
        <w:tc>
          <w:tcPr>
            <w:tcW w:w="4493"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230</w:t>
            </w:r>
          </w:p>
        </w:tc>
        <w:tc>
          <w:tcPr>
            <w:tcW w:w="112" w:type="dxa"/>
            <w:tcBorders/>
            <w:shd w:fill="FFFFFF" w:val="clear"/>
            <w:vAlign w:val="center"/>
          </w:tcPr>
          <w:p>
            <w:pPr>
              <w:pStyle w:val="TableContents"/>
              <w:bidi w:val="0"/>
              <w:spacing w:before="0" w:after="283"/>
              <w:jc w:val="left"/>
              <w:rPr/>
            </w:pPr>
            <w:r>
              <w:rPr/>
              <w:t> </w:t>
            </w:r>
            <w:bookmarkStart w:id="1364" w:name="xdx_401_eus-gaap--OtherExpenses_i01_hsrt"/>
            <w:bookmarkEnd w:id="1364"/>
          </w:p>
        </w:tc>
      </w:tr>
      <w:tr>
        <w:trPr/>
        <w:tc>
          <w:tcPr>
            <w:tcW w:w="44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1365" w:name="xdx_F44_z9fkKpnjp4ea"/>
            <w:bookmarkEnd w:id="1365"/>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112" w:type="dxa"/>
            <w:tcBorders/>
            <w:shd w:fill="CCEEFF" w:val="clear"/>
            <w:vAlign w:val="center"/>
          </w:tcPr>
          <w:p>
            <w:pPr>
              <w:pStyle w:val="TableContents"/>
              <w:bidi w:val="0"/>
              <w:spacing w:before="0" w:after="283"/>
              <w:jc w:val="left"/>
              <w:rPr/>
            </w:pPr>
            <w:r>
              <w:rPr/>
              <w:t> </w:t>
            </w:r>
            <w:bookmarkStart w:id="1366" w:name="xdx_40C_eus-gaap--OperatingExpenses_i01T"/>
            <w:bookmarkEnd w:id="1366"/>
          </w:p>
        </w:tc>
      </w:tr>
      <w:tr>
        <w:trPr/>
        <w:tc>
          <w:tcPr>
            <w:tcW w:w="4493"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4,083</w:t>
            </w:r>
          </w:p>
        </w:tc>
        <w:tc>
          <w:tcPr>
            <w:tcW w:w="112" w:type="dxa"/>
            <w:tcBorders/>
            <w:shd w:fill="FFFFFF" w:val="clear"/>
            <w:vAlign w:val="center"/>
          </w:tcPr>
          <w:p>
            <w:pPr>
              <w:pStyle w:val="TableContents"/>
              <w:bidi w:val="0"/>
              <w:spacing w:before="0" w:after="283"/>
              <w:jc w:val="left"/>
              <w:rPr/>
            </w:pPr>
            <w:r>
              <w:rPr/>
              <w:t> </w:t>
            </w:r>
            <w:bookmarkStart w:id="1367" w:name="xdx_405_ecustom--AdjustedEBITDAFromConti"/>
            <w:bookmarkEnd w:id="1367"/>
          </w:p>
        </w:tc>
      </w:tr>
      <w:tr>
        <w:trPr/>
        <w:tc>
          <w:tcPr>
            <w:tcW w:w="4493"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(1,908</w:t>
            </w:r>
          </w:p>
        </w:tc>
        <w:tc>
          <w:tcPr>
            <w:tcW w:w="112" w:type="dxa"/>
            <w:tcBorders/>
            <w:shd w:fill="CCEEFF" w:val="clear"/>
            <w:vAlign w:val="center"/>
          </w:tcPr>
          <w:p>
            <w:pPr>
              <w:pStyle w:val="TableContents"/>
              <w:bidi w:val="0"/>
              <w:spacing w:before="0" w:after="283"/>
              <w:jc w:val="left"/>
              <w:rPr/>
            </w:pPr>
            <w:r>
              <w:rPr/>
              <w:t>)</w:t>
            </w:r>
            <w:bookmarkStart w:id="1368" w:name="xdx_404_ecustom--OperatingCostsExpensesA"/>
            <w:bookmarkEnd w:id="1368"/>
          </w:p>
        </w:tc>
      </w:tr>
      <w:tr>
        <w:trPr/>
        <w:tc>
          <w:tcPr>
            <w:tcW w:w="4493"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112" w:type="dxa"/>
            <w:tcBorders/>
            <w:shd w:fill="FFFFFF" w:val="clear"/>
            <w:vAlign w:val="center"/>
          </w:tcPr>
          <w:p>
            <w:pPr>
              <w:pStyle w:val="TableContents"/>
              <w:bidi w:val="0"/>
              <w:spacing w:before="0" w:after="283"/>
              <w:jc w:val="left"/>
              <w:rPr/>
            </w:pPr>
            <w:r>
              <w:rPr/>
              <w:t> </w:t>
            </w:r>
            <w:bookmarkStart w:id="1369" w:name="xdx_401_ecustom--AdjustedEBITDAFromConti"/>
            <w:bookmarkEnd w:id="1369"/>
          </w:p>
        </w:tc>
      </w:tr>
      <w:tr>
        <w:trPr/>
        <w:tc>
          <w:tcPr>
            <w:tcW w:w="4493"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(5,608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(5,475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70" w:name="xdx_F0A_ztchHh9G7Tcl"/>
            <w:bookmarkEnd w:id="1370"/>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1371" w:name="xdx_F11_zTL7RF6m2dql"/>
            <w:bookmarkEnd w:id="1371"/>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0"/>
        <w:gridCol w:w="60"/>
        <w:gridCol w:w="284"/>
        <w:gridCol w:w="1299"/>
        <w:gridCol w:w="95"/>
        <w:gridCol w:w="60"/>
        <w:gridCol w:w="205"/>
        <w:gridCol w:w="820"/>
        <w:gridCol w:w="60"/>
        <w:gridCol w:w="60"/>
        <w:gridCol w:w="199"/>
        <w:gridCol w:w="541"/>
        <w:gridCol w:w="60"/>
        <w:gridCol w:w="60"/>
        <w:gridCol w:w="318"/>
        <w:gridCol w:w="1451"/>
        <w:gridCol w:w="113"/>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2" w:name="xdx_494_20250101__20250331__us-gaap--Sta"/>
            <w:bookmarkEnd w:id="1372"/>
          </w:p>
        </w:tc>
        <w:tc>
          <w:tcPr>
            <w:tcW w:w="1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3" w:name="xdx_49C_20250101__20250331__us-gaap--Sta"/>
            <w:bookmarkEnd w:id="1373"/>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4" w:name="xdx_491_20250101__20250331__us-gaap--Sta"/>
            <w:bookmarkEnd w:id="1374"/>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bookmarkStart w:id="1375" w:name="xdx_F54_zI34eOCEk8v"/>
            <w:bookmarkEnd w:id="1375"/>
            <w:r>
              <w:rPr>
                <w:rFonts w:ascii="Times New Roman;Times;Serif" w:hAnsi="Times New Roman;Times;Serif"/>
                <w:b/>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6" w:name="xdx_496_20250101__20250331_zXqxDQ1kAKw4"/>
            <w:bookmarkEnd w:id="1376"/>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3"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Three months ended March 31, 2025</w:t>
            </w:r>
          </w:p>
        </w:tc>
        <w:tc>
          <w:tcPr>
            <w:tcW w:w="60" w:type="dxa"/>
            <w:tcBorders/>
            <w:vAlign w:val="center"/>
          </w:tcPr>
          <w:p>
            <w:pPr>
              <w:pStyle w:val="TableContents"/>
              <w:bidi w:val="0"/>
              <w:spacing w:before="0" w:after="283"/>
              <w:jc w:val="left"/>
              <w:rPr/>
            </w:pPr>
            <w:r>
              <w:rPr/>
              <w:t> </w:t>
            </w:r>
          </w:p>
        </w:tc>
        <w:tc>
          <w:tcPr>
            <w:tcW w:w="158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3" w:type="dxa"/>
            <w:tcBorders/>
            <w:vAlign w:val="center"/>
          </w:tcPr>
          <w:p>
            <w:pPr>
              <w:pStyle w:val="TableContents"/>
              <w:bidi w:val="0"/>
              <w:spacing w:before="0" w:after="283"/>
              <w:jc w:val="left"/>
              <w:rPr/>
            </w:pPr>
            <w:r>
              <w:rPr/>
              <w:t> </w:t>
            </w:r>
            <w:bookmarkStart w:id="1377" w:name="xdx_408_eus-gaap--RevenueFromContractWit"/>
            <w:bookmarkEnd w:id="1377"/>
          </w:p>
        </w:tc>
      </w:tr>
      <w:tr>
        <w:trPr/>
        <w:tc>
          <w:tcPr>
            <w:tcW w:w="45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51" w:type="dxa"/>
            <w:tcBorders/>
            <w:shd w:fill="CCEEFF" w:val="clear"/>
            <w:vAlign w:val="center"/>
          </w:tcPr>
          <w:p>
            <w:pPr>
              <w:pStyle w:val="TableContents"/>
              <w:bidi w:val="0"/>
              <w:spacing w:before="0" w:after="283"/>
              <w:jc w:val="right"/>
              <w:rPr/>
            </w:pPr>
            <w:r>
              <w:rPr/>
              <w:t>3,379</w:t>
            </w:r>
          </w:p>
        </w:tc>
        <w:tc>
          <w:tcPr>
            <w:tcW w:w="113" w:type="dxa"/>
            <w:tcBorders/>
            <w:shd w:fill="CCEEFF" w:val="clear"/>
            <w:vAlign w:val="center"/>
          </w:tcPr>
          <w:p>
            <w:pPr>
              <w:pStyle w:val="TableContents"/>
              <w:bidi w:val="0"/>
              <w:spacing w:before="0" w:after="283"/>
              <w:jc w:val="left"/>
              <w:rPr/>
            </w:pPr>
            <w:r>
              <w:rPr/>
              <w:t> </w:t>
            </w:r>
            <w:bookmarkStart w:id="1378" w:name="xdx_401_eus-gaap--CostOfRevenue_hsrt--Co"/>
            <w:bookmarkEnd w:id="1378"/>
          </w:p>
        </w:tc>
      </w:tr>
      <w:tr>
        <w:trPr/>
        <w:tc>
          <w:tcPr>
            <w:tcW w:w="452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606</w:t>
            </w:r>
          </w:p>
        </w:tc>
        <w:tc>
          <w:tcPr>
            <w:tcW w:w="113" w:type="dxa"/>
            <w:tcBorders/>
            <w:shd w:fill="FFFFFF" w:val="clear"/>
            <w:vAlign w:val="center"/>
          </w:tcPr>
          <w:p>
            <w:pPr>
              <w:pStyle w:val="TableContents"/>
              <w:bidi w:val="0"/>
              <w:spacing w:before="0" w:after="283"/>
              <w:jc w:val="left"/>
              <w:rPr/>
            </w:pPr>
            <w:r>
              <w:rPr/>
              <w:t> </w:t>
            </w:r>
            <w:bookmarkStart w:id="1379" w:name="xdx_40E_eus-gaap--GrossProfit_iT_hsrt--C"/>
            <w:bookmarkEnd w:id="1379"/>
          </w:p>
        </w:tc>
      </w:tr>
      <w:tr>
        <w:trPr/>
        <w:tc>
          <w:tcPr>
            <w:tcW w:w="45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2,773</w:t>
            </w:r>
          </w:p>
        </w:tc>
        <w:tc>
          <w:tcPr>
            <w:tcW w:w="113"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80" w:name="xdx_405_eus-gaap--OperatingExpensesAbstr"/>
            <w:bookmarkEnd w:id="1380"/>
          </w:p>
        </w:tc>
      </w:tr>
      <w:tr>
        <w:trPr/>
        <w:tc>
          <w:tcPr>
            <w:tcW w:w="4520"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81" w:name="xdx_409_eus-gaap--LaborAndRelatedExpense"/>
            <w:bookmarkEnd w:id="1381"/>
          </w:p>
        </w:tc>
      </w:tr>
      <w:tr>
        <w:trPr/>
        <w:tc>
          <w:tcPr>
            <w:tcW w:w="4520"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2,294</w:t>
            </w:r>
          </w:p>
        </w:tc>
        <w:tc>
          <w:tcPr>
            <w:tcW w:w="113" w:type="dxa"/>
            <w:tcBorders/>
            <w:shd w:fill="FFFFFF" w:val="clear"/>
            <w:vAlign w:val="center"/>
          </w:tcPr>
          <w:p>
            <w:pPr>
              <w:pStyle w:val="TableContents"/>
              <w:bidi w:val="0"/>
              <w:spacing w:before="0" w:after="283"/>
              <w:jc w:val="left"/>
              <w:rPr/>
            </w:pPr>
            <w:r>
              <w:rPr/>
              <w:t> </w:t>
            </w:r>
            <w:bookmarkStart w:id="1382" w:name="xdx_406_eus-gaap--MarketingAndAdvertisin"/>
            <w:bookmarkEnd w:id="1382"/>
          </w:p>
        </w:tc>
      </w:tr>
      <w:tr>
        <w:trPr/>
        <w:tc>
          <w:tcPr>
            <w:tcW w:w="4520"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937</w:t>
            </w:r>
          </w:p>
        </w:tc>
        <w:tc>
          <w:tcPr>
            <w:tcW w:w="113" w:type="dxa"/>
            <w:tcBorders/>
            <w:shd w:fill="CCEEFF" w:val="clear"/>
            <w:vAlign w:val="center"/>
          </w:tcPr>
          <w:p>
            <w:pPr>
              <w:pStyle w:val="TableContents"/>
              <w:bidi w:val="0"/>
              <w:spacing w:before="0" w:after="283"/>
              <w:jc w:val="left"/>
              <w:rPr/>
            </w:pPr>
            <w:r>
              <w:rPr/>
              <w:t> </w:t>
            </w:r>
            <w:bookmarkStart w:id="1383" w:name="xdx_40B_eus-gaap--CommunicationsAndInfor"/>
            <w:bookmarkEnd w:id="1383"/>
          </w:p>
        </w:tc>
      </w:tr>
      <w:tr>
        <w:trPr/>
        <w:tc>
          <w:tcPr>
            <w:tcW w:w="4520"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822</w:t>
            </w:r>
          </w:p>
        </w:tc>
        <w:tc>
          <w:tcPr>
            <w:tcW w:w="113" w:type="dxa"/>
            <w:tcBorders/>
            <w:shd w:fill="FFFFFF" w:val="clear"/>
            <w:vAlign w:val="center"/>
          </w:tcPr>
          <w:p>
            <w:pPr>
              <w:pStyle w:val="TableContents"/>
              <w:bidi w:val="0"/>
              <w:spacing w:before="0" w:after="283"/>
              <w:jc w:val="left"/>
              <w:rPr/>
            </w:pPr>
            <w:r>
              <w:rPr/>
              <w:t> </w:t>
            </w:r>
            <w:bookmarkStart w:id="1384" w:name="xdx_40F_eus-gaap--OtherExpenses_i01_hsrt"/>
            <w:bookmarkEnd w:id="1384"/>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1385" w:name="xdx_F49_zFklrahuxxje"/>
            <w:bookmarkEnd w:id="1385"/>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113" w:type="dxa"/>
            <w:tcBorders/>
            <w:shd w:fill="CCEEFF" w:val="clear"/>
            <w:vAlign w:val="center"/>
          </w:tcPr>
          <w:p>
            <w:pPr>
              <w:pStyle w:val="TableContents"/>
              <w:bidi w:val="0"/>
              <w:spacing w:before="0" w:after="283"/>
              <w:jc w:val="left"/>
              <w:rPr/>
            </w:pPr>
            <w:r>
              <w:rPr/>
              <w:t> </w:t>
            </w:r>
            <w:bookmarkStart w:id="1386" w:name="xdx_404_eus-gaap--OperatingExpenses_i01T"/>
            <w:bookmarkEnd w:id="1386"/>
          </w:p>
        </w:tc>
      </w:tr>
      <w:tr>
        <w:trPr/>
        <w:tc>
          <w:tcPr>
            <w:tcW w:w="452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4,515</w:t>
            </w:r>
          </w:p>
        </w:tc>
        <w:tc>
          <w:tcPr>
            <w:tcW w:w="113" w:type="dxa"/>
            <w:tcBorders/>
            <w:shd w:fill="FFFFFF" w:val="clear"/>
            <w:vAlign w:val="center"/>
          </w:tcPr>
          <w:p>
            <w:pPr>
              <w:pStyle w:val="TableContents"/>
              <w:bidi w:val="0"/>
              <w:spacing w:before="0" w:after="283"/>
              <w:jc w:val="left"/>
              <w:rPr/>
            </w:pPr>
            <w:r>
              <w:rPr/>
              <w:t> </w:t>
            </w:r>
            <w:bookmarkStart w:id="1387" w:name="xdx_407_ecustom--AdjustedEBITDAFromConti"/>
            <w:bookmarkEnd w:id="1387"/>
          </w:p>
        </w:tc>
      </w:tr>
      <w:tr>
        <w:trPr/>
        <w:tc>
          <w:tcPr>
            <w:tcW w:w="4520"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(1,742</w:t>
            </w:r>
          </w:p>
        </w:tc>
        <w:tc>
          <w:tcPr>
            <w:tcW w:w="113" w:type="dxa"/>
            <w:tcBorders/>
            <w:shd w:fill="CCEEFF" w:val="clear"/>
            <w:vAlign w:val="center"/>
          </w:tcPr>
          <w:p>
            <w:pPr>
              <w:pStyle w:val="TableContents"/>
              <w:bidi w:val="0"/>
              <w:spacing w:before="0" w:after="283"/>
              <w:jc w:val="left"/>
              <w:rPr/>
            </w:pPr>
            <w:r>
              <w:rPr/>
              <w:t>)</w:t>
            </w:r>
            <w:bookmarkStart w:id="1388" w:name="xdx_402_ecustom--OperatingCostsExpensesA"/>
            <w:bookmarkEnd w:id="1388"/>
          </w:p>
        </w:tc>
      </w:tr>
      <w:tr>
        <w:trPr/>
        <w:tc>
          <w:tcPr>
            <w:tcW w:w="4520"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2,918</w:t>
            </w:r>
          </w:p>
        </w:tc>
        <w:tc>
          <w:tcPr>
            <w:tcW w:w="113" w:type="dxa"/>
            <w:tcBorders/>
            <w:shd w:fill="FFFFFF" w:val="clear"/>
            <w:vAlign w:val="center"/>
          </w:tcPr>
          <w:p>
            <w:pPr>
              <w:pStyle w:val="TableContents"/>
              <w:bidi w:val="0"/>
              <w:spacing w:before="0" w:after="283"/>
              <w:jc w:val="left"/>
              <w:rPr/>
            </w:pPr>
            <w:r>
              <w:rPr/>
              <w:t> </w:t>
            </w:r>
            <w:bookmarkStart w:id="1389" w:name="xdx_409_ecustom--AdjustedEBITDAFromConti"/>
            <w:bookmarkEnd w:id="1389"/>
          </w:p>
        </w:tc>
      </w:tr>
      <w:tr>
        <w:trPr/>
        <w:tc>
          <w:tcPr>
            <w:tcW w:w="452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pPr>
            <w:r>
              <w:rPr/>
              <w:t>(5,477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1" w:type="dxa"/>
            <w:tcBorders>
              <w:bottom w:val="double" w:sz="6" w:space="0" w:color="000000"/>
            </w:tcBorders>
            <w:shd w:fill="CCEEFF" w:val="clear"/>
            <w:tcMar>
              <w:bottom w:w="28" w:type="dxa"/>
            </w:tcMar>
            <w:vAlign w:val="center"/>
          </w:tcPr>
          <w:p>
            <w:pPr>
              <w:pStyle w:val="TableContents"/>
              <w:bidi w:val="0"/>
              <w:spacing w:before="0" w:after="283"/>
              <w:jc w:val="right"/>
              <w:rPr/>
            </w:pPr>
            <w:r>
              <w:rPr/>
              <w:t>(4,660</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90" w:name="xdx_F05_zxGgjq8UITCi"/>
            <w:bookmarkEnd w:id="1390"/>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1391" w:name="xdx_F19_zLT25CNCoUYh"/>
            <w:bookmarkEnd w:id="1391"/>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does not represent activity for the full three month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92" w:name="xdx_F0A_z25hjZiQDl41"/>
            <w:bookmarkEnd w:id="1392"/>
            <w:r>
              <w:rPr>
                <w:rFonts w:ascii="Times New Roman;Times;Serif" w:hAnsi="Times New Roman;Times;Serif"/>
                <w:position w:val="7"/>
                <w:sz w:val="16"/>
                <w:sz w:val="20"/>
              </w:rPr>
              <w:t>2</w:t>
            </w:r>
            <w:bookmarkStart w:id="1393" w:name="xdx_F10_zogy32ULuUld"/>
            <w:bookmarkEnd w:id="1393"/>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bookmarkStart w:id="1394" w:name="xdx_8AD_zVRbhr2ALCFl"/>
      <w:bookmarkEnd w:id="13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5" w:name="xdx_89E_eus-gaap--ReconciliationOfOperat"/>
      <w:bookmarkEnd w:id="1395"/>
      <w:r>
        <w:rPr>
          <w:rFonts w:ascii="Times New Roman;Times;Serif" w:hAnsi="Times New Roman;Times;Serif"/>
          <w:b w:val="false"/>
          <w:i w:val="false"/>
          <w:caps w:val="false"/>
          <w:smallCaps w:val="false"/>
          <w:sz w:val="20"/>
        </w:rPr>
        <w:t>A reconciliation between EBITDA by reportable segment to consolidated net loss before income taxes for the three months ended March 31, 2026, and 2025 is as follows:</w:t>
      </w:r>
    </w:p>
    <w:p>
      <w:pPr>
        <w:pStyle w:val="TextBody"/>
        <w:bidi w:val="0"/>
        <w:spacing w:before="0" w:after="0"/>
        <w:ind w:left="0" w:right="0" w:hanging="0"/>
        <w:jc w:val="both"/>
        <w:rPr>
          <w:caps w:val="false"/>
          <w:smallCaps w:val="false"/>
        </w:rPr>
      </w:pPr>
      <w:r>
        <w:rPr>
          <w:caps w:val="false"/>
          <w:smallCaps w:val="false"/>
        </w:rPr>
        <w:t> </w:t>
      </w:r>
      <w:bookmarkStart w:id="1396" w:name="xdx_8B0_zh1AXia7JsI"/>
      <w:bookmarkEnd w:id="1396"/>
      <w:r>
        <w:rPr>
          <w:rFonts w:ascii="Times New Roman;Times;Serif" w:hAnsi="Times New Roman;Times;Serif"/>
          <w:b w:val="false"/>
          <w:i w:val="false"/>
          <w:caps w:val="false"/>
          <w:smallCaps w:val="false"/>
          <w:sz w:val="20"/>
        </w:rPr>
        <w:t>Summary of Reconciliation Between EBITDA by Reportable Segment to Consolidated Net Loss Before Income Taxes </w:t>
      </w:r>
    </w:p>
    <w:tbl>
      <w:tblPr>
        <w:tblW w:w="7853" w:type="dxa"/>
        <w:jc w:val="left"/>
        <w:tblInd w:w="0" w:type="dxa"/>
        <w:tblLayout w:type="fixed"/>
        <w:tblCellMar>
          <w:top w:w="0" w:type="dxa"/>
          <w:left w:w="0" w:type="dxa"/>
          <w:bottom w:w="0" w:type="dxa"/>
          <w:right w:w="0" w:type="dxa"/>
        </w:tblCellMar>
      </w:tblPr>
      <w:tblGrid>
        <w:gridCol w:w="4310"/>
        <w:gridCol w:w="60"/>
        <w:gridCol w:w="290"/>
        <w:gridCol w:w="1319"/>
        <w:gridCol w:w="95"/>
        <w:gridCol w:w="60"/>
        <w:gridCol w:w="290"/>
        <w:gridCol w:w="1319"/>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7" w:name="xdx_490_20260101__20260331__srt--Consoli"/>
            <w:bookmarkEnd w:id="139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8" w:name="xdx_493_20250101__20250331__srt--Consoli"/>
            <w:bookmarkEnd w:id="1398"/>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EBITDA by segment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9" w:name="xdx_409_eus-gaap--OperatingIncomeLoss_hu"/>
            <w:bookmarkEnd w:id="1399"/>
          </w:p>
        </w:tc>
      </w:tr>
      <w:tr>
        <w:trPr/>
        <w:tc>
          <w:tcPr>
            <w:tcW w:w="4310" w:type="dxa"/>
            <w:tcBorders/>
            <w:shd w:fill="FFFFFF" w:val="clear"/>
            <w:vAlign w:val="center"/>
          </w:tcPr>
          <w:p>
            <w:pPr>
              <w:pStyle w:val="TableContents"/>
              <w:bidi w:val="0"/>
              <w:spacing w:before="0" w:after="283"/>
              <w:jc w:val="left"/>
              <w:rPr/>
            </w:pPr>
            <w:r>
              <w:rPr/>
              <w:t>Banzai Operating Co.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(5,477</w:t>
            </w:r>
          </w:p>
        </w:tc>
        <w:tc>
          <w:tcPr>
            <w:tcW w:w="110" w:type="dxa"/>
            <w:tcBorders/>
            <w:shd w:fill="FFFFFF" w:val="clear"/>
            <w:vAlign w:val="center"/>
          </w:tcPr>
          <w:p>
            <w:pPr>
              <w:pStyle w:val="TableContents"/>
              <w:bidi w:val="0"/>
              <w:spacing w:before="0" w:after="283"/>
              <w:jc w:val="left"/>
              <w:rPr/>
            </w:pPr>
            <w:r>
              <w:rPr/>
              <w:t>)</w:t>
            </w:r>
            <w:bookmarkStart w:id="1400" w:name="xdx_405_eus-gaap--OperatingIncomeLoss_hu"/>
            <w:bookmarkEnd w:id="1400"/>
          </w:p>
        </w:tc>
      </w:tr>
      <w:tr>
        <w:trPr/>
        <w:tc>
          <w:tcPr>
            <w:tcW w:w="4310" w:type="dxa"/>
            <w:tcBorders/>
            <w:shd w:fill="CCEEFF" w:val="clear"/>
            <w:vAlign w:val="center"/>
          </w:tcPr>
          <w:p>
            <w:pPr>
              <w:pStyle w:val="TableContents"/>
              <w:bidi w:val="0"/>
              <w:spacing w:before="0" w:after="283"/>
              <w:jc w:val="left"/>
              <w:rPr/>
            </w:pPr>
            <w:r>
              <w:rPr/>
              <w:t>OpenReel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397</w:t>
            </w:r>
          </w:p>
        </w:tc>
        <w:tc>
          <w:tcPr>
            <w:tcW w:w="110" w:type="dxa"/>
            <w:tcBorders/>
            <w:shd w:fill="CCEEFF" w:val="clear"/>
            <w:vAlign w:val="center"/>
          </w:tcPr>
          <w:p>
            <w:pPr>
              <w:pStyle w:val="TableContents"/>
              <w:bidi w:val="0"/>
              <w:spacing w:before="0" w:after="283"/>
              <w:jc w:val="left"/>
              <w:rPr/>
            </w:pPr>
            <w:r>
              <w:rPr/>
              <w:t> </w:t>
            </w:r>
            <w:bookmarkStart w:id="1401" w:name="xdx_40D_eus-gaap--OperatingIncomeLoss_hu"/>
            <w:bookmarkEnd w:id="1401"/>
          </w:p>
        </w:tc>
      </w:tr>
      <w:tr>
        <w:trPr/>
        <w:tc>
          <w:tcPr>
            <w:tcW w:w="4310" w:type="dxa"/>
            <w:tcBorders/>
            <w:shd w:fill="FFFFFF" w:val="clear"/>
            <w:vAlign w:val="center"/>
          </w:tcPr>
          <w:p>
            <w:pPr>
              <w:pStyle w:val="TableContents"/>
              <w:bidi w:val="0"/>
              <w:spacing w:before="0" w:after="283"/>
              <w:jc w:val="left"/>
              <w:rPr/>
            </w:pPr>
            <w:r>
              <w:rPr/>
              <w:t>Vidello</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420</w:t>
            </w:r>
          </w:p>
        </w:tc>
        <w:tc>
          <w:tcPr>
            <w:tcW w:w="110" w:type="dxa"/>
            <w:tcBorders/>
            <w:shd w:fill="FFFFFF" w:val="clear"/>
            <w:vAlign w:val="center"/>
          </w:tcPr>
          <w:p>
            <w:pPr>
              <w:pStyle w:val="TableContents"/>
              <w:bidi w:val="0"/>
              <w:spacing w:before="0" w:after="283"/>
              <w:jc w:val="left"/>
              <w:rPr/>
            </w:pPr>
            <w:r>
              <w:rPr/>
              <w:t> </w:t>
            </w:r>
            <w:bookmarkStart w:id="1402" w:name="xdx_403_eus-gaap--OperatingIncomeLoss_hs"/>
            <w:bookmarkEnd w:id="1402"/>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(4,660</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3" w:name="xdx_407_eus-gaap--IncomeLossFromContinui"/>
            <w:bookmarkEnd w:id="1403"/>
          </w:p>
        </w:tc>
      </w:tr>
      <w:tr>
        <w:trPr/>
        <w:tc>
          <w:tcPr>
            <w:tcW w:w="4310" w:type="dxa"/>
            <w:tcBorders/>
            <w:shd w:fill="CCEEFF" w:val="clear"/>
            <w:vAlign w:val="center"/>
          </w:tcPr>
          <w:p>
            <w:pPr>
              <w:pStyle w:val="TableContents"/>
              <w:bidi w:val="0"/>
              <w:spacing w:before="0" w:after="283"/>
              <w:jc w:val="left"/>
              <w:rPr>
                <w:i/>
              </w:rPr>
            </w:pPr>
            <w:r>
              <w:rPr>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4" w:name="xdx_40F_eus-gaap--InvestmentIncomeIntere"/>
            <w:bookmarkEnd w:id="1404"/>
          </w:p>
        </w:tc>
      </w:tr>
      <w:tr>
        <w:trPr/>
        <w:tc>
          <w:tcPr>
            <w:tcW w:w="43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05" w:name="xdx_408_eus-gaap--InterestExpenseNonoper"/>
            <w:bookmarkEnd w:id="1405"/>
          </w:p>
        </w:tc>
      </w:tr>
      <w:tr>
        <w:trPr/>
        <w:tc>
          <w:tcPr>
            <w:tcW w:w="43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06" w:name="xdx_405_eus-gaap--InterestExpenseNonoper"/>
            <w:bookmarkEnd w:id="1406"/>
          </w:p>
        </w:tc>
      </w:tr>
      <w:tr>
        <w:trPr/>
        <w:tc>
          <w:tcPr>
            <w:tcW w:w="431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358</w:t>
            </w:r>
          </w:p>
        </w:tc>
        <w:tc>
          <w:tcPr>
            <w:tcW w:w="110" w:type="dxa"/>
            <w:tcBorders/>
            <w:shd w:fill="FFFFFF" w:val="clear"/>
            <w:vAlign w:val="center"/>
          </w:tcPr>
          <w:p>
            <w:pPr>
              <w:pStyle w:val="TableContents"/>
              <w:bidi w:val="0"/>
              <w:spacing w:before="0" w:after="283"/>
              <w:jc w:val="left"/>
              <w:rPr/>
            </w:pPr>
            <w:r>
              <w:rPr/>
              <w:t> </w:t>
            </w:r>
            <w:bookmarkStart w:id="1407" w:name="xdx_404_eus-gaap--DepreciationDepletionA"/>
            <w:bookmarkEnd w:id="1407"/>
          </w:p>
        </w:tc>
      </w:tr>
      <w:tr>
        <w:trPr/>
        <w:tc>
          <w:tcPr>
            <w:tcW w:w="431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247</w:t>
            </w:r>
          </w:p>
        </w:tc>
        <w:tc>
          <w:tcPr>
            <w:tcW w:w="110" w:type="dxa"/>
            <w:tcBorders/>
            <w:shd w:fill="CCEEFF" w:val="clear"/>
            <w:vAlign w:val="center"/>
          </w:tcPr>
          <w:p>
            <w:pPr>
              <w:pStyle w:val="TableContents"/>
              <w:bidi w:val="0"/>
              <w:spacing w:before="0" w:after="283"/>
              <w:jc w:val="left"/>
              <w:rPr/>
            </w:pPr>
            <w:r>
              <w:rPr/>
              <w:t> </w:t>
            </w:r>
            <w:bookmarkStart w:id="1408" w:name="xdx_40D_eus-gaap--GainsLossesOnExtinguis"/>
            <w:bookmarkEnd w:id="1408"/>
          </w:p>
        </w:tc>
      </w:tr>
      <w:tr>
        <w:trPr/>
        <w:tc>
          <w:tcPr>
            <w:tcW w:w="4310" w:type="dxa"/>
            <w:tcBorders/>
            <w:shd w:fill="FFFFFF" w:val="clear"/>
            <w:vAlign w:val="center"/>
          </w:tcPr>
          <w:p>
            <w:pPr>
              <w:pStyle w:val="TableContents"/>
              <w:bidi w:val="0"/>
              <w:spacing w:before="0" w:after="283"/>
              <w:jc w:val="left"/>
              <w:rPr/>
            </w:pPr>
            <w:r>
              <w:rPr/>
              <w:t>Gain on extinguishment of liabilities, net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(2,573</w:t>
            </w:r>
          </w:p>
        </w:tc>
        <w:tc>
          <w:tcPr>
            <w:tcW w:w="110" w:type="dxa"/>
            <w:tcBorders/>
            <w:shd w:fill="FFFFFF" w:val="clear"/>
            <w:vAlign w:val="center"/>
          </w:tcPr>
          <w:p>
            <w:pPr>
              <w:pStyle w:val="TableContents"/>
              <w:bidi w:val="0"/>
              <w:spacing w:before="0" w:after="283"/>
              <w:jc w:val="left"/>
              <w:rPr/>
            </w:pPr>
            <w:r>
              <w:rPr/>
              <w:t>)</w:t>
            </w:r>
            <w:bookmarkStart w:id="1409" w:name="xdx_404_ecustom--LossOnYorkvilleSepaAdva"/>
            <w:bookmarkEnd w:id="1409"/>
          </w:p>
        </w:tc>
      </w:tr>
      <w:tr>
        <w:trPr/>
        <w:tc>
          <w:tcPr>
            <w:tcW w:w="431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 </w:t>
            </w:r>
            <w:bookmarkStart w:id="1410" w:name="xdx_400_ecustom--GainsLossesOnDebtIssuan"/>
            <w:bookmarkEnd w:id="1410"/>
          </w:p>
        </w:tc>
      </w:tr>
      <w:tr>
        <w:trPr/>
        <w:tc>
          <w:tcPr>
            <w:tcW w:w="4310"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bookmarkStart w:id="1411" w:name="xdx_40F_ecustom--ChangesInFairValueOfFin"/>
            <w:bookmarkEnd w:id="1411"/>
          </w:p>
        </w:tc>
      </w:tr>
      <w:tr>
        <w:trPr/>
        <w:tc>
          <w:tcPr>
            <w:tcW w:w="4310" w:type="dxa"/>
            <w:tcBorders/>
            <w:shd w:fill="CCEEFF" w:val="clear"/>
            <w:vAlign w:val="center"/>
          </w:tcPr>
          <w:p>
            <w:pPr>
              <w:pStyle w:val="TableContents"/>
              <w:bidi w:val="0"/>
              <w:spacing w:before="0" w:after="283"/>
              <w:jc w:val="left"/>
              <w:rPr/>
            </w:pPr>
            <w:r>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bookmarkStart w:id="1412" w:name="xdx_40E_eus-gaap--SegmentReportingOtherI"/>
            <w:bookmarkEnd w:id="1412"/>
          </w:p>
        </w:tc>
      </w:tr>
      <w:tr>
        <w:trPr/>
        <w:tc>
          <w:tcPr>
            <w:tcW w:w="43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w:t>
            </w:r>
            <w:bookmarkStart w:id="1413" w:name="xdx_40F_eus-gaap--IncomeLossFromContinui"/>
            <w:bookmarkEnd w:id="1413"/>
          </w:p>
        </w:tc>
      </w:tr>
      <w:tr>
        <w:trPr/>
        <w:tc>
          <w:tcPr>
            <w:tcW w:w="431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(3,570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414" w:name="xdx_8A1_zqFeb92AWS6k"/>
      <w:bookmarkEnd w:id="141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15" w:name="xdx_89A_eus-gaap--ScheduleOfEntityWideIn"/>
      <w:bookmarkEnd w:id="1415"/>
      <w:r>
        <w:rPr>
          <w:rFonts w:ascii="Times New Roman;Times;Serif" w:hAnsi="Times New Roman;Times;Serif"/>
          <w:b w:val="false"/>
          <w:i w:val="false"/>
          <w:caps w:val="false"/>
          <w:smallCaps w:val="false"/>
          <w:sz w:val="20"/>
        </w:rPr>
        <w:t>The following table presents the Company’s percentage of revenue generated by SaaS product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bookmarkStart w:id="1416" w:name="xdx_8B2_zUjCLkKy3iOd"/>
      <w:bookmarkEnd w:id="1416"/>
      <w:r>
        <w:rPr>
          <w:rFonts w:ascii="Times New Roman;Times;Serif" w:hAnsi="Times New Roman;Times;Serif"/>
          <w:b w:val="false"/>
          <w:i w:val="false"/>
          <w:caps w:val="false"/>
          <w:smallCaps w:val="false"/>
          <w:sz w:val="20"/>
        </w:rPr>
        <w:t>Summary of Company's Percentage of Revenue Generated by Saas Product </w:t>
      </w:r>
    </w:p>
    <w:tbl>
      <w:tblPr>
        <w:tblW w:w="5711" w:type="dxa"/>
        <w:jc w:val="left"/>
        <w:tblInd w:w="0" w:type="dxa"/>
        <w:tblLayout w:type="fixed"/>
        <w:tblCellMar>
          <w:top w:w="0" w:type="dxa"/>
          <w:left w:w="0" w:type="dxa"/>
          <w:bottom w:w="0" w:type="dxa"/>
          <w:right w:w="0" w:type="dxa"/>
        </w:tblCellMar>
      </w:tblPr>
      <w:tblGrid>
        <w:gridCol w:w="2225"/>
        <w:gridCol w:w="60"/>
        <w:gridCol w:w="126"/>
        <w:gridCol w:w="1182"/>
        <w:gridCol w:w="454"/>
        <w:gridCol w:w="126"/>
        <w:gridCol w:w="126"/>
        <w:gridCol w:w="1182"/>
        <w:gridCol w:w="230"/>
      </w:tblGrid>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bookmarkStart w:id="1417" w:name="xdx_493_20260101__20260331_zXydSEUbu67i"/>
            <w:bookmarkEnd w:id="1417"/>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bookmarkStart w:id="1418" w:name="xdx_49B_20250101__20250331_zXTdDVKZkVRf"/>
            <w:bookmarkEnd w:id="1418"/>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bookmarkStart w:id="1419" w:name="xdx_40E_eus-gaap--ConcentrationRiskPerce"/>
            <w:bookmarkEnd w:id="1419"/>
          </w:p>
        </w:tc>
      </w:tr>
      <w:tr>
        <w:trPr/>
        <w:tc>
          <w:tcPr>
            <w:tcW w:w="2225" w:type="dxa"/>
            <w:tcBorders/>
            <w:shd w:fill="CCEEFF" w:val="clear"/>
            <w:vAlign w:val="center"/>
          </w:tcPr>
          <w:p>
            <w:pPr>
              <w:pStyle w:val="TableContents"/>
              <w:bidi w:val="0"/>
              <w:spacing w:before="0" w:after="283"/>
              <w:jc w:val="left"/>
              <w:rPr/>
            </w:pPr>
            <w:r>
              <w:rPr/>
              <w:t>Reach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w:t>
            </w:r>
          </w:p>
        </w:tc>
        <w:tc>
          <w:tcPr>
            <w:tcW w:w="230" w:type="dxa"/>
            <w:tcBorders/>
            <w:shd w:fill="CCEEFF" w:val="clear"/>
            <w:vAlign w:val="center"/>
          </w:tcPr>
          <w:p>
            <w:pPr>
              <w:pStyle w:val="TableContents"/>
              <w:bidi w:val="0"/>
              <w:spacing w:before="0" w:after="283"/>
              <w:jc w:val="left"/>
              <w:rPr/>
            </w:pPr>
            <w:r>
              <w:rPr/>
              <w:t>%</w:t>
            </w:r>
            <w:bookmarkStart w:id="1420" w:name="xdx_401_eus-gaap--ConcentrationRiskPerce"/>
            <w:bookmarkEnd w:id="1420"/>
          </w:p>
        </w:tc>
      </w:tr>
      <w:tr>
        <w:trPr/>
        <w:tc>
          <w:tcPr>
            <w:tcW w:w="2225" w:type="dxa"/>
            <w:tcBorders/>
            <w:shd w:fill="FFFFFF" w:val="clear"/>
            <w:vAlign w:val="center"/>
          </w:tcPr>
          <w:p>
            <w:pPr>
              <w:pStyle w:val="TableContents"/>
              <w:bidi w:val="0"/>
              <w:spacing w:before="0" w:after="283"/>
              <w:jc w:val="left"/>
              <w:rPr/>
            </w:pPr>
            <w:r>
              <w:rPr/>
              <w:t>Demio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34.2</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91.0</w:t>
            </w:r>
          </w:p>
        </w:tc>
        <w:tc>
          <w:tcPr>
            <w:tcW w:w="230" w:type="dxa"/>
            <w:tcBorders/>
            <w:shd w:fill="FFFFFF" w:val="clear"/>
            <w:vAlign w:val="center"/>
          </w:tcPr>
          <w:p>
            <w:pPr>
              <w:pStyle w:val="TableContents"/>
              <w:bidi w:val="0"/>
              <w:spacing w:before="0" w:after="283"/>
              <w:jc w:val="left"/>
              <w:rPr/>
            </w:pPr>
            <w:r>
              <w:rPr/>
              <w:t>%</w:t>
            </w:r>
            <w:bookmarkStart w:id="1421" w:name="xdx_404_eus-gaap--ConcentrationRiskPerce"/>
            <w:bookmarkEnd w:id="1421"/>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45.0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bookmarkStart w:id="1422" w:name="xdx_403_eus-gaap--ConcentrationRiskPerce"/>
            <w:bookmarkEnd w:id="1422"/>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bookmarkStart w:id="1423" w:name="xdx_409_eus-gaap--ConcentrationRiskPerce"/>
            <w:bookmarkEnd w:id="1423"/>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bookmarkStart w:id="1424" w:name="xdx_402_eus-gaap--ConcentrationRiskPerce"/>
            <w:bookmarkEnd w:id="1424"/>
          </w:p>
        </w:tc>
      </w:tr>
      <w:tr>
        <w:trPr/>
        <w:tc>
          <w:tcPr>
            <w:tcW w:w="2225" w:type="dxa"/>
            <w:tcBorders/>
            <w:shd w:fill="CCEEFF" w:val="clear"/>
            <w:vAlign w:val="center"/>
          </w:tcPr>
          <w:p>
            <w:pPr>
              <w:pStyle w:val="TableContents"/>
              <w:bidi w:val="0"/>
              <w:spacing w:before="0" w:after="283"/>
              <w:jc w:val="left"/>
              <w:rPr/>
            </w:pPr>
            <w:r>
              <w:rPr/>
              <w:t>Percentage of Revenue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425" w:name="xdx_8A2_z5ODOc11sMM1"/>
      <w:bookmarkEnd w:id="14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26" w:name="xdx_807_eus-gaap--SubsequentEventsTextBl"/>
      <w:bookmarkEnd w:id="1426"/>
      <w:r>
        <w:rPr>
          <w:rFonts w:ascii="Times New Roman;Times;Serif" w:hAnsi="Times New Roman;Times;Serif"/>
          <w:b/>
          <w:i w:val="false"/>
          <w:caps w:val="false"/>
          <w:smallCaps w:val="false"/>
          <w:sz w:val="20"/>
        </w:rPr>
        <w:t xml:space="preserve">18. </w:t>
      </w:r>
      <w:bookmarkStart w:id="1427" w:name="xdx_820_z3l1hWoCtpf5"/>
      <w:bookmarkEnd w:id="1427"/>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28" w:name="xdx_90F_eus-gaap--StockholdersEquityReve"/>
      <w:bookmarkEnd w:id="1428"/>
      <w:r>
        <w:rPr>
          <w:rFonts w:ascii="Times New Roman;Times;Serif" w:hAnsi="Times New Roman;Times;Serif"/>
          <w:b w:val="false"/>
          <w:i w:val="false"/>
          <w:caps w:val="false"/>
          <w:smallCaps w:val="false"/>
          <w:sz w:val="20"/>
        </w:rPr>
        <w:t xml:space="preserve">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w:t>
      </w:r>
      <w:bookmarkStart w:id="1429" w:name="xdx_904_eus-gaap--StockholdersEquityNote"/>
      <w:bookmarkEnd w:id="1429"/>
      <w:r>
        <w:rPr>
          <w:rFonts w:ascii="Times New Roman;Times;Serif" w:hAnsi="Times New Roman;Times;Serif"/>
          <w:b w:val="false"/>
          <w:i w:val="false"/>
          <w:caps w:val="false"/>
          <w:smallCaps w:val="false"/>
          <w:sz w:val="20"/>
        </w:rPr>
        <w:t>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March 31, 2026, on April 15, 2026, April 29, 2026 and May 8, 2026, the Company entered into exchange agreements with Agile on substantially similar terms as the Agile Exchange Agreement pursuant to which the Company issued an aggregate of approximately </w:t>
      </w:r>
      <w:bookmarkStart w:id="1430" w:name="xdx_908_eus-gaap--StockIssuedDuringPerio"/>
      <w:bookmarkStart w:id="1431" w:name="xdx_902_eus-gaap--StockIssuedDuringPerio"/>
      <w:bookmarkStart w:id="1432" w:name="xdx_900_eus-gaap--StockIssuedDuringPerio"/>
      <w:bookmarkEnd w:id="1430"/>
      <w:bookmarkEnd w:id="1431"/>
      <w:bookmarkEnd w:id="1432"/>
      <w:r>
        <w:rPr>
          <w:rFonts w:ascii="Times New Roman;Times;Serif" w:hAnsi="Times New Roman;Times;Serif"/>
          <w:b w:val="false"/>
          <w:i w:val="false"/>
          <w:caps w:val="false"/>
          <w:smallCaps w:val="false"/>
          <w:sz w:val="20"/>
        </w:rPr>
        <w:t>74,948 shares of its Class A Common Stock at conversion prices per share of $</w:t>
      </w:r>
      <w:bookmarkStart w:id="1433" w:name="xdx_906_eus-gaap--DebtInstrumentConverti"/>
      <w:bookmarkStart w:id="1434" w:name="xdx_90F_eus-gaap--DebtInstrumentConverti"/>
      <w:bookmarkStart w:id="1435" w:name="xdx_905_eus-gaap--DebtInstrumentConverti"/>
      <w:bookmarkEnd w:id="1433"/>
      <w:bookmarkEnd w:id="1434"/>
      <w:bookmarkEnd w:id="1435"/>
      <w:r>
        <w:rPr>
          <w:rFonts w:ascii="Times New Roman;Times;Serif" w:hAnsi="Times New Roman;Times;Serif"/>
          <w:b w:val="false"/>
          <w:i w:val="false"/>
          <w:caps w:val="false"/>
          <w:smallCaps w:val="false"/>
          <w:sz w:val="20"/>
        </w:rPr>
        <w:t>5.82 and $</w:t>
      </w:r>
      <w:bookmarkStart w:id="1436" w:name="xdx_90F_eus-gaap--DebtInstrumentConverti"/>
      <w:bookmarkStart w:id="1437" w:name="xdx_902_eus-gaap--DebtInstrumentConverti"/>
      <w:bookmarkStart w:id="1438" w:name="xdx_900_eus-gaap--DebtInstrumentConverti"/>
      <w:bookmarkEnd w:id="1436"/>
      <w:bookmarkEnd w:id="1437"/>
      <w:bookmarkEnd w:id="1438"/>
      <w:r>
        <w:rPr>
          <w:rFonts w:ascii="Times New Roman;Times;Serif" w:hAnsi="Times New Roman;Times;Serif"/>
          <w:b w:val="false"/>
          <w:i w:val="false"/>
          <w:caps w:val="false"/>
          <w:smallCaps w:val="false"/>
          <w:sz w:val="20"/>
        </w:rPr>
        <w:t>12.40, respectively, in exchange for aggregate reductions of approximately $</w:t>
      </w:r>
      <w:bookmarkStart w:id="1439" w:name="xdx_901_ecustom--AggregateReductionsOfIn"/>
      <w:bookmarkStart w:id="1440" w:name="xdx_908_ecustom--AggregateReductionsOfIn"/>
      <w:bookmarkStart w:id="1441" w:name="xdx_90C_ecustom--AggregateReductionsOfIn"/>
      <w:bookmarkEnd w:id="1439"/>
      <w:bookmarkEnd w:id="1440"/>
      <w:bookmarkEnd w:id="1441"/>
      <w:r>
        <w:rPr>
          <w:rFonts w:ascii="Times New Roman;Times;Serif" w:hAnsi="Times New Roman;Times;Serif"/>
          <w:b w:val="false"/>
          <w:i w:val="false"/>
          <w:caps w:val="false"/>
          <w:smallCaps w:val="false"/>
          <w:sz w:val="20"/>
        </w:rPr>
        <w:t>540 in the outstanding balance of the March Agile Note. Following these exchanges, the outstanding balance of the March Agile Note was reduced to approximately $</w:t>
      </w:r>
      <w:bookmarkStart w:id="1442" w:name="xdx_90B_eus-gaap--LongTermNotesPayable_i"/>
      <w:bookmarkEnd w:id="1442"/>
      <w:r>
        <w:rPr>
          <w:rFonts w:ascii="Times New Roman;Times;Serif" w:hAnsi="Times New Roman;Times;Serif"/>
          <w:b w:val="false"/>
          <w:i w:val="false"/>
          <w:caps w:val="false"/>
          <w:smallCaps w:val="false"/>
          <w:sz w:val="20"/>
        </w:rPr>
        <w:t>639.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 modified the terms of the CEO Award and issued </w:t>
      </w:r>
      <w:bookmarkStart w:id="1443" w:name="xdx_90D_eus-gaap--ShareBasedCompensation"/>
      <w:bookmarkEnd w:id="1443"/>
      <w:r>
        <w:rPr>
          <w:rFonts w:ascii="Times New Roman;Times;Serif" w:hAnsi="Times New Roman;Times;Serif"/>
          <w:b w:val="false"/>
          <w:i w:val="false"/>
          <w:caps w:val="false"/>
          <w:smallCaps w:val="false"/>
          <w:sz w:val="20"/>
        </w:rPr>
        <w:t xml:space="preserve">22,300 shares of Class B Common Stock to the Company’s CEO, of which, approximately </w:t>
      </w:r>
      <w:bookmarkStart w:id="1444" w:name="xdx_90C_eus-gaap--ShareBasedCompensation"/>
      <w:bookmarkEnd w:id="1444"/>
      <w:r>
        <w:rPr>
          <w:rFonts w:ascii="Times New Roman;Times;Serif" w:hAnsi="Times New Roman;Times;Serif"/>
          <w:b w:val="false"/>
          <w:i w:val="false"/>
          <w:caps w:val="false"/>
          <w:smallCaps w:val="false"/>
          <w:sz w:val="20"/>
        </w:rPr>
        <w:t xml:space="preserve">14,867 shares relate to a tranche of the CEO Award vesting upon achieving a market capitalization threshold, and the remaining </w:t>
      </w:r>
      <w:bookmarkStart w:id="1445" w:name="xdx_903_eus-gaap--ShareBasedCompensation"/>
      <w:bookmarkEnd w:id="1445"/>
      <w:r>
        <w:rPr>
          <w:rFonts w:ascii="Times New Roman;Times;Serif" w:hAnsi="Times New Roman;Times;Serif"/>
          <w:b w:val="false"/>
          <w:i w:val="false"/>
          <w:caps w:val="false"/>
          <w:smallCaps w:val="false"/>
          <w:sz w:val="20"/>
        </w:rPr>
        <w:t xml:space="preserve">7,433 shares relate to the CEO’s 2025 bonus payment. See </w:t>
      </w:r>
      <w:r>
        <w:rPr>
          <w:rFonts w:ascii="Times New Roman;Times;Serif" w:hAnsi="Times New Roman;Times;Serif"/>
          <w:b w:val="false"/>
          <w:i/>
          <w:caps w:val="false"/>
          <w:smallCaps w:val="false"/>
          <w:sz w:val="20"/>
        </w:rPr>
        <w:t>Note 15 –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24, 2026 and May 6, 2026, the Company issued Advance Notices to Yorkville pursuant to the SEPA in which the Company requested the purchase of approximately </w:t>
      </w:r>
      <w:bookmarkStart w:id="1446" w:name="xdx_90D_eus-gaap--StockIssuedDuringPerio"/>
      <w:bookmarkEnd w:id="1446"/>
      <w:r>
        <w:rPr>
          <w:rFonts w:ascii="Times New Roman;Times;Serif" w:hAnsi="Times New Roman;Times;Serif"/>
          <w:b w:val="false"/>
          <w:i w:val="false"/>
          <w:caps w:val="false"/>
          <w:smallCaps w:val="false"/>
          <w:sz w:val="20"/>
        </w:rPr>
        <w:t>155,000 shares of the Company’s Class A Common Stock at an aggregate gross value of approximately $</w:t>
      </w:r>
      <w:bookmarkStart w:id="1447" w:name="xdx_90B_eus-gaap--SaleOfStockConsiderati"/>
      <w:bookmarkEnd w:id="1447"/>
      <w:r>
        <w:rPr>
          <w:rFonts w:ascii="Times New Roman;Times;Serif" w:hAnsi="Times New Roman;Times;Serif"/>
          <w:b w:val="false"/>
          <w:i w:val="false"/>
          <w:caps w:val="false"/>
          <w:smallCaps w:val="false"/>
          <w:sz w:val="20"/>
        </w:rPr>
        <w:t>896, and net proceeds of approximately $</w:t>
      </w:r>
      <w:bookmarkStart w:id="1448" w:name="xdx_90D_eus-gaap--ProceedsFromIssuanceOr"/>
      <w:bookmarkEnd w:id="1448"/>
      <w:r>
        <w:rPr>
          <w:rFonts w:ascii="Times New Roman;Times;Serif" w:hAnsi="Times New Roman;Times;Serif"/>
          <w:b w:val="false"/>
          <w:i w:val="false"/>
          <w:caps w:val="false"/>
          <w:smallCaps w:val="false"/>
          <w:sz w:val="20"/>
        </w:rPr>
        <w:t>368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w:t>
      </w:r>
      <w:bookmarkStart w:id="1449" w:name="xdx_90E_eus-gaap--StockholdersEquityReve"/>
      <w:bookmarkEnd w:id="1449"/>
      <w:r>
        <w:rPr>
          <w:rFonts w:ascii="Times New Roman;Times;Serif" w:hAnsi="Times New Roman;Times;Serif"/>
          <w:b w:val="false"/>
          <w:i w:val="false"/>
          <w:caps w:val="false"/>
          <w:smallCaps w:val="false"/>
          <w:sz w:val="20"/>
        </w:rPr>
        <w:t xml:space="preserve">Pursuant to the Floor Price Amendment, the Floor Price applicable to the Conversion Price under the Note was reduced from $50.00 (as adjusted for the Reverse Stock Split) to $4.50 (on a post-Reverse Stock Split basis). For the avoidance of doubt, the Conversion Price remains equal to </w:t>
      </w:r>
      <w:bookmarkStart w:id="1450" w:name="xdx_908_eus-gaap--DebtConversionConverte"/>
      <w:bookmarkEnd w:id="1450"/>
      <w:r>
        <w:rPr>
          <w:rFonts w:ascii="Times New Roman;Times;Serif" w:hAnsi="Times New Roman;Times;Serif"/>
          <w:b w:val="false"/>
          <w:i w:val="false"/>
          <w:caps w:val="false"/>
          <w:smallCaps w:val="false"/>
          <w:sz w:val="20"/>
        </w:rPr>
        <w:t>95% of the price of the Class A Common Stock on the Trading Day immediately preceding delivery of any Conversion Notice, subject to the Floor Price as amended by the Floor Price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w:t>
      </w:r>
      <w:bookmarkStart w:id="1451" w:name="xdx_902_eus-gaap--DebtInstrumentFaceAmou"/>
      <w:bookmarkEnd w:id="1451"/>
      <w:r>
        <w:rPr>
          <w:rFonts w:ascii="Times New Roman;Times;Serif" w:hAnsi="Times New Roman;Times;Serif"/>
          <w:b w:val="false"/>
          <w:i w:val="false"/>
          <w:caps w:val="false"/>
          <w:smallCaps w:val="false"/>
          <w:sz w:val="20"/>
        </w:rPr>
        <w:t>206 and received net proceeds of approximately $</w:t>
      </w:r>
      <w:bookmarkStart w:id="1452" w:name="xdx_901_eus-gaap--ProceedsFromIssuanceOf"/>
      <w:bookmarkEnd w:id="1452"/>
      <w:r>
        <w:rPr>
          <w:rFonts w:ascii="Times New Roman;Times;Serif" w:hAnsi="Times New Roman;Times;Serif"/>
          <w:b w:val="false"/>
          <w:i w:val="false"/>
          <w:caps w:val="false"/>
          <w:smallCaps w:val="false"/>
          <w:sz w:val="20"/>
        </w:rPr>
        <w:t xml:space="preserve">150, after discount and transaction fees. The note has a maturity date of </w:t>
      </w:r>
      <w:bookmarkStart w:id="1453" w:name="xdx_900_eus-gaap--DebtInstrumentMaturity"/>
      <w:bookmarkEnd w:id="1453"/>
      <w:r>
        <w:rPr>
          <w:rFonts w:ascii="Times New Roman;Times;Serif" w:hAnsi="Times New Roman;Times;Serif"/>
          <w:b w:val="false"/>
          <w:i w:val="false"/>
          <w:caps w:val="false"/>
          <w:smallCaps w:val="false"/>
          <w:sz w:val="20"/>
        </w:rPr>
        <w:t xml:space="preserve">January 30, 2027, and bears interest at </w:t>
      </w:r>
      <w:bookmarkStart w:id="1454" w:name="xdx_90B_eus-gaap--DebtInstrumentInterest"/>
      <w:bookmarkEnd w:id="1454"/>
      <w:r>
        <w:rPr>
          <w:rFonts w:ascii="Times New Roman;Times;Serif" w:hAnsi="Times New Roman;Times;Serif"/>
          <w:b w:val="false"/>
          <w:i w:val="false"/>
          <w:caps w:val="false"/>
          <w:smallCaps w:val="false"/>
          <w:sz w:val="2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Venture Issuance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w:t>
      </w:r>
      <w:bookmarkStart w:id="1455" w:name="xdx_903_eus-gaap--DebtInstrumentFaceAmou"/>
      <w:bookmarkEnd w:id="1455"/>
      <w:r>
        <w:rPr>
          <w:rFonts w:ascii="Times New Roman;Times;Serif" w:hAnsi="Times New Roman;Times;Serif"/>
          <w:b w:val="false"/>
          <w:i w:val="false"/>
          <w:caps w:val="false"/>
          <w:smallCaps w:val="false"/>
          <w:sz w:val="20"/>
        </w:rPr>
        <w:t>487 and on April 8, 2026 received net proceeds of approximately $</w:t>
      </w:r>
      <w:bookmarkStart w:id="1456" w:name="xdx_90C_eus-gaap--ProceedsFromIssuanceOf"/>
      <w:bookmarkEnd w:id="1456"/>
      <w:r>
        <w:rPr>
          <w:rFonts w:ascii="Times New Roman;Times;Serif" w:hAnsi="Times New Roman;Times;Serif"/>
          <w:b w:val="false"/>
          <w:i w:val="false"/>
          <w:caps w:val="false"/>
          <w:smallCaps w:val="false"/>
          <w:sz w:val="20"/>
        </w:rPr>
        <w:t xml:space="preserve">333, after discount and transaction fees. The note has a maturity date of </w:t>
      </w:r>
      <w:bookmarkStart w:id="1457" w:name="xdx_904_eus-gaap--DebtInstrumentMaturity"/>
      <w:bookmarkEnd w:id="1457"/>
      <w:r>
        <w:rPr>
          <w:rFonts w:ascii="Times New Roman;Times;Serif" w:hAnsi="Times New Roman;Times;Serif"/>
          <w:b w:val="false"/>
          <w:i w:val="false"/>
          <w:caps w:val="false"/>
          <w:smallCaps w:val="false"/>
          <w:sz w:val="20"/>
        </w:rPr>
        <w:t xml:space="preserve">August 18, 2026, and bears interest at </w:t>
      </w:r>
      <w:bookmarkStart w:id="1458" w:name="xdx_904_eus-gaap--DebtInstrumentInterest"/>
      <w:bookmarkEnd w:id="1458"/>
      <w:r>
        <w:rPr>
          <w:rFonts w:ascii="Times New Roman;Times;Serif" w:hAnsi="Times New Roman;Times;Serif"/>
          <w:b w:val="false"/>
          <w:i w:val="false"/>
          <w:caps w:val="false"/>
          <w:smallCaps w:val="false"/>
          <w:sz w:val="20"/>
        </w:rPr>
        <w:t xml:space="preserve">198.5% per annum. The Company paid off this note on </w:t>
      </w:r>
      <w:bookmarkStart w:id="1459" w:name="xdx_901_ecustom--NotePayOffDate_dd_c2026"/>
      <w:bookmarkEnd w:id="1459"/>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TVT Capital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w:t>
      </w:r>
      <w:bookmarkStart w:id="1460" w:name="xdx_909_eus-gaap--DebtInstrumentFaceAmou"/>
      <w:bookmarkEnd w:id="1460"/>
      <w:r>
        <w:rPr>
          <w:rFonts w:ascii="Times New Roman;Times;Serif" w:hAnsi="Times New Roman;Times;Serif"/>
          <w:b w:val="false"/>
          <w:i w:val="false"/>
          <w:caps w:val="false"/>
          <w:smallCaps w:val="false"/>
          <w:sz w:val="20"/>
        </w:rPr>
        <w:t>834 and received net proceeds of approximately $</w:t>
      </w:r>
      <w:bookmarkStart w:id="1461" w:name="xdx_904_eus-gaap--ProceedsFromIssuanceOf"/>
      <w:bookmarkEnd w:id="1461"/>
      <w:r>
        <w:rPr>
          <w:rFonts w:ascii="Times New Roman;Times;Serif" w:hAnsi="Times New Roman;Times;Serif"/>
          <w:b w:val="false"/>
          <w:i w:val="false"/>
          <w:caps w:val="false"/>
          <w:smallCaps w:val="false"/>
          <w:sz w:val="20"/>
        </w:rPr>
        <w:t xml:space="preserve">579, after discount and transaction fees. The note has a maturity date of </w:t>
      </w:r>
      <w:bookmarkStart w:id="1462" w:name="xdx_904_eus-gaap--DebtInstrumentMaturity"/>
      <w:bookmarkEnd w:id="1462"/>
      <w:r>
        <w:rPr>
          <w:rFonts w:ascii="Times New Roman;Times;Serif" w:hAnsi="Times New Roman;Times;Serif"/>
          <w:b w:val="false"/>
          <w:i w:val="false"/>
          <w:caps w:val="false"/>
          <w:smallCaps w:val="false"/>
          <w:sz w:val="20"/>
        </w:rPr>
        <w:t xml:space="preserve">January 5, 2027, and bears interest at </w:t>
      </w:r>
      <w:bookmarkStart w:id="1463" w:name="xdx_908_eus-gaap--DebtInstrumentInterest"/>
      <w:bookmarkEnd w:id="1463"/>
      <w:r>
        <w:rPr>
          <w:rFonts w:ascii="Times New Roman;Times;Serif" w:hAnsi="Times New Roman;Times;Serif"/>
          <w:b w:val="false"/>
          <w:i w:val="false"/>
          <w:caps w:val="false"/>
          <w:smallCaps w:val="false"/>
          <w:sz w:val="20"/>
        </w:rPr>
        <w:t>106.71%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2, 2026 and May 12, 2026, the Buyer exercised its contractual conversion option multiple times under the February 3i Note and received an aggregate of approximately </w:t>
      </w:r>
      <w:bookmarkStart w:id="1464" w:name="xdx_90A_eus-gaap--DebtConversionConverte"/>
      <w:bookmarkEnd w:id="1464"/>
      <w:r>
        <w:rPr>
          <w:rFonts w:ascii="Times New Roman;Times;Serif" w:hAnsi="Times New Roman;Times;Serif"/>
          <w:b w:val="false"/>
          <w:i w:val="false"/>
          <w:caps w:val="false"/>
          <w:smallCaps w:val="false"/>
          <w:sz w:val="20"/>
        </w:rPr>
        <w:t>145 thousand shares of Class A Common Stock at conversion prices per share ranging from $</w:t>
      </w:r>
      <w:bookmarkStart w:id="1465" w:name="xdx_906_eus-gaap--DebtInstrumentConverti"/>
      <w:bookmarkEnd w:id="1465"/>
      <w:r>
        <w:rPr>
          <w:rFonts w:ascii="Times New Roman;Times;Serif" w:hAnsi="Times New Roman;Times;Serif"/>
          <w:b w:val="false"/>
          <w:i w:val="false"/>
          <w:caps w:val="false"/>
          <w:smallCaps w:val="false"/>
          <w:sz w:val="20"/>
        </w:rPr>
        <w:t>5.08 to $</w:t>
      </w:r>
      <w:bookmarkStart w:id="1466" w:name="xdx_907_eus-gaap--DebtInstrumentConverti"/>
      <w:bookmarkEnd w:id="1466"/>
      <w:r>
        <w:rPr>
          <w:rFonts w:ascii="Times New Roman;Times;Serif" w:hAnsi="Times New Roman;Times;Serif"/>
          <w:b w:val="false"/>
          <w:i w:val="false"/>
          <w:caps w:val="false"/>
          <w:smallCaps w:val="false"/>
          <w:sz w:val="20"/>
        </w:rPr>
        <w:t>15.39 in satisfaction of approximately $</w:t>
      </w:r>
      <w:bookmarkStart w:id="1467" w:name="xdx_90F_eus-gaap--DebtInstrumentCarrying"/>
      <w:bookmarkEnd w:id="1467"/>
      <w:r>
        <w:rPr>
          <w:rFonts w:ascii="Times New Roman;Times;Serif" w:hAnsi="Times New Roman;Times;Serif"/>
          <w:b w:val="false"/>
          <w:i w:val="false"/>
          <w:caps w:val="false"/>
          <w:smallCaps w:val="false"/>
          <w:sz w:val="20"/>
        </w:rPr>
        <w:t>1.2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May 5, 2026 and May 11, 2026, the Lender exercised its contractual conversion option multiple times under the November 1800 Diagonal Note and September 1800 Diagonal Note and received an aggregate of approximately </w:t>
      </w:r>
      <w:bookmarkStart w:id="1468" w:name="xdx_90C_eus-gaap--DebtConversionConverte"/>
      <w:bookmarkEnd w:id="1468"/>
      <w:r>
        <w:rPr>
          <w:rFonts w:ascii="Times New Roman;Times;Serif" w:hAnsi="Times New Roman;Times;Serif"/>
          <w:b w:val="false"/>
          <w:i w:val="false"/>
          <w:caps w:val="false"/>
          <w:smallCaps w:val="false"/>
          <w:sz w:val="20"/>
        </w:rPr>
        <w:t>36 thousand shares of Class A Common Stock at conversion prices ranging from $</w:t>
      </w:r>
      <w:bookmarkStart w:id="1469" w:name="xdx_905_eus-gaap--DebtInstrumentConverti"/>
      <w:bookmarkEnd w:id="1469"/>
      <w:r>
        <w:rPr>
          <w:rFonts w:ascii="Times New Roman;Times;Serif" w:hAnsi="Times New Roman;Times;Serif"/>
          <w:b w:val="false"/>
          <w:i w:val="false"/>
          <w:caps w:val="false"/>
          <w:smallCaps w:val="false"/>
          <w:sz w:val="20"/>
        </w:rPr>
        <w:t>3.303 to $</w:t>
      </w:r>
      <w:bookmarkStart w:id="1470" w:name="xdx_907_eus-gaap--DebtInstrumentConverti"/>
      <w:bookmarkEnd w:id="1470"/>
      <w:r>
        <w:rPr>
          <w:rFonts w:ascii="Times New Roman;Times;Serif" w:hAnsi="Times New Roman;Times;Serif"/>
          <w:b w:val="false"/>
          <w:i w:val="false"/>
          <w:caps w:val="false"/>
          <w:smallCaps w:val="false"/>
          <w:sz w:val="20"/>
        </w:rPr>
        <w:t>4.520 in satisfaction of approximately $</w:t>
      </w:r>
      <w:bookmarkStart w:id="1471" w:name="xdx_905_eus-gaap--DebtInstrumentCarrying"/>
      <w:bookmarkEnd w:id="1471"/>
      <w:r>
        <w:rPr>
          <w:rFonts w:ascii="Times New Roman;Times;Serif" w:hAnsi="Times New Roman;Times;Serif"/>
          <w:b w:val="false"/>
          <w:i w:val="false"/>
          <w:caps w:val="false"/>
          <w:smallCaps w:val="false"/>
          <w:sz w:val="20"/>
        </w:rPr>
        <w:t>136 thousand of the Company’s obligations under the respective Notes.</w:t>
      </w:r>
    </w:p>
    <w:p>
      <w:pPr>
        <w:pStyle w:val="TextBody"/>
        <w:bidi w:val="0"/>
        <w:spacing w:before="0" w:after="0"/>
        <w:ind w:left="0" w:right="0" w:hanging="0"/>
        <w:jc w:val="both"/>
        <w:rPr>
          <w:caps w:val="false"/>
          <w:smallCaps w:val="false"/>
        </w:rPr>
      </w:pPr>
      <w:bookmarkStart w:id="1472" w:name="xdx_81F_znjOGlXvc7U1"/>
      <w:bookmarkEnd w:id="1472"/>
      <w:r>
        <w:rPr>
          <w:caps w:val="false"/>
          <w:smallCaps w:val="false"/>
        </w:rPr>
        <w:t> </w:t>
      </w:r>
    </w:p>
    <w:p>
      <w:pPr>
        <w:pStyle w:val="TextBody"/>
        <w:bidi w:val="0"/>
        <w:spacing w:before="0" w:after="0"/>
        <w:ind w:left="0" w:right="0" w:hanging="0"/>
        <w:jc w:val="both"/>
        <w:rPr>
          <w:caps w:val="false"/>
          <w:smallCaps w:val="false"/>
        </w:rPr>
      </w:pPr>
      <w:bookmarkStart w:id="1473" w:name="xdx_049_zFkQy8oSudK6"/>
      <w:bookmarkEnd w:id="147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74" w:name="ta_001"/>
      <w:bookmarkEnd w:id="147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the Company effected a stock split as of May 08, 2026. We also have audited the adjustments necessary to update the December 31, 2024 financial statements to retrospectively apply the stock split,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Note 1 (stock split adjustment), as to which the date is June 4,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5" w:name="ta_002"/>
      <w:bookmarkEnd w:id="147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retrospective adjustments related to the 1-for-20 reverse stock split of Banzai International, Inc.’s Class A and Class B common stock, effective May 8,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as disclosed in Note 1 to the financial statements,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retrospective adjustments related to the 1-for-20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6" w:name="ta_003"/>
      <w:bookmarkEnd w:id="147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7" w:name="xdx_30C_111_zSfsE8Nia5fk"/>
      <w:bookmarkStart w:id="1478" w:name="xdx_30C_111_zSfsE8Nia5fk"/>
      <w:bookmarkEnd w:id="1478"/>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9" w:name="xdx_49B_20251231_z9looKPgDyF2"/>
            <w:bookmarkEnd w:id="1479"/>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0" w:name="xdx_49B_20241231_zvNfVIGZ0Rhg"/>
            <w:bookmarkEnd w:id="1480"/>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1481" w:name="xdx_409_eus-gaap--AssetsAbstract_iB_zLw8"/>
            <w:bookmarkEnd w:id="148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2" w:name="xdx_40C_eus-gaap--AssetsCurrentAbstract_"/>
            <w:bookmarkEnd w:id="148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3" w:name="xdx_409_eus-gaap--CashAndCashEquivalents"/>
            <w:bookmarkEnd w:id="1483"/>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bookmarkStart w:id="1484" w:name="xdx_40F_eus-gaap--AccountsReceivableNetC"/>
            <w:bookmarkEnd w:id="1484"/>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w:t>
            </w:r>
            <w:bookmarkStart w:id="1485" w:name="xdx_90B_eus-gaap--AllowanceForDoubtfulAc"/>
            <w:bookmarkEnd w:id="1485"/>
            <w:r>
              <w:rPr>
                <w:rFonts w:ascii="Times New Roman;Times;Serif" w:hAnsi="Times New Roman;Times;Serif"/>
              </w:rPr>
              <w:t>41,341 and $</w:t>
            </w:r>
            <w:bookmarkStart w:id="1486" w:name="xdx_903_eus-gaap--AllowanceForDoubtfulAc"/>
            <w:bookmarkEnd w:id="1486"/>
            <w:r>
              <w:rPr>
                <w:rFonts w:ascii="Times New Roman;Times;Serif" w:hAnsi="Times New Roman;Times;Serif"/>
              </w:rPr>
              <w:t>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bookmarkStart w:id="1487" w:name="xdx_40B_eus-gaap--PrepaidExpenseAndOther"/>
            <w:bookmarkEnd w:id="1487"/>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bookmarkStart w:id="1488" w:name="xdx_407_eus-gaap--AssetsCurrent_i02TI_mt"/>
            <w:bookmarkEnd w:id="148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9" w:name="xdx_407_eus-gaap--PropertyPlantAndEquipm"/>
            <w:bookmarkEnd w:id="1489"/>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bookmarkStart w:id="1490" w:name="xdx_400_eus-gaap--IntangibleAssetsNetExc"/>
            <w:bookmarkEnd w:id="1490"/>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bookmarkStart w:id="1491" w:name="xdx_40C_eus-gaap--Goodwill_i01I_maAzvJS_"/>
            <w:bookmarkEnd w:id="149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bookmarkStart w:id="1492" w:name="xdx_40A_eus-gaap--OperatingLeaseRightOfU"/>
            <w:bookmarkEnd w:id="149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bookmarkStart w:id="1493" w:name="xdx_401_eus-gaap--EmbeddedDerivativeFair"/>
            <w:bookmarkEnd w:id="149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bookmarkStart w:id="1494" w:name="xdx_407_ecustom--DeferredOfferingCostsNo"/>
            <w:bookmarkEnd w:id="149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95" w:name="xdx_40D_eus-gaap--OtherAssets_i01I_maAzv"/>
            <w:bookmarkEnd w:id="149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bookmarkStart w:id="1496" w:name="xdx_401_ecustom--Asset_i01TI_mtAzvJS_zjZ"/>
            <w:bookmarkEnd w:id="149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7" w:name="xdx_402_eus-gaap--LiabilitiesAndStockhol"/>
            <w:bookmarkEnd w:id="1497"/>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98" w:name="xdx_405_eus-gaap--LiabilitiesCurrentAbst"/>
            <w:bookmarkEnd w:id="149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9" w:name="xdx_40F_eus-gaap--AccountsPayableCurrent"/>
            <w:bookmarkEnd w:id="149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bookmarkStart w:id="1500" w:name="xdx_402_eus-gaap--AccountsPayableAndOthe"/>
            <w:bookmarkEnd w:id="150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bookmarkStart w:id="1501" w:name="xdx_40A_eus-gaap--ConvertibleDebtCurrent"/>
            <w:bookmarkEnd w:id="150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bookmarkStart w:id="1502" w:name="xdx_405_eus-gaap--ConvertibleDebtCurrent"/>
            <w:bookmarkEnd w:id="150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bookmarkStart w:id="1503" w:name="xdx_402_eus-gaap--ConvertibleDebtCurrent"/>
            <w:bookmarkEnd w:id="150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bookmarkStart w:id="1504" w:name="xdx_404_ecustom--ConvertibleNotesCarried"/>
            <w:bookmarkEnd w:id="150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05" w:name="xdx_403_ecustom--ConvertibleDebtCurrents"/>
            <w:bookmarkEnd w:id="150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06" w:name="xdx_40D_ecustom--NotesPayableCarriedAtFa"/>
            <w:bookmarkEnd w:id="150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bookmarkStart w:id="1507" w:name="xdx_40A_ecustom--WarrantLiabilityCurrent"/>
            <w:bookmarkEnd w:id="150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bookmarkStart w:id="1508" w:name="xdx_403_ecustom--WarrantLiabilityCurrent"/>
            <w:bookmarkEnd w:id="1508"/>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1509" w:name="xdx_402_ecustom--WarrantLiabilityCurrent"/>
            <w:bookmarkEnd w:id="150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1510" w:name="xdx_40E_ecustom--PrivatePlacementWarrant"/>
            <w:bookmarkEnd w:id="151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11" w:name="xdx_400_ecustom--EarnoutLiabilityCurrent"/>
            <w:bookmarkEnd w:id="151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bookmarkStart w:id="1512" w:name="xdx_406_ecustom--RelatedPartiesCurrent_i"/>
            <w:bookmarkEnd w:id="151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bookmarkStart w:id="1513" w:name="xdx_403_ecustom--DeferredRevenueCurrents"/>
            <w:bookmarkEnd w:id="1513"/>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bookmarkStart w:id="1514" w:name="xdx_407_eus-gaap--OperatingLeaseLiabilit"/>
            <w:bookmarkEnd w:id="1514"/>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bookmarkStart w:id="1515" w:name="xdx_409_ecustom--LiabilitiesCurrents_i02"/>
            <w:bookmarkEnd w:id="1515"/>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6" w:name="xdx_409_eus-gaap--DeferredRevenueNoncurr"/>
            <w:bookmarkEnd w:id="151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bookmarkStart w:id="1517" w:name="xdx_40B_eus-gaap--DeferredIncomeTaxLiabi"/>
            <w:bookmarkEnd w:id="151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bookmarkStart w:id="1518" w:name="xdx_408_eus-gaap--OperatingLeaseLiabilit"/>
            <w:bookmarkEnd w:id="1518"/>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bookmarkStart w:id="1519" w:name="xdx_40E_ecustom--Liabilitiestotal_i01TI_"/>
            <w:bookmarkEnd w:id="1519"/>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20" w:name="xdx_402_eus-gaap--CommitmentsAndContinge"/>
            <w:bookmarkEnd w:id="152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21" w:name="xdx_40D_eus-gaap--StockholdersEquityAbst"/>
            <w:bookmarkEnd w:id="152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2" w:name="xdx_408_ecustom--CommonStock_i02I_pid_ma"/>
            <w:bookmarkEnd w:id="1522"/>
          </w:p>
        </w:tc>
      </w:tr>
      <w:tr>
        <w:trPr/>
        <w:tc>
          <w:tcPr>
            <w:tcW w:w="7130" w:type="dxa"/>
            <w:tcBorders/>
            <w:shd w:fill="CCEEFF" w:val="clear"/>
            <w:vAlign w:val="center"/>
          </w:tcPr>
          <w:p>
            <w:pPr>
              <w:pStyle w:val="TableContents"/>
              <w:bidi w:val="0"/>
              <w:spacing w:before="0" w:after="283"/>
              <w:jc w:val="left"/>
              <w:rPr/>
            </w:pPr>
            <w:r>
              <w:rPr>
                <w:rFonts w:ascii="Times New Roman;Times;Serif" w:hAnsi="Times New Roman;Times;Serif"/>
              </w:rPr>
              <w:t>Common stock, $</w:t>
            </w:r>
            <w:bookmarkStart w:id="1523" w:name="xdx_903_eus-gaap--CommonStockParOrStated"/>
            <w:bookmarkStart w:id="1524" w:name="xdx_902_eus-gaap--CommonStockParOrStated"/>
            <w:bookmarkEnd w:id="1523"/>
            <w:bookmarkEnd w:id="1524"/>
            <w:r>
              <w:rPr>
                <w:rFonts w:ascii="Times New Roman;Times;Serif" w:hAnsi="Times New Roman;Times;Serif"/>
              </w:rPr>
              <w:t>0.0001</w:t>
            </w:r>
            <w:r>
              <w:rPr/>
              <w:t xml:space="preserve"> </w:t>
            </w:r>
            <w:r>
              <w:rPr>
                <w:rFonts w:ascii="Times New Roman;Times;Serif" w:hAnsi="Times New Roman;Times;Serif"/>
              </w:rPr>
              <w:t xml:space="preserve">par value, </w:t>
            </w:r>
            <w:bookmarkStart w:id="1525" w:name="xdx_901_eus-gaap--CommonStockSharesAutho"/>
            <w:bookmarkStart w:id="1526" w:name="xdx_907_eus-gaap--CommonStockSharesAutho"/>
            <w:bookmarkEnd w:id="1525"/>
            <w:bookmarkEnd w:id="1526"/>
            <w:r>
              <w:rPr>
                <w:rFonts w:ascii="Times New Roman;Times;Serif" w:hAnsi="Times New Roman;Times;Serif"/>
              </w:rPr>
              <w:t>275,000,000</w:t>
            </w:r>
            <w:r>
              <w:rPr/>
              <w:t xml:space="preserve"> </w:t>
            </w:r>
            <w:r>
              <w:rPr>
                <w:rFonts w:ascii="Times New Roman;Times;Serif" w:hAnsi="Times New Roman;Times;Serif"/>
              </w:rPr>
              <w:t>(</w:t>
            </w:r>
            <w:bookmarkStart w:id="1527" w:name="xdx_907_eus-gaap--CommonStockSharesAutho"/>
            <w:bookmarkStart w:id="1528" w:name="xdx_903_eus-gaap--CommonStockSharesAutho"/>
            <w:bookmarkEnd w:id="1527"/>
            <w:bookmarkEnd w:id="1528"/>
            <w:r>
              <w:rPr>
                <w:rFonts w:ascii="Times New Roman;Times;Serif" w:hAnsi="Times New Roman;Times;Serif"/>
              </w:rPr>
              <w:t>250,000,000</w:t>
            </w:r>
            <w:r>
              <w:rPr/>
              <w:t xml:space="preserve"> </w:t>
            </w:r>
            <w:r>
              <w:rPr>
                <w:rFonts w:ascii="Times New Roman;Times;Serif" w:hAnsi="Times New Roman;Times;Serif"/>
              </w:rPr>
              <w:t xml:space="preserve">Class A and </w:t>
            </w:r>
            <w:bookmarkStart w:id="1529" w:name="xdx_906_eus-gaap--CommonStockSharesAutho"/>
            <w:bookmarkStart w:id="1530" w:name="xdx_905_eus-gaap--CommonStockSharesAutho"/>
            <w:bookmarkEnd w:id="1529"/>
            <w:bookmarkEnd w:id="1530"/>
            <w:r>
              <w:rPr>
                <w:rFonts w:ascii="Times New Roman;Times;Serif" w:hAnsi="Times New Roman;Times;Serif"/>
              </w:rPr>
              <w:t>25,000,000</w:t>
            </w:r>
            <w:r>
              <w:rPr/>
              <w:t xml:space="preserve"> </w:t>
            </w:r>
            <w:r>
              <w:rPr>
                <w:rFonts w:ascii="Times New Roman;Times;Serif" w:hAnsi="Times New Roman;Times;Serif"/>
              </w:rPr>
              <w:t xml:space="preserve">Class B) shares authorized and </w:t>
            </w:r>
            <w:bookmarkStart w:id="1531" w:name="xdx_90E_eus-gaap--CommonStockSharesOutst"/>
            <w:bookmarkStart w:id="1532" w:name="xdx_90F_eus-gaap--CommonStockSharesIssue"/>
            <w:bookmarkEnd w:id="1531"/>
            <w:bookmarkEnd w:id="1532"/>
            <w:r>
              <w:rPr>
                <w:rFonts w:ascii="Times New Roman;Times;Serif" w:hAnsi="Times New Roman;Times;Serif"/>
              </w:rPr>
              <w:t>527,317</w:t>
            </w:r>
            <w:r>
              <w:rPr/>
              <w:t xml:space="preserve"> </w:t>
            </w:r>
            <w:r>
              <w:rPr>
                <w:rFonts w:ascii="Times New Roman;Times;Serif" w:hAnsi="Times New Roman;Times;Serif"/>
              </w:rPr>
              <w:t>(</w:t>
            </w:r>
            <w:bookmarkStart w:id="1533" w:name="xdx_900_eus-gaap--CommonStockSharesOutst"/>
            <w:bookmarkStart w:id="1534" w:name="xdx_904_eus-gaap--CommonStockSharesIssue"/>
            <w:bookmarkEnd w:id="1533"/>
            <w:bookmarkEnd w:id="1534"/>
            <w:r>
              <w:rPr>
                <w:rFonts w:ascii="Times New Roman;Times;Serif" w:hAnsi="Times New Roman;Times;Serif"/>
              </w:rPr>
              <w:t>515,761</w:t>
            </w:r>
            <w:r>
              <w:rPr/>
              <w:t xml:space="preserve"> </w:t>
            </w:r>
            <w:r>
              <w:rPr>
                <w:rFonts w:ascii="Times New Roman;Times;Serif" w:hAnsi="Times New Roman;Times;Serif"/>
              </w:rPr>
              <w:t xml:space="preserve">Class A and </w:t>
            </w:r>
            <w:bookmarkStart w:id="1535" w:name="xdx_90A_eus-gaap--CommonStockSharesOutst"/>
            <w:bookmarkStart w:id="1536" w:name="xdx_906_eus-gaap--CommonStockSharesIssue"/>
            <w:bookmarkEnd w:id="1535"/>
            <w:bookmarkEnd w:id="1536"/>
            <w:r>
              <w:rPr>
                <w:rFonts w:ascii="Times New Roman;Times;Serif" w:hAnsi="Times New Roman;Times;Serif"/>
              </w:rPr>
              <w:t>11,556</w:t>
            </w:r>
            <w:r>
              <w:rPr/>
              <w:t xml:space="preserve"> </w:t>
            </w:r>
            <w:r>
              <w:rPr>
                <w:rFonts w:ascii="Times New Roman;Times;Serif" w:hAnsi="Times New Roman;Times;Serif"/>
              </w:rPr>
              <w:t xml:space="preserve">Class B) and </w:t>
            </w:r>
            <w:bookmarkStart w:id="1537" w:name="xdx_907_eus-gaap--CommonStockSharesOutst"/>
            <w:bookmarkStart w:id="1538" w:name="xdx_906_eus-gaap--CommonStockSharesIssue"/>
            <w:bookmarkEnd w:id="1537"/>
            <w:bookmarkEnd w:id="1538"/>
            <w:r>
              <w:rPr>
                <w:rFonts w:ascii="Times New Roman;Times;Serif" w:hAnsi="Times New Roman;Times;Serif"/>
              </w:rPr>
              <w:t>40,976</w:t>
            </w:r>
            <w:r>
              <w:rPr/>
              <w:t xml:space="preserve"> </w:t>
            </w:r>
            <w:r>
              <w:rPr>
                <w:rFonts w:ascii="Times New Roman;Times;Serif" w:hAnsi="Times New Roman;Times;Serif"/>
              </w:rPr>
              <w:t>(</w:t>
            </w:r>
            <w:bookmarkStart w:id="1539" w:name="xdx_904_eus-gaap--CommonStockSharesOutst"/>
            <w:bookmarkStart w:id="1540" w:name="xdx_908_eus-gaap--CommonStockSharesIssue"/>
            <w:bookmarkEnd w:id="1539"/>
            <w:bookmarkEnd w:id="1540"/>
            <w:r>
              <w:rPr>
                <w:rFonts w:ascii="Times New Roman;Times;Serif" w:hAnsi="Times New Roman;Times;Serif"/>
              </w:rPr>
              <w:t>29,420</w:t>
            </w:r>
            <w:r>
              <w:rPr/>
              <w:t xml:space="preserve"> </w:t>
            </w:r>
            <w:r>
              <w:rPr>
                <w:rFonts w:ascii="Times New Roman;Times;Serif" w:hAnsi="Times New Roman;Times;Serif"/>
              </w:rPr>
              <w:t xml:space="preserve">Class A and </w:t>
            </w:r>
            <w:bookmarkStart w:id="1541" w:name="xdx_90E_eus-gaap--CommonStockSharesOutst"/>
            <w:bookmarkStart w:id="1542" w:name="xdx_90A_eus-gaap--CommonStockSharesIssue"/>
            <w:bookmarkEnd w:id="1541"/>
            <w:bookmarkEnd w:id="1542"/>
            <w:r>
              <w:rPr>
                <w:rFonts w:ascii="Times New Roman;Times;Serif" w:hAnsi="Times New Roman;Times;Serif"/>
              </w:rPr>
              <w:t>11,556</w:t>
            </w:r>
            <w:r>
              <w:rPr/>
              <w:t xml:space="preserve"> </w:t>
            </w:r>
            <w:r>
              <w:rPr>
                <w:rFonts w:ascii="Times New Roman;Times;Serif" w:hAnsi="Times New Roman;Times;Serif"/>
              </w:rPr>
              <w:t>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bookmarkStart w:id="1543" w:name="xdx_40C_ecustom--CommonStock_i02I_pid_zq"/>
            <w:bookmarkEnd w:id="1543"/>
          </w:p>
        </w:tc>
      </w:tr>
      <w:tr>
        <w:trPr/>
        <w:tc>
          <w:tcPr>
            <w:tcW w:w="71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544" w:name="xdx_40E_eus-gaap--PreferredStockValue_i0"/>
            <w:bookmarkEnd w:id="1544"/>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1545" w:name="xdx_905_eus-gaap--PreferredStockParOrSta"/>
            <w:bookmarkStart w:id="1546" w:name="xdx_90C_eus-gaap--PreferredStockParOrSta"/>
            <w:bookmarkEnd w:id="1545"/>
            <w:bookmarkEnd w:id="1546"/>
            <w:r>
              <w:rPr>
                <w:rFonts w:ascii="Times New Roman;Times;Serif" w:hAnsi="Times New Roman;Times;Serif"/>
              </w:rPr>
              <w:t xml:space="preserve">0.0001 par value, </w:t>
            </w:r>
            <w:bookmarkStart w:id="1547" w:name="xdx_907_eus-gaap--PreferredStockSharesAu"/>
            <w:bookmarkStart w:id="1548" w:name="xdx_903_eus-gaap--PreferredStockSharesAu"/>
            <w:bookmarkEnd w:id="1547"/>
            <w:bookmarkEnd w:id="1548"/>
            <w:r>
              <w:rPr>
                <w:rFonts w:ascii="Times New Roman;Times;Serif" w:hAnsi="Times New Roman;Times;Serif"/>
              </w:rPr>
              <w:t xml:space="preserve">75,000,000 shares authorized, </w:t>
            </w:r>
            <w:bookmarkStart w:id="1549" w:name="xdx_90B_eus-gaap--PreferredStockSharesOu"/>
            <w:bookmarkStart w:id="1550" w:name="xdx_903_eus-gaap--PreferredStockSharesIs"/>
            <w:bookmarkEnd w:id="1549"/>
            <w:bookmarkEnd w:id="1550"/>
            <w:r>
              <w:rPr>
                <w:rFonts w:ascii="Times New Roman;Times;Serif" w:hAnsi="Times New Roman;Times;Serif"/>
              </w:rPr>
              <w:t xml:space="preserve">1 and </w:t>
            </w:r>
            <w:bookmarkStart w:id="1551" w:name="xdx_904_eus-gaap--PreferredStockSharesOu"/>
            <w:bookmarkStart w:id="1552" w:name="xdx_908_eus-gaap--PreferredStockSharesIs"/>
            <w:bookmarkEnd w:id="1551"/>
            <w:bookmarkEnd w:id="1552"/>
            <w:r>
              <w:rPr>
                <w:rFonts w:ascii="Times New Roman;Times;Serif" w:hAnsi="Times New Roman;Times;Serif"/>
              </w:rPr>
              <w:t>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3" w:name="xdx_401_eus-gaap--PreferredStockValue_i0"/>
            <w:bookmarkEnd w:id="155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4" w:name="xdx_40F_eus-gaap--AdditionalPaidInCapita"/>
            <w:bookmarkEnd w:id="155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75,515,907</w:t>
            </w:r>
          </w:p>
        </w:tc>
        <w:tc>
          <w:tcPr>
            <w:tcW w:w="110" w:type="dxa"/>
            <w:tcBorders/>
            <w:shd w:fill="CCEEFF" w:val="clear"/>
            <w:vAlign w:val="center"/>
          </w:tcPr>
          <w:p>
            <w:pPr>
              <w:pStyle w:val="TableContents"/>
              <w:bidi w:val="0"/>
              <w:spacing w:before="0" w:after="283"/>
              <w:jc w:val="left"/>
              <w:rPr/>
            </w:pPr>
            <w:r>
              <w:rPr/>
              <w:t> </w:t>
            </w:r>
            <w:bookmarkStart w:id="1555" w:name="xdx_400_eus-gaap--AccumulatedOtherCompre"/>
            <w:bookmarkEnd w:id="155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6" w:name="xdx_401_ecustom--RetainedEarningsAccumul"/>
            <w:bookmarkEnd w:id="155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7" w:name="xdx_40E_ecustom--StockholdersEquitys_i02"/>
            <w:bookmarkEnd w:id="155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8" w:name="xdx_409_ecustom--LiabilitiesAndStockhold"/>
            <w:bookmarkEnd w:id="1558"/>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9" w:name="ta_004"/>
      <w:bookmarkEnd w:id="1559"/>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60" w:name="xdx_30D_113_zPSmG7Anom9a"/>
      <w:bookmarkStart w:id="1561" w:name="xdx_30D_113_zPSmG7Anom9a"/>
      <w:bookmarkEnd w:id="1561"/>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562" w:name="xdx_496_20250101__20251231_zsVLTiVBgTij"/>
            <w:bookmarkEnd w:id="1562"/>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bookmarkStart w:id="1563" w:name="xdx_499_20240101__20241231_zQHiAc70G1Wk"/>
            <w:bookmarkEnd w:id="1563"/>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bookmarkStart w:id="1564" w:name="xdx_402_eus-gaap--OperatingIncomeLossAbs"/>
            <w:bookmarkEnd w:id="1564"/>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65" w:name="xdx_40F_eus-gaap--RevenueFromContractWit"/>
            <w:bookmarkEnd w:id="156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bookmarkStart w:id="1566" w:name="xdx_409_eus-gaap--CostOfRevenue_i01_z63C"/>
            <w:bookmarkEnd w:id="1566"/>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bookmarkStart w:id="1567" w:name="xdx_400_eus-gaap--GrossProfit_i01T_zlWM3"/>
            <w:bookmarkEnd w:id="1567"/>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68" w:name="xdx_408_eus-gaap--GeneralAndAdministrati"/>
            <w:bookmarkEnd w:id="1568"/>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bookmarkStart w:id="1569" w:name="xdx_408_eus-gaap--DepreciationAndAmortiz"/>
            <w:bookmarkEnd w:id="1569"/>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bookmarkStart w:id="1570" w:name="xdx_401_eus-gaap--OperatingExpenses_i01T"/>
            <w:bookmarkEnd w:id="1570"/>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71" w:name="xdx_404_eus-gaap--OperatingIncomeLoss_iT"/>
            <w:bookmarkEnd w:id="157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72" w:name="xdx_406_eus-gaap--OperatingIncomeLossAbs"/>
            <w:bookmarkEnd w:id="1572"/>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73" w:name="xdx_405_ecustom--GemSettlementFeeExpense"/>
            <w:bookmarkEnd w:id="157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bookmarkStart w:id="1574" w:name="xdx_40F_eus-gaap--InvestmentIncomeIntere"/>
            <w:bookmarkEnd w:id="1574"/>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75" w:name="xdx_40F_eus-gaap--InterestExpenseNonoper"/>
            <w:bookmarkEnd w:id="157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76" w:name="xdx_408_eus-gaap--InterestExpenseNonoper"/>
            <w:bookmarkEnd w:id="1576"/>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bookmarkStart w:id="1577" w:name="xdx_40B_eus-gaap--InterestExpenseNonoper"/>
            <w:bookmarkEnd w:id="157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bookmarkStart w:id="1578" w:name="xdx_40C_ecustom--GainOnExtinguishmentOfL"/>
            <w:bookmarkEnd w:id="157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79" w:name="xdx_407_ecustom--GainLossOnReleaseOfReve"/>
            <w:bookmarkEnd w:id="157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80" w:name="xdx_40E_ecustom--LossOnDebtIssuance_i01_"/>
            <w:bookmarkEnd w:id="158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bookmarkStart w:id="1581" w:name="xdx_409_ecustom--LossOnPrivatePlacementI"/>
            <w:bookmarkEnd w:id="158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82" w:name="xdx_40E_ecustom--LossOnIssuanceOfTermNot"/>
            <w:bookmarkEnd w:id="158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83" w:name="xdx_400_ecustom--LossOnIssuanceOfConvert"/>
            <w:bookmarkEnd w:id="158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84" w:name="xdx_40A_ecustom--LossOnConversionAndSett"/>
            <w:bookmarkEnd w:id="158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bookmarkStart w:id="1585" w:name="xdx_40D_ecustom--LossOnConversionAndSett"/>
            <w:bookmarkEnd w:id="158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bookmarkStart w:id="1586" w:name="xdx_405_eus-gaap--GainsLossesOnExtinguis"/>
            <w:bookmarkEnd w:id="158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bookmarkStart w:id="1587" w:name="xdx_40D_eus-gaap--FairValueAdjustmentOfW"/>
            <w:bookmarkEnd w:id="158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88" w:name="xdx_402_eus-gaap--FairValueAdjustmentOfW"/>
            <w:bookmarkEnd w:id="158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89" w:name="xdx_406_eus-gaap--FairValueAdjustmentOfW"/>
            <w:bookmarkEnd w:id="1589"/>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pPr>
            <w:r>
              <w:rPr/>
              <w:t>)</w:t>
            </w:r>
            <w:bookmarkStart w:id="1590" w:name="xdx_405_eus-gaap--EmbeddedDerivativeGain"/>
            <w:bookmarkEnd w:id="1590"/>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1" w:name="xdx_40F_eus-gaap--EmbeddedDerivativeGain"/>
            <w:bookmarkEnd w:id="159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pPr>
            <w:r>
              <w:rPr/>
              <w:t>)</w:t>
            </w:r>
            <w:bookmarkStart w:id="1592" w:name="xdx_403_eus-gaap--FairValueOptionChanges"/>
            <w:bookmarkEnd w:id="159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bookmarkStart w:id="1593" w:name="xdx_403_ecustom--ChangeInFairValueOfTerm"/>
            <w:bookmarkEnd w:id="159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bookmarkStart w:id="1594" w:name="xdx_402_ecustom--ChangeInFairValueOfConv"/>
            <w:bookmarkEnd w:id="159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5" w:name="xdx_406_ecustom--YorkvillePrepaymentPrem"/>
            <w:bookmarkEnd w:id="159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bookmarkStart w:id="1596" w:name="xdx_40E_ecustom--LossOnYorkvilleSepaAdva"/>
            <w:bookmarkEnd w:id="159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97" w:name="xdx_40A_ecustom--VidelloEarnoutExpense_i"/>
            <w:bookmarkEnd w:id="159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98" w:name="xdx_40F_ecustom--FailedAcquisitionCosts_"/>
            <w:bookmarkEnd w:id="159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99" w:name="xdx_406_eus-gaap--GoodwillImpairmentLoss"/>
            <w:bookmarkEnd w:id="159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bookmarkStart w:id="1600" w:name="xdx_401_eus-gaap--OtherNonoperatingIncom"/>
            <w:bookmarkEnd w:id="160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bookmarkStart w:id="1601" w:name="xdx_403_eus-gaap--NonoperatingIncomeExpe"/>
            <w:bookmarkEnd w:id="160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bookmarkStart w:id="1602" w:name="xdx_403_eus-gaap--IncomeLossFromContinui"/>
            <w:bookmarkEnd w:id="160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03" w:name="xdx_40C_eus-gaap--IncomeTaxExpenseBenefi"/>
            <w:bookmarkEnd w:id="160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604" w:name="xdx_404_eus-gaap--NetIncomeLoss_iT_zrFMC"/>
            <w:bookmarkEnd w:id="160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05" w:name="xdx_405_ecustom--DeemedDividendWarrantMo"/>
            <w:bookmarkEnd w:id="160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06" w:name="xdx_407_ecustom--NetIncomeLossAvailableT"/>
            <w:bookmarkEnd w:id="160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607" w:name="xdx_406_eus-gaap--EarningsPerShareBasicA"/>
            <w:bookmarkEnd w:id="1607"/>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608" w:name="xdx_902_eus-gaap--EarningsPerShareDilute"/>
            <w:bookmarkStart w:id="1609" w:name="xdx_90A_eus-gaap--EarningsPerShareBasic_"/>
            <w:bookmarkEnd w:id="1608"/>
            <w:bookmarkEnd w:id="1609"/>
            <w:r>
              <w:rPr>
                <w:rFonts w:ascii="Times New Roman;Times;Serif" w:hAnsi="Times New Roman;Times;Serif"/>
              </w:rPr>
              <w:t>(118.91</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610" w:name="xdx_901_eus-gaap--EarningsPerShareDilute"/>
            <w:bookmarkStart w:id="1611" w:name="xdx_907_eus-gaap--EarningsPerShareBasic_"/>
            <w:bookmarkEnd w:id="1610"/>
            <w:bookmarkEnd w:id="1611"/>
            <w:r>
              <w:rPr>
                <w:rFonts w:ascii="Times New Roman;Times;Serif" w:hAnsi="Times New Roman;Times;Serif"/>
              </w:rPr>
              <w:t>(1,394.94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612" w:name="xdx_405_eus-gaap--WeightedAverageNumberO"/>
            <w:bookmarkEnd w:id="1612"/>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13" w:name="xdx_904_eus-gaap--WeightedAverageNumberO"/>
            <w:bookmarkStart w:id="1614" w:name="xdx_90D_eus-gaap--WeightedAverageNumberO"/>
            <w:bookmarkEnd w:id="1613"/>
            <w:bookmarkEnd w:id="1614"/>
            <w:r>
              <w:rPr>
                <w:rFonts w:ascii="Times New Roman;Times;Serif" w:hAnsi="Times New Roman;Times;Serif"/>
              </w:rPr>
              <w:t>189,150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15" w:name="xdx_90A_eus-gaap--WeightedAverageNumberO"/>
            <w:bookmarkStart w:id="1616" w:name="xdx_900_eus-gaap--WeightedAverageNumberO"/>
            <w:bookmarkEnd w:id="1615"/>
            <w:bookmarkEnd w:id="1616"/>
            <w:r>
              <w:rPr>
                <w:rFonts w:ascii="Times New Roman;Times;Serif" w:hAnsi="Times New Roman;Times;Serif"/>
              </w:rPr>
              <w:t>22,291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17" w:name="ta_005"/>
      <w:bookmarkEnd w:id="161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8" w:name="xdx_309_114_zmyrLPeltrI3"/>
      <w:bookmarkStart w:id="1619" w:name="xdx_309_114_zmyrLPeltrI3"/>
      <w:bookmarkEnd w:id="1619"/>
    </w:p>
    <w:tbl>
      <w:tblPr>
        <w:tblW w:w="132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60"/>
        <w:gridCol w:w="60"/>
        <w:gridCol w:w="301"/>
        <w:gridCol w:w="559"/>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20" w:name="xdx_4BC_us-gaap--StatementClassOfStockAx"/>
            <w:bookmarkEnd w:id="1620"/>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21" w:name="xdx_4BF_us-gaap--StatementEquityComponen"/>
            <w:bookmarkEnd w:id="1621"/>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2" w:name="xdx_4BD_us-gaap--StatementEquityComponen"/>
            <w:bookmarkEnd w:id="1622"/>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3" w:name="xdx_4BC_us-gaap--StatementEquityComponen"/>
            <w:bookmarkEnd w:id="1623"/>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4" w:name="xdx_4B4_us-gaap--StatementEquityComponen"/>
            <w:bookmarkEnd w:id="1624"/>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5" w:name="xdx_4BB_us-gaap--StatementEquityComponen"/>
            <w:bookmarkEnd w:id="1625"/>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26" w:name="xdx_4BB_zfq9lcrZlAEg"/>
            <w:bookmarkEnd w:id="1626"/>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627" w:name="xdx_432_c20250101__20251231_eus-gaap--Pa"/>
            <w:bookmarkEnd w:id="162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28" w:name="xdx_98F_eus-gaap--SharesOutstanding_iS_p"/>
            <w:bookmarkEnd w:id="1628"/>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9" w:name="xdx_98F_eus-gaap--SharesOutstanding_iS_p"/>
            <w:bookmarkEnd w:id="1629"/>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30" w:name="xdx_40F_ecustom--IssuanceOfSharesToYorkv"/>
            <w:bookmarkEnd w:id="163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1" w:name="xdx_98D_ecustom--IssuanceOfSharesToYorkv"/>
            <w:bookmarkEnd w:id="1631"/>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bookmarkStart w:id="1632" w:name="xdx_400_ecustom--SharesIssuedUnderATM_zY"/>
            <w:bookmarkEnd w:id="163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3" w:name="xdx_98B_ecustom--SharesIssuedUnderATMSha"/>
            <w:bookmarkEnd w:id="1633"/>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bookmarkStart w:id="1634" w:name="xdx_406_ecustom--SharesIssuedToFE_z29K61"/>
            <w:bookmarkEnd w:id="163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5" w:name="xdx_989_ecustom--SharesIssuedToFEShares_"/>
            <w:bookmarkEnd w:id="1635"/>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36" w:name="xdx_407_eus-gaap--StockIssuedDuringPerio"/>
            <w:bookmarkEnd w:id="163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7" w:name="xdx_983_eus-gaap--StockIssuedDuringPerio"/>
            <w:bookmarkEnd w:id="163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bookmarkStart w:id="1638" w:name="xdx_404_ecustom--SharesIssuedForPaymentT"/>
            <w:bookmarkEnd w:id="163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9" w:name="xdx_986_ecustom--SharesIssuedForPaymentT"/>
            <w:bookmarkEnd w:id="1639"/>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bookmarkStart w:id="1640" w:name="xdx_401_ecustom--SharesIssuedForPaymentT"/>
            <w:bookmarkEnd w:id="164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1" w:name="xdx_981_ecustom--SharesIssuedForPaymentT"/>
            <w:bookmarkEnd w:id="1641"/>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bookmarkStart w:id="1642" w:name="xdx_40D_ecustom--SharesIssuedForPaymentT"/>
            <w:bookmarkEnd w:id="164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3" w:name="xdx_982_ecustom--SharesIssuedForPaymentT"/>
            <w:bookmarkEnd w:id="1643"/>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bookmarkStart w:id="1644" w:name="xdx_400_ecustom--SharesIssuedForPaymentT"/>
            <w:bookmarkEnd w:id="164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5" w:name="xdx_989_ecustom--SharesIssuedForPaymentT"/>
            <w:bookmarkEnd w:id="164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bookmarkStart w:id="1646" w:name="xdx_400_ecustom--SharesIssuedForPaymentT"/>
            <w:bookmarkEnd w:id="164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7" w:name="xdx_989_ecustom--SharesIssuedForPaymentT"/>
            <w:bookmarkEnd w:id="164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bookmarkStart w:id="1648" w:name="xdx_40C_ecustom--SharesIssuedForVidelloA"/>
            <w:bookmarkEnd w:id="164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9" w:name="xdx_982_ecustom--SharesIssuedForVidelloA"/>
            <w:bookmarkEnd w:id="164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bookmarkStart w:id="1650" w:name="xdx_40C_eus-gaap--StockIssuedDuringPerio"/>
            <w:bookmarkEnd w:id="165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51" w:name="xdx_98C_eus-gaap--StockIssuedDuringPerio"/>
            <w:bookmarkEnd w:id="1651"/>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bookmarkStart w:id="1652" w:name="xdx_403_eus-gaap--StockIssuedDuringPerio"/>
            <w:bookmarkEnd w:id="165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3" w:name="xdx_98F_eus-gaap--StockIssuedDuringPerio"/>
            <w:bookmarkEnd w:id="1653"/>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bookmarkStart w:id="1654" w:name="xdx_40D_eus-gaap--StockIssuedDuringPerio"/>
            <w:bookmarkEnd w:id="165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55" w:name="xdx_98C_eus-gaap--StockIssuedDuringPerio"/>
            <w:bookmarkEnd w:id="1655"/>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bookmarkStart w:id="1656" w:name="xdx_40C_eus-gaap--StockIssuedDuringPerio"/>
            <w:bookmarkEnd w:id="165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7" w:name="xdx_98F_eus-gaap--StockIssuedDuringPerio"/>
            <w:bookmarkEnd w:id="165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bookmarkStart w:id="1658" w:name="xdx_40D_eus-gaap--AdjustmentsToAdditiona"/>
            <w:bookmarkEnd w:id="165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bookmarkStart w:id="1659" w:name="xdx_40F_eus-gaap--StockIssuedDuringPerio"/>
            <w:bookmarkEnd w:id="165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0" w:name="xdx_98D_eus-gaap--StockIssuedDuringPerio"/>
            <w:bookmarkEnd w:id="1660"/>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61" w:name="xdx_405_ecustom--StockIssuedDuringPeriod"/>
            <w:bookmarkEnd w:id="1661"/>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2" w:name="xdx_986_ecustom--StockIssuedDuringPeriod"/>
            <w:bookmarkEnd w:id="1662"/>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63" w:name="xdx_40B_eus-gaap--OtherComprehensiveInco"/>
            <w:bookmarkEnd w:id="166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4" w:name="xdx_404_eus-gaap--NetIncomeLoss_zYoMHKDJ"/>
            <w:bookmarkEnd w:id="166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5" w:name="xdx_434_c20250101__20251231_eus-gaap--Pa"/>
            <w:bookmarkEnd w:id="166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66" w:name="xdx_981_eus-gaap--SharesOutstanding_iE_p"/>
            <w:bookmarkEnd w:id="1666"/>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67" w:name="xdx_98C_eus-gaap--SharesOutstanding_iE_p"/>
            <w:bookmarkEnd w:id="1667"/>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68" w:name="xdx_98E_eus-gaap--SharesOutstanding_iE_p"/>
            <w:bookmarkEnd w:id="1668"/>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26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68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69" w:name="xdx_4B2_us-gaap--StatementEquityComponen"/>
            <w:bookmarkEnd w:id="1669"/>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70" w:name="xdx_4B8_us-gaap--StatementEquityComponen"/>
            <w:bookmarkEnd w:id="1670"/>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1" w:name="xdx_4B0_us-gaap--StatementEquityComponen"/>
            <w:bookmarkEnd w:id="1671"/>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2" w:name="xdx_4B6_us-gaap--StatementEquityComponen"/>
            <w:bookmarkEnd w:id="1672"/>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3" w:name="xdx_4B6_us-gaap--StatementEquityComponen"/>
            <w:bookmarkEnd w:id="1673"/>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4" w:name="xdx_4B6_zm2h8woWpkOk"/>
            <w:bookmarkEnd w:id="1674"/>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bookmarkStart w:id="1675" w:name="xdx_433_c20240101__20241231_eus-gaap--Pa"/>
            <w:bookmarkEnd w:id="167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76" w:name="xdx_987_eus-gaap--SharesOutstanding_iS_p"/>
            <w:bookmarkEnd w:id="1676"/>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1677" w:name="xdx_984_eus-gaap--SharesOutstanding_iS_p"/>
            <w:bookmarkEnd w:id="1677"/>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8" w:name="xdx_981_eus-gaap--SharesOutstanding_iS_p"/>
            <w:bookmarkEnd w:id="1678"/>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79" w:name="xdx_43A_c20240101__20241231_eus-gaap--Pa"/>
            <w:bookmarkEnd w:id="1679"/>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80" w:name="xdx_984_eus-gaap--SharesOutstanding_iS_p"/>
            <w:bookmarkEnd w:id="1680"/>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1681" w:name="xdx_980_eus-gaap--SharesOutstanding_iS_p"/>
            <w:bookmarkEnd w:id="1681"/>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2" w:name="xdx_984_eus-gaap--SharesOutstanding_iS_p"/>
            <w:bookmarkEnd w:id="1682"/>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83" w:name="xdx_402_ecustom--StockIssuedEffectOfReve"/>
            <w:bookmarkEnd w:id="168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4" w:name="xdx_98B_ecustom--StockIssuedSharesEffect"/>
            <w:bookmarkEnd w:id="168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85" w:name="xdx_400_eus-gaap--StockIssuedDuringPerio"/>
            <w:bookmarkEnd w:id="168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6" w:name="xdx_981_eus-gaap--StockIssuedDuringPerio"/>
            <w:bookmarkEnd w:id="168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bookmarkStart w:id="1687" w:name="xdx_407_ecustom--StockIssuedDuringPeriod"/>
            <w:bookmarkEnd w:id="168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8" w:name="xdx_988_ecustom--StockIssuedDuringPeriod"/>
            <w:bookmarkEnd w:id="1688"/>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bookmarkStart w:id="1689" w:name="xdx_40B_ecustom--StockIssuedDuringPeriod"/>
            <w:bookmarkEnd w:id="1689"/>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0" w:name="xdx_98E_ecustom--StockIssuedDuringPeriod"/>
            <w:bookmarkEnd w:id="1690"/>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bookmarkStart w:id="1691" w:name="xdx_400_ecustom--StockIssuedDuringPeriod"/>
            <w:bookmarkEnd w:id="169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2" w:name="xdx_981_ecustom--StockIssuedDuringPeriod"/>
            <w:bookmarkEnd w:id="169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bookmarkStart w:id="1693" w:name="xdx_408_ecustom--StockIssuedDuringPeriod"/>
            <w:bookmarkEnd w:id="169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4" w:name="xdx_985_ecustom--StockIssuedDuringPeriod"/>
            <w:bookmarkEnd w:id="169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bookmarkStart w:id="1695" w:name="xdx_40C_eus-gaap--StockIssuedDuringPerio"/>
            <w:bookmarkEnd w:id="169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6" w:name="xdx_987_eus-gaap--StockIssuedDuringPerio"/>
            <w:bookmarkEnd w:id="1696"/>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bookmarkStart w:id="1697" w:name="xdx_401_ecustom--StockIssuedDuringPeriod"/>
            <w:bookmarkEnd w:id="169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8" w:name="xdx_980_ecustom--StockIssuedDuringPeriod"/>
            <w:bookmarkEnd w:id="169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bookmarkStart w:id="1699" w:name="xdx_40B_ecustom--StockIssuedDuringPeriod"/>
            <w:bookmarkEnd w:id="169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0" w:name="xdx_98F_ecustom--StockIssuedDuringPeriod"/>
            <w:bookmarkEnd w:id="1700"/>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01" w:name="xdx_40E_ecustom--StockIssuedDuringPeriod"/>
            <w:bookmarkEnd w:id="170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2" w:name="xdx_980_ecustom--StockIssuedDuringPeriod"/>
            <w:bookmarkEnd w:id="170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bookmarkStart w:id="1703" w:name="xdx_40E_eus-gaap--AdjustmentsToAdditiona"/>
            <w:bookmarkEnd w:id="170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bookmarkStart w:id="1704" w:name="xdx_40C_ecustom--DeemedDividendWarrantMo"/>
            <w:bookmarkEnd w:id="1704"/>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5" w:name="xdx_407_ecustom--StockIssuedDuringPeriod"/>
            <w:bookmarkEnd w:id="170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6" w:name="xdx_988_ecustom--StockIssuedDuringPeriod"/>
            <w:bookmarkEnd w:id="1706"/>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bookmarkStart w:id="1707" w:name="xdx_402_ecustom--SharesWarrantsAndPreFun"/>
            <w:bookmarkEnd w:id="170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8" w:name="xdx_98A_ecustom--SharesWarrantsAndPreFun"/>
            <w:bookmarkEnd w:id="170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bookmarkStart w:id="1709" w:name="xdx_40A_ecustom--PremiumIssuedAsPartOfCp"/>
            <w:bookmarkEnd w:id="170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bookmarkStart w:id="1710" w:name="xdx_403_ecustom--IssuanceOfWarrantsToCpB"/>
            <w:bookmarkEnd w:id="1710"/>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bookmarkStart w:id="1711" w:name="xdx_40A_ecustom--SharesIssuedToInvestorR"/>
            <w:bookmarkEnd w:id="171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2" w:name="xdx_98B_ecustom--SharesIssuedInvestorRel"/>
            <w:bookmarkEnd w:id="171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bookmarkStart w:id="1713" w:name="xdx_40A_ecustom--SharesIssuedForPayments"/>
            <w:bookmarkEnd w:id="171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4" w:name="xdx_987_ecustom--SharesIssuedForPaymentO"/>
            <w:bookmarkEnd w:id="171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bookmarkStart w:id="1715" w:name="xdx_409_ecustom--SharesWarrantsAndPreFun"/>
            <w:bookmarkEnd w:id="171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6" w:name="xdx_98A_ecustom--SharesWarrantsAndPreFun"/>
            <w:bookmarkEnd w:id="1716"/>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bookmarkStart w:id="1717" w:name="xdx_40F_ecustom--DerecognitionOfCantorFe"/>
            <w:bookmarkEnd w:id="171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bookmarkStart w:id="1718" w:name="xdx_401_ecustom--SharesIssuedForAcquisit"/>
            <w:bookmarkEnd w:id="1718"/>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9" w:name="xdx_982_ecustom--SharesIssuedForAcquisit"/>
            <w:bookmarkEnd w:id="1719"/>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bookmarkStart w:id="1720" w:name="xdx_407_ecustom--PreFundedWarrantsIssued"/>
            <w:bookmarkEnd w:id="1720"/>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bookmarkStart w:id="1721" w:name="xdx_409_ecustom--SeriesFEPreferredStockI"/>
            <w:bookmarkEnd w:id="172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1722" w:name="xdx_98B_ecustom--SeriesFEPreferredStockI"/>
            <w:bookmarkEnd w:id="1722"/>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23" w:name="xdx_400_eus-gaap--StockIssuedDuringPerio"/>
            <w:bookmarkEnd w:id="172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4" w:name="xdx_98F_eus-gaap--StockIssuedDuringPerio"/>
            <w:bookmarkEnd w:id="172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25" w:name="xdx_40C_ecustom--SharesIssuedToHudsonFor"/>
            <w:bookmarkEnd w:id="172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6" w:name="xdx_98E_ecustom--SharesIssuedToHudsonFor"/>
            <w:bookmarkEnd w:id="1726"/>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bookmarkStart w:id="1727" w:name="xdx_40A_ecustom--ConversionOfConvertible"/>
            <w:bookmarkEnd w:id="172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8" w:name="xdx_981_ecustom--ConversionOfConvertible"/>
            <w:bookmarkEnd w:id="172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bookmarkStart w:id="1729" w:name="xdx_40D_ecustom--SharesIssuedToPerkinsCo"/>
            <w:bookmarkEnd w:id="172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0" w:name="xdx_987_ecustom--SharesIssuedToPerkinsCo"/>
            <w:bookmarkEnd w:id="1730"/>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bookmarkStart w:id="1731" w:name="xdx_40A_ecustom--IssuanceOfSharesToYorkv"/>
            <w:bookmarkEnd w:id="173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2" w:name="xdx_98C_ecustom--IssuanceOfSharesToYorkv"/>
            <w:bookmarkEnd w:id="173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bookmarkStart w:id="1733" w:name="xdx_409_ecustom--SharesIssuedForExercise"/>
            <w:bookmarkEnd w:id="173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4" w:name="xdx_986_ecustom--SharesIssuedForExercise"/>
            <w:bookmarkEnd w:id="173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bookmarkStart w:id="1735" w:name="xdx_405_ecustom--StockIssuedDuringPeriod"/>
            <w:bookmarkEnd w:id="173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6" w:name="xdx_984_ecustom--StockIssuedDuringPeriod"/>
            <w:bookmarkEnd w:id="173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bookmarkStart w:id="1737" w:name="xdx_40C_eus-gaap--AdjustmentsToAdditiona"/>
            <w:bookmarkEnd w:id="173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bookmarkStart w:id="1738" w:name="xdx_40E_eus-gaap--NetIncomeLoss_z6bftgLk"/>
            <w:bookmarkEnd w:id="1738"/>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39" w:name="xdx_438_c20240101__20241231_eus-gaap--Pa"/>
            <w:bookmarkEnd w:id="173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0" w:name="xdx_988_eus-gaap--SharesOutstanding_iE_p"/>
            <w:bookmarkEnd w:id="1740"/>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1" w:name="xdx_986_eus-gaap--SharesOutstanding_iE_p"/>
            <w:bookmarkEnd w:id="1741"/>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2" w:name="xdx_98E_eus-gaap--SharesOutstanding_iE_p"/>
            <w:bookmarkEnd w:id="1742"/>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743" w:name="xdx_431_c20240101__20241231_eus-gaap--Pa"/>
            <w:bookmarkEnd w:id="174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4" w:name="xdx_98A_eus-gaap--SharesOutstanding_iE_p"/>
            <w:bookmarkEnd w:id="1744"/>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5" w:name="xdx_988_eus-gaap--SharesOutstanding_iE_p"/>
            <w:bookmarkEnd w:id="1745"/>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6" w:name="xdx_981_eus-gaap--SharesOutstanding_iE_p"/>
            <w:bookmarkEnd w:id="1746"/>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47" w:name="ta_006"/>
      <w:bookmarkEnd w:id="174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48" w:name="xdx_30A_112_zkIT7PZoFi3h"/>
      <w:bookmarkStart w:id="1749" w:name="xdx_30A_112_zkIT7PZoFi3h"/>
      <w:bookmarkEnd w:id="1749"/>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0" w:name="xdx_49F_20250101__20251231_zZ24snb98Y3f"/>
            <w:bookmarkEnd w:id="1750"/>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751" w:name="xdx_494_20240101__20241231_zqAeVVIIJMQ4"/>
            <w:bookmarkEnd w:id="1751"/>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bookmarkStart w:id="1752" w:name="xdx_40D_eus-gaap--NetCashProvidedByUsedI"/>
            <w:bookmarkEnd w:id="175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53" w:name="xdx_40F_eus-gaap--NetIncomeLoss_i01_zXqH"/>
            <w:bookmarkEnd w:id="175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4" w:name="xdx_40D_eus-gaap--AdjustmentsToReconcile"/>
            <w:bookmarkEnd w:id="175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55" w:name="xdx_40E_eus-gaap--DepreciationAndAmortiz"/>
            <w:bookmarkEnd w:id="175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bookmarkStart w:id="1756" w:name="xdx_400_eus-gaap--ProvisionForDoubtfulAc"/>
            <w:bookmarkEnd w:id="175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bookmarkStart w:id="1757" w:name="xdx_401_ecustom--NonCashShareIssuanceFor"/>
            <w:bookmarkEnd w:id="175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bookmarkStart w:id="1758" w:name="xdx_408_ecustom--NonCashShareIssuanceFor"/>
            <w:bookmarkEnd w:id="175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59" w:name="xdx_40F_ecustom--NonCashSettlementOfGemC"/>
            <w:bookmarkEnd w:id="175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bookmarkStart w:id="1760" w:name="xdx_40F_ecustom--DiscountAtIssuanceOnNot"/>
            <w:bookmarkEnd w:id="176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bookmarkStart w:id="1761" w:name="xdx_40B_ecustom--NoncashShareIssuanceFor"/>
            <w:bookmarkEnd w:id="176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bookmarkStart w:id="1762" w:name="xdx_405_ecustom--NonCashInterestExpense_"/>
            <w:bookmarkEnd w:id="176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bookmarkStart w:id="1763" w:name="xdx_409_ecustom--NonCashInterestExpense_"/>
            <w:bookmarkEnd w:id="176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4" w:name="xdx_409_ecustom--NonCashInterestExpense_"/>
            <w:bookmarkEnd w:id="1764"/>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5" w:name="xdx_405_eus-gaap--AmortizationOfFinancin"/>
            <w:bookmarkEnd w:id="1765"/>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bookmarkStart w:id="1766" w:name="xdx_406_eus-gaap--OperatingLeaseRightOfU"/>
            <w:bookmarkEnd w:id="1766"/>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bookmarkStart w:id="1767" w:name="xdx_406_eus-gaap--ShareBasedCompensation"/>
            <w:bookmarkEnd w:id="1767"/>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bookmarkStart w:id="1768" w:name="xdx_40A_ecustom--GainLossOnReleaseOfReve"/>
            <w:bookmarkEnd w:id="1768"/>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69" w:name="xdx_400_ecustom--GainOnExtinguishmentOfL"/>
            <w:bookmarkEnd w:id="1769"/>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0" w:name="xdx_404_ecustom--GainOnReleaseOfDueToRel"/>
            <w:bookmarkEnd w:id="1770"/>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1" w:name="xdx_409_ecustom--GainLossOnConversionAnd"/>
            <w:bookmarkEnd w:id="1771"/>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bookmarkStart w:id="1772" w:name="xdx_40F_ecustom--GainLossOnConversionAnd"/>
            <w:bookmarkEnd w:id="1772"/>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bookmarkStart w:id="1773" w:name="xdx_40B_ecustom--GainsLossesOnDebtIssuan"/>
            <w:bookmarkEnd w:id="1773"/>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bookmarkStart w:id="1774" w:name="xdx_407_ecustom--GainLossOnIssuanceOfTer"/>
            <w:bookmarkEnd w:id="1774"/>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5" w:name="xdx_40A_ecustom--GainLossOnIssuanceOfCon"/>
            <w:bookmarkEnd w:id="1775"/>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76" w:name="xdx_40A_ecustom--GainLossOnPrivatePlacem"/>
            <w:bookmarkEnd w:id="1776"/>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7" w:name="xdx_403_eus-gaap--GainsLossesOnExtinguis"/>
            <w:bookmarkEnd w:id="1777"/>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bookmarkStart w:id="1778" w:name="xdx_409_eus-gaap--GoodwillImpairmentLoss"/>
            <w:bookmarkEnd w:id="1778"/>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bookmarkStart w:id="1779" w:name="xdx_404_eus-gaap--FairValueAdjustmentOfW"/>
            <w:bookmarkEnd w:id="1779"/>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0" w:name="xdx_40D_eus-gaap--FairValueAdjustmentOfW"/>
            <w:bookmarkEnd w:id="1780"/>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1" w:name="xdx_407_eus-gaap--FairValueAdjustmentOfW"/>
            <w:bookmarkEnd w:id="178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2" w:name="xdx_40D_eus-gaap--EmbeddedDerivativeGain"/>
            <w:bookmarkEnd w:id="178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3" w:name="xdx_404_eus-gaap--IncreaseDecreaseInFair"/>
            <w:bookmarkEnd w:id="178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bookmarkStart w:id="1784" w:name="xdx_40A_ecustom--ChangeInFairValueOfConv"/>
            <w:bookmarkEnd w:id="178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85" w:name="xdx_408_ecustom--ChangeInFairValueOfTerm"/>
            <w:bookmarkEnd w:id="178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bookmarkStart w:id="1786" w:name="xdx_403_ecustom--ChangeInFairValueOfConv"/>
            <w:bookmarkEnd w:id="178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7" w:name="xdx_40E_eus-gaap--IncreaseDecreaseInOper"/>
            <w:bookmarkEnd w:id="178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88" w:name="xdx_40F_eus-gaap--IncreaseDecreaseInAcco"/>
            <w:bookmarkEnd w:id="178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bookmarkStart w:id="1789" w:name="xdx_40F_eus-gaap--IncreaseDecreaseInPrep"/>
            <w:bookmarkEnd w:id="178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bookmarkStart w:id="1790" w:name="xdx_40A_eus-gaap--IncreaseDecreaseInOthe"/>
            <w:bookmarkEnd w:id="179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bookmarkStart w:id="1791" w:name="xdx_403_eus-gaap--IncreaseDecreaseInAcco"/>
            <w:bookmarkEnd w:id="179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bookmarkStart w:id="1792" w:name="xdx_406_eus-gaap--IncreaseDecreaseInDefe"/>
            <w:bookmarkEnd w:id="179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3" w:name="xdx_402_eus-gaap--IncreaseDecreaseInAccr"/>
            <w:bookmarkEnd w:id="179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bookmarkStart w:id="1794" w:name="xdx_403_eus-gaap--IncreaseDecreaseInOper"/>
            <w:bookmarkEnd w:id="179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5" w:name="xdx_40B_ecustom--IncreaseDecreaseInEarno"/>
            <w:bookmarkEnd w:id="179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6" w:name="xdx_403_ecustom--IncreaseDecreaseInDefer"/>
            <w:bookmarkEnd w:id="179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bookmarkStart w:id="1797" w:name="xdx_400_eus-gaap--IncreaseDecreaseInDefe"/>
            <w:bookmarkEnd w:id="179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bookmarkStart w:id="1798" w:name="xdx_402_eus-gaap--IncreaseDecreaseInOthe"/>
            <w:bookmarkEnd w:id="179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9" w:name="xdx_403_eus-gaap--NetCashProvidedByUsedI"/>
            <w:bookmarkEnd w:id="179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0" w:name="xdx_406_eus-gaap--NetCashProvidedByUsedI"/>
            <w:bookmarkEnd w:id="180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01" w:name="xdx_40C_eus-gaap--PaymentsToAcquireBusin"/>
            <w:bookmarkEnd w:id="180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02" w:name="xdx_401_eus-gaap--AssetAcquisitionConsid"/>
            <w:bookmarkEnd w:id="180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03" w:name="xdx_40F_eus-gaap--CashAcquiredFromAcquis"/>
            <w:bookmarkEnd w:id="180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bookmarkStart w:id="1804" w:name="xdx_40C_eus-gaap--NetCashProvidedByUsedI"/>
            <w:bookmarkEnd w:id="180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bookmarkStart w:id="1805" w:name="xdx_401_eus-gaap--NetCashProvidedByUsedI"/>
            <w:bookmarkEnd w:id="180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806" w:name="xdx_401_ecustom--PaymentOfGEMCommitmentF"/>
            <w:bookmarkEnd w:id="180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7" w:name="xdx_400_eus-gaap--PaymentsOfMergerRelate"/>
            <w:bookmarkEnd w:id="180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08" w:name="xdx_40C_eus-gaap--RepaymentsOfConvertibl"/>
            <w:bookmarkEnd w:id="180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9" w:name="xdx_40D_ecustom--ProceedsFromRelatedPart"/>
            <w:bookmarkEnd w:id="180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bookmarkStart w:id="1810" w:name="xdx_40D_eus-gaap--RepaymentsOfRelatedPar"/>
            <w:bookmarkEnd w:id="181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11" w:name="xdx_403_eus-gaap--ProceedsFromIssuanceOf"/>
            <w:bookmarkEnd w:id="181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bookmarkStart w:id="1812" w:name="xdx_40E_eus-gaap--RepaymentsOfNotesPayab"/>
            <w:bookmarkEnd w:id="181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13" w:name="xdx_40D_eus-gaap--PaymentsForRepurchaseO"/>
            <w:bookmarkEnd w:id="181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14" w:name="xdx_406_ecustom--PartialRepaymentOfConve"/>
            <w:bookmarkEnd w:id="181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15" w:name="xdx_40B_ecustom--ProceedsFromYorkvilleRe"/>
            <w:bookmarkEnd w:id="181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bookmarkStart w:id="1816" w:name="xdx_40C_eus-gaap--ProceedsFromConvertibl"/>
            <w:bookmarkEnd w:id="181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bookmarkStart w:id="1817" w:name="xdx_404_ecustom--ProceedsReceivedForExer"/>
            <w:bookmarkEnd w:id="181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bookmarkStart w:id="1818" w:name="xdx_401_ecustom--ProceedsFromIssuanceOfS"/>
            <w:bookmarkEnd w:id="181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bookmarkStart w:id="1819" w:name="xdx_406_ecustom--ProceedsFromSharesIssue"/>
            <w:bookmarkEnd w:id="181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820" w:name="xdx_40E_eus-gaap--PaymentsForRepurchaseO"/>
            <w:bookmarkEnd w:id="182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21" w:name="xdx_409_ecustom--ProceedsFromIssuanceOfC"/>
            <w:bookmarkEnd w:id="182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22" w:name="xdx_40D_ecustom--ProceedsFromIssuanceOfC"/>
            <w:bookmarkEnd w:id="182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bookmarkStart w:id="1823" w:name="xdx_403_eus-gaap--NetCashProvidedByUsedI"/>
            <w:bookmarkEnd w:id="182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bookmarkStart w:id="1824" w:name="xdx_408_eus-gaap--EffectOfExchangeRateOn"/>
            <w:bookmarkEnd w:id="182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25" w:name="xdx_40C_eus-gaap--CashCashEquivalentsRes"/>
            <w:bookmarkEnd w:id="182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26" w:name="xdx_40C_eus-gaap--CashCashEquivalentsRes"/>
            <w:bookmarkEnd w:id="182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bookmarkStart w:id="1827" w:name="xdx_407_eus-gaap--CashCashEquivalentsRes"/>
            <w:bookmarkEnd w:id="182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28" w:name="xdx_40C_eus-gaap--SupplementalCashFlowIn"/>
      <w:bookmarkStart w:id="1829" w:name="xdx_40C_eus-gaap--SupplementalCashFlowIn"/>
      <w:bookmarkEnd w:id="1829"/>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30" w:name="xdx_40B_eus-gaap--InterestPaidNet_i01_zF"/>
            <w:bookmarkEnd w:id="183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bookmarkStart w:id="1831" w:name="xdx_40F_eus-gaap--IncomeTaxesPaidNet_i01"/>
            <w:bookmarkEnd w:id="183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bookmarkStart w:id="1832" w:name="xdx_40C_eus-gaap--NoncashInvestingAndFin"/>
            <w:bookmarkEnd w:id="183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33" w:name="xdx_403_ecustom--SharesIssuedToRothForAd"/>
            <w:bookmarkEnd w:id="183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bookmarkStart w:id="1834" w:name="xdx_407_eus-gaap--StockIssued1_i01_zx8CX"/>
            <w:bookmarkEnd w:id="183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bookmarkStart w:id="1835" w:name="xdx_405_ecustom--SharesIssuedForMarketin"/>
            <w:bookmarkEnd w:id="183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bookmarkStart w:id="1836" w:name="xdx_401_ecustom--SharesIssuedForInvestor"/>
            <w:bookmarkEnd w:id="183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bookmarkStart w:id="1837" w:name="xdx_40F_ecustom--SharesIssuedToPaymentOf"/>
            <w:bookmarkEnd w:id="183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bookmarkStart w:id="1838" w:name="xdx_402_ecustom--SharesIssuedForExercise"/>
            <w:bookmarkEnd w:id="183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bookmarkStart w:id="1839" w:name="xdx_40B_ecustom--DeemedDividendSeriesAAn"/>
            <w:bookmarkEnd w:id="183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bookmarkStart w:id="1840" w:name="xdx_404_ecustom--SharesIssuedForDebtRest"/>
            <w:bookmarkEnd w:id="184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bookmarkStart w:id="1841" w:name="xdx_400_ecustom--WarrantsAndPrefundedWar"/>
            <w:bookmarkEnd w:id="184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bookmarkStart w:id="1842" w:name="xdx_408_ecustom--PremiumIssuedAsPartOfCp"/>
            <w:bookmarkEnd w:id="184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bookmarkStart w:id="1843" w:name="xdx_40C_ecustom--SharesIssuedToDebtRestr"/>
            <w:bookmarkEnd w:id="184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bookmarkStart w:id="1844" w:name="xdx_406_ecustom--WarrantsAndPreFundedWar"/>
            <w:bookmarkEnd w:id="184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bookmarkStart w:id="1845" w:name="xdx_402_ecustom--SharesIssuedForHudsonCo"/>
            <w:bookmarkEnd w:id="184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bookmarkStart w:id="1846" w:name="xdx_402_ecustom--SharesIssuedForPaymentT"/>
            <w:bookmarkEnd w:id="184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47" w:name="xdx_40C_ecustom--SharesIssuedToPerkinsCo"/>
            <w:bookmarkEnd w:id="184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bookmarkStart w:id="1848" w:name="xdx_40F_ecustom--SettlementOfGEMCommitme"/>
            <w:bookmarkEnd w:id="184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bookmarkStart w:id="1849" w:name="xdx_403_ecustom--SharesIssuedToYorkville"/>
            <w:bookmarkEnd w:id="184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bookmarkStart w:id="1850" w:name="xdx_403_ecustom--DerecognitionOfCantorFe"/>
            <w:bookmarkEnd w:id="185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bookmarkStart w:id="1851" w:name="xdx_407_ecustom--ConsiderationTransferre"/>
            <w:bookmarkEnd w:id="185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52" w:name="xdx_40F_ecustom--AssetsAcquiredInAcquisi"/>
            <w:bookmarkEnd w:id="185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53" w:name="xdx_40E_ecustom--LiabilitiesAssumedInAcq"/>
            <w:bookmarkEnd w:id="185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54" w:name="xdx_40E_ecustom--ConsiderationTransferre"/>
            <w:bookmarkEnd w:id="185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bookmarkStart w:id="1855" w:name="xdx_405_ecustom--AssetsAcquiredInAcquisi"/>
            <w:bookmarkEnd w:id="185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bookmarkStart w:id="1856" w:name="xdx_400_ecustom--LiabilitiesAssumedInAcq"/>
            <w:bookmarkEnd w:id="185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bookmarkStart w:id="1857" w:name="xdx_406_ecustom--RightofuseAssetsObtaine"/>
            <w:bookmarkEnd w:id="185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bookmarkStart w:id="1858" w:name="xdx_40C_ecustom--ConversionOfPrivatePlac"/>
            <w:bookmarkEnd w:id="185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59" w:name="xdx_40F_ecustom--SharesIssuedForPaymentO"/>
            <w:bookmarkEnd w:id="185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60" w:name="xdx_405_ecustom--SharesIssuedForDiagonal"/>
            <w:bookmarkEnd w:id="186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61" w:name="xdx_403_ecustom--SharesIssuedToYorkville"/>
            <w:bookmarkEnd w:id="186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bookmarkStart w:id="1862" w:name="xdx_40D_ecustom--IssuanceOfConvertiblePr"/>
            <w:bookmarkEnd w:id="186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bookmarkStart w:id="1863" w:name="xdx_40E_ecustom--BifurcatedEmbeddedDeriv"/>
            <w:bookmarkEnd w:id="186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bookmarkStart w:id="1864" w:name="xdx_407_ecustom--ConversionOfConvertible"/>
            <w:bookmarkEnd w:id="186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bookmarkStart w:id="1865" w:name="xdx_40F_ecustom--ConversionOfConvertible"/>
            <w:bookmarkEnd w:id="186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1866" w:name="xdx_043_c20250101__20251231_zudWBlLg9Efh"/>
      <w:bookmarkEnd w:id="186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67" w:name="ta_007"/>
      <w:bookmarkEnd w:id="186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8" w:name="xdx_80C_eus-gaap--OrganizationConsolidat"/>
      <w:bookmarkEnd w:id="1868"/>
      <w:r>
        <w:rPr>
          <w:rFonts w:ascii="Times New Roman;Times;Serif" w:hAnsi="Times New Roman;Times;Serif"/>
          <w:b/>
          <w:i w:val="false"/>
          <w:caps w:val="false"/>
          <w:smallCaps w:val="false"/>
          <w:sz w:val="20"/>
        </w:rPr>
        <w:t xml:space="preserve">1. </w:t>
      </w:r>
      <w:bookmarkStart w:id="1869" w:name="xdx_823_zjUJb0gHBQMf"/>
      <w:bookmarkEnd w:id="1869"/>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(the “Company” or “Banzai”) was incorporated in Delaware on </w:t>
      </w:r>
      <w:bookmarkStart w:id="1870" w:name="xdx_900_edei--EntityIncorporationDateOfI"/>
      <w:bookmarkEnd w:id="1870"/>
      <w:r>
        <w:rPr>
          <w:rFonts w:ascii="Times New Roman;Times;Serif" w:hAnsi="Times New Roman;Times;Serif"/>
          <w:b w:val="false"/>
          <w:i w:val="false"/>
          <w:caps w:val="false"/>
          <w:smallCaps w:val="false"/>
          <w:sz w:val="20"/>
        </w:rPr>
        <w:t>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71" w:name="xdx_902_eus-gaap--StockholdersEquityReve"/>
      <w:bookmarkEnd w:id="1871"/>
      <w:r>
        <w:rPr>
          <w:rFonts w:ascii="Times New Roman;Times;Serif" w:hAnsi="Times New Roman;Times;Serif"/>
          <w:b w:val="false"/>
          <w:i w:val="false"/>
          <w:caps w:val="false"/>
          <w:smallCaps w:val="false"/>
          <w:sz w:val="20"/>
        </w:rPr>
        <w:t xml:space="preserve">On August 29, 2024, the stockholders of the Company collectively approved an amendment to the Company’s Certificate of Incorporation, as amended and restated, to effect a reverse stock split (the “2024 Reverse Stock Split”) of the Company’s outstanding Class A Common Stock at a ratio of </w:t>
      </w:r>
      <w:bookmarkStart w:id="1872" w:name="xdx_90E_eus-gaap--StockholdersEquityNote"/>
      <w:bookmarkEnd w:id="1872"/>
      <w:r>
        <w:rPr>
          <w:rFonts w:ascii="Times New Roman;Times;Serif" w:hAnsi="Times New Roman;Times;Serif"/>
          <w:b w:val="false"/>
          <w:i w:val="false"/>
          <w:caps w:val="false"/>
          <w:smallCaps w:val="false"/>
          <w:sz w:val="20"/>
        </w:rPr>
        <w:t>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w:t>
      </w:r>
      <w:bookmarkStart w:id="1873" w:name="xdx_904_eus-gaap--StockholdersEquityReve"/>
      <w:bookmarkEnd w:id="1873"/>
      <w:r>
        <w:rPr>
          <w:rFonts w:ascii="Times New Roman;Times;Serif" w:hAnsi="Times New Roman;Times;Serif"/>
          <w:b w:val="false"/>
          <w:i w:val="false"/>
          <w:caps w:val="false"/>
          <w:smallCaps w:val="false"/>
          <w:sz w:val="20"/>
        </w:rPr>
        <w:t>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“2026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2025 Reverse Stock Split, and the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74" w:name="xdx_80B_eus-gaap--SubstantialDoubtAboutG"/>
      <w:bookmarkEnd w:id="1874"/>
      <w:r>
        <w:rPr>
          <w:rFonts w:ascii="Times New Roman;Times;Serif" w:hAnsi="Times New Roman;Times;Serif"/>
          <w:b/>
          <w:i w:val="false"/>
          <w:caps w:val="false"/>
          <w:smallCaps w:val="false"/>
          <w:sz w:val="20"/>
        </w:rPr>
        <w:t xml:space="preserve">2. </w:t>
      </w:r>
      <w:bookmarkStart w:id="1875" w:name="xdx_82A_z0RoOGRnxqpf"/>
      <w:bookmarkEnd w:id="1875"/>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w:t>
      </w:r>
      <w:bookmarkStart w:id="1876" w:name="xdx_90F_eus-gaap--Cash_iI_pn5n6_c2025123"/>
      <w:bookmarkEnd w:id="1876"/>
      <w:r>
        <w:rPr>
          <w:rFonts w:ascii="Times New Roman;Times;Serif" w:hAnsi="Times New Roman;Times;Serif"/>
          <w:b w:val="false"/>
          <w:i w:val="false"/>
          <w:caps w:val="false"/>
          <w:smallCaps w:val="false"/>
          <w:sz w:val="20"/>
        </w:rPr>
        <w:t>0.3 million. For the year ended December 31, 2025, the Company used approximately $</w:t>
      </w:r>
      <w:bookmarkStart w:id="1877" w:name="xdx_905_eus-gaap--NetCashProvidedByUsedI"/>
      <w:bookmarkEnd w:id="1877"/>
      <w:r>
        <w:rPr>
          <w:rFonts w:ascii="Times New Roman;Times;Serif" w:hAnsi="Times New Roman;Times;Serif"/>
          <w:b w:val="false"/>
          <w:i w:val="false"/>
          <w:caps w:val="false"/>
          <w:smallCaps w:val="false"/>
          <w:sz w:val="20"/>
        </w:rPr>
        <w:t>15.7 million in cash for operating activities. The Company has incurred recurring net losses from operations and negative cash flows from operating activities since inception. As of December 31, 2025, the Company had an accumulated deficit of approximately $</w:t>
      </w:r>
      <w:bookmarkStart w:id="1878" w:name="xdx_907_eus-gaap--RetainedEarningsAccumu"/>
      <w:bookmarkEnd w:id="1878"/>
      <w:r>
        <w:rPr>
          <w:rFonts w:ascii="Times New Roman;Times;Serif" w:hAnsi="Times New Roman;Times;Serif"/>
          <w:b w:val="false"/>
          <w:i w:val="false"/>
          <w:caps w:val="false"/>
          <w:smallCaps w:val="false"/>
          <w:sz w:val="20"/>
        </w:rPr>
        <w:t>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79" w:name="xdx_805_eus-gaap--SignificantAccountingP"/>
      <w:bookmarkEnd w:id="1879"/>
      <w:r>
        <w:rPr>
          <w:rFonts w:ascii="Times New Roman;Times;Serif" w:hAnsi="Times New Roman;Times;Serif"/>
          <w:b/>
          <w:i w:val="false"/>
          <w:caps w:val="false"/>
          <w:smallCaps w:val="false"/>
          <w:sz w:val="20"/>
        </w:rPr>
        <w:t xml:space="preserve">3. </w:t>
      </w:r>
      <w:bookmarkStart w:id="1880" w:name="xdx_82D_ze9OvTveNzl2"/>
      <w:bookmarkEnd w:id="188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1" w:name="xdx_86E_zvYedFoks0Ie"/>
      <w:bookmarkStart w:id="1882" w:name="xdx_84E_eus-gaap--BasisOfPresentationAnd"/>
      <w:bookmarkEnd w:id="1881"/>
      <w:bookmarkEnd w:id="1882"/>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3" w:name="xdx_861_zbfaaugOaa8g"/>
      <w:bookmarkStart w:id="1884" w:name="xdx_845_eus-gaap--ConsolidationPolicyTex"/>
      <w:bookmarkEnd w:id="1883"/>
      <w:bookmarkEnd w:id="1884"/>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5" w:name="xdx_867_zDAD4pwAOYMl"/>
      <w:bookmarkStart w:id="1886" w:name="xdx_841_eus-gaap--UseOfEstimates_zeH10MU"/>
      <w:bookmarkEnd w:id="1885"/>
      <w:bookmarkEnd w:id="1886"/>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87" w:name="xdx_861_zBxAaBcwn6W9"/>
      <w:bookmarkStart w:id="1888" w:name="xdx_845_ecustom--CertainRisksAndUncertai"/>
      <w:bookmarkEnd w:id="1887"/>
      <w:bookmarkEnd w:id="1888"/>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89" w:name="xdx_845_eus-gaap--CashAndCashEquivalents"/>
      <w:bookmarkEnd w:id="1889"/>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highly liquid investments purchased with original maturities of 90 days or less to be cash equivalents. As of December 31, 2025 and 2024, respectively, the Company does </w:t>
      </w:r>
      <w:bookmarkStart w:id="1890" w:name="xdx_90A_eus-gaap--CashEquivalentsAtCarry"/>
      <w:bookmarkStart w:id="1891" w:name="xdx_90A_eus-gaap--CashEquivalentsAtCarry"/>
      <w:bookmarkEnd w:id="1890"/>
      <w:bookmarkEnd w:id="1891"/>
      <w:r>
        <w:rPr>
          <w:rFonts w:ascii="Times New Roman;Times;Serif" w:hAnsi="Times New Roman;Times;Serif"/>
          <w:b w:val="false"/>
          <w:i w:val="false"/>
          <w:caps w:val="false"/>
          <w:smallCaps w:val="false"/>
          <w:sz w:val="20"/>
        </w:rPr>
        <w:t>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92" w:name="xdx_862_z9jqyE4SCi76"/>
      <w:bookmarkStart w:id="1893" w:name="xdx_842_eus-gaap--CreditLossFinancialIns"/>
      <w:bookmarkEnd w:id="1892"/>
      <w:bookmarkEnd w:id="1893"/>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4" w:name="xdx_89D_eus-gaap--AccountsReceivableAllo"/>
      <w:bookmarkEnd w:id="1894"/>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5" w:name="xdx_8B4_zIWkNmex8mw1"/>
      <w:bookmarkEnd w:id="1895"/>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bookmarkStart w:id="1896" w:name="xdx_4B1_zERsm9To02y8"/>
            <w:bookmarkEnd w:id="1896"/>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1897" w:name="xdx_432_c20250101__20251231_eus-gaap--Al"/>
            <w:bookmarkEnd w:id="1897"/>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bookmarkStart w:id="1898" w:name="xdx_408_eus-gaap--AllowanceForDoubtfulAc"/>
            <w:bookmarkEnd w:id="1898"/>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bookmarkStart w:id="1899" w:name="xdx_431_c20250101__20251231_eus-gaap--Al"/>
            <w:bookmarkEnd w:id="1899"/>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00" w:name="xdx_8A1_zBbu1pbOntG"/>
      <w:bookmarkEnd w:id="1900"/>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01" w:name="xdx_86C_zFQIOoqKJPak"/>
      <w:bookmarkStart w:id="1902" w:name="xdx_848_eus-gaap--CommissionsPolicy_z4iu"/>
      <w:bookmarkEnd w:id="1901"/>
      <w:bookmarkEnd w:id="1902"/>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03" w:name="xdx_86F_zHEJZSK9ABF8"/>
      <w:bookmarkStart w:id="1904" w:name="xdx_846_eus-gaap--PropertyPlantAndEquipm"/>
      <w:bookmarkEnd w:id="1903"/>
      <w:bookmarkEnd w:id="1904"/>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w:t>
      </w:r>
      <w:bookmarkStart w:id="1905" w:name="xdx_908_eus-gaap--PropertyPlantAndEquipm"/>
      <w:bookmarkEnd w:id="1905"/>
      <w:r>
        <w:rPr>
          <w:rFonts w:ascii="Times New Roman;Times;Serif" w:hAnsi="Times New Roman;Times;Serif"/>
          <w:b w:val="false"/>
          <w:i w:val="false"/>
          <w:caps w:val="false"/>
          <w:smallCaps w:val="false"/>
          <w:sz w:val="20"/>
        </w:rPr>
        <w:t>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06" w:name="xdx_863_zX7noka24Kog"/>
      <w:bookmarkStart w:id="1907" w:name="xdx_84A_eus-gaap--GoodwillAndIntangibleA"/>
      <w:bookmarkEnd w:id="1906"/>
      <w:bookmarkEnd w:id="1907"/>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At December 31, 2025, the Company has </w:t>
      </w:r>
      <w:bookmarkStart w:id="1908" w:name="xdx_908_eus-gaap--NumberOfOperatingSegme"/>
      <w:bookmarkEnd w:id="1908"/>
      <w:r>
        <w:rPr>
          <w:rFonts w:ascii="Times New Roman;Times;Serif" w:hAnsi="Times New Roman;Times;Serif"/>
          <w:b w:val="false"/>
          <w:i w:val="false"/>
          <w:caps w:val="false"/>
          <w:smallCaps w:val="false"/>
          <w:sz w:val="20"/>
        </w:rPr>
        <w:t>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xml:space="preserve">.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w:t>
      </w:r>
      <w:bookmarkStart w:id="1909" w:name="xdx_901_eus-gaap--ImpairmentOfIntangible"/>
      <w:bookmarkEnd w:id="1909"/>
      <w:r>
        <w:rPr>
          <w:rFonts w:ascii="Times New Roman;Times;Serif" w:hAnsi="Times New Roman;Times;Serif"/>
          <w:b w:val="false"/>
          <w:i w:val="false"/>
          <w:caps w:val="false"/>
          <w:smallCaps w:val="false"/>
          <w:sz w:val="20"/>
        </w:rPr>
        <w:t>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10" w:name="xdx_864_zUzz0JBs1RTi"/>
      <w:bookmarkStart w:id="1911" w:name="xdx_84A_ecustom--WarrantLiabilitiesPolic"/>
      <w:bookmarkEnd w:id="1910"/>
      <w:bookmarkEnd w:id="1911"/>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12" w:name="xdx_86C_z1MYqCe76Fed"/>
      <w:bookmarkStart w:id="1913" w:name="xdx_840_eus-gaap--ConcentrationRiskCredi"/>
      <w:bookmarkEnd w:id="1912"/>
      <w:bookmarkEnd w:id="1913"/>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one customer accounted for </w:t>
      </w:r>
      <w:bookmarkStart w:id="1914" w:name="xdx_908_eus-gaap--ConcentrationRiskPerce"/>
      <w:bookmarkEnd w:id="1914"/>
      <w:r>
        <w:rPr>
          <w:rFonts w:ascii="Times New Roman;Times;Serif" w:hAnsi="Times New Roman;Times;Serif"/>
          <w:b w:val="false"/>
          <w:i w:val="false"/>
          <w:caps w:val="false"/>
          <w:smallCaps w:val="false"/>
          <w:sz w:val="20"/>
        </w:rPr>
        <w:t xml:space="preserve">10% or more of accounts receivable with a concentration of </w:t>
      </w:r>
      <w:bookmarkStart w:id="1915" w:name="xdx_908_eus-gaap--ConcentrationRiskPerce"/>
      <w:bookmarkEnd w:id="1915"/>
      <w:r>
        <w:rPr>
          <w:rFonts w:ascii="Times New Roman;Times;Serif" w:hAnsi="Times New Roman;Times;Serif"/>
          <w:b w:val="false"/>
          <w:i w:val="false"/>
          <w:caps w:val="false"/>
          <w:smallCaps w:val="false"/>
          <w:sz w:val="20"/>
        </w:rPr>
        <w:t xml:space="preserve">13% of the total accounts receivable balance. At December 31, 2024, one customer accounted for </w:t>
      </w:r>
      <w:bookmarkStart w:id="1916" w:name="xdx_901_eus-gaap--ConcentrationRiskPerce"/>
      <w:bookmarkEnd w:id="1916"/>
      <w:r>
        <w:rPr>
          <w:rFonts w:ascii="Times New Roman;Times;Serif" w:hAnsi="Times New Roman;Times;Serif"/>
          <w:b w:val="false"/>
          <w:i w:val="false"/>
          <w:caps w:val="false"/>
          <w:smallCaps w:val="false"/>
          <w:sz w:val="20"/>
        </w:rPr>
        <w:t xml:space="preserve">10% or more of accounts receivable with a concentration of </w:t>
      </w:r>
      <w:bookmarkStart w:id="1917" w:name="xdx_901_eus-gaap--ConcentrationRiskPerce"/>
      <w:bookmarkEnd w:id="1917"/>
      <w:r>
        <w:rPr>
          <w:rFonts w:ascii="Times New Roman;Times;Serif" w:hAnsi="Times New Roman;Times;Serif"/>
          <w:b w:val="false"/>
          <w:i w:val="false"/>
          <w:caps w:val="false"/>
          <w:smallCaps w:val="false"/>
          <w:sz w:val="20"/>
        </w:rPr>
        <w:t xml:space="preserve">14% of the total accounts receivable balance. For the years ended December 31, 2025 and 2024, </w:t>
      </w:r>
      <w:bookmarkStart w:id="1918" w:name="xdx_908_eus-gaap--ConcentrationRiskPerce"/>
      <w:bookmarkEnd w:id="1918"/>
      <w:r>
        <w:rPr>
          <w:rFonts w:ascii="Times New Roman;Times;Serif" w:hAnsi="Times New Roman;Times;Serif"/>
          <w:b w:val="false"/>
          <w:i w:val="false"/>
          <w:caps w:val="false"/>
          <w:smallCaps w:val="false"/>
          <w:sz w:val="20"/>
        </w:rPr>
        <w:t xml:space="preserve">no customers accounted for </w:t>
      </w:r>
      <w:bookmarkStart w:id="1919" w:name="xdx_90E_eus-gaap--ConcentrationRiskPerce"/>
      <w:bookmarkEnd w:id="1919"/>
      <w:r>
        <w:rPr>
          <w:rFonts w:ascii="Times New Roman;Times;Serif" w:hAnsi="Times New Roman;Times;Serif"/>
          <w:b w:val="false"/>
          <w:i w:val="false"/>
          <w:caps w:val="false"/>
          <w:smallCaps w:val="false"/>
          <w:sz w:val="20"/>
        </w:rPr>
        <w:t>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and 2024, no suppliers and two suppliers accounted for </w:t>
      </w:r>
      <w:bookmarkStart w:id="1920" w:name="xdx_90D_eus-gaap--ConcentrationRiskPerce"/>
      <w:bookmarkStart w:id="1921" w:name="xdx_90B_eus-gaap--ConcentrationRiskPerce"/>
      <w:bookmarkEnd w:id="1920"/>
      <w:bookmarkEnd w:id="1921"/>
      <w:r>
        <w:rPr>
          <w:rFonts w:ascii="Times New Roman;Times;Serif" w:hAnsi="Times New Roman;Times;Serif"/>
          <w:b w:val="false"/>
          <w:i w:val="false"/>
          <w:caps w:val="false"/>
          <w:smallCaps w:val="false"/>
          <w:sz w:val="20"/>
        </w:rPr>
        <w:t>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22" w:name="xdx_86A_zcjImVSa5ljj"/>
      <w:bookmarkStart w:id="1923" w:name="xdx_84D_eus-gaap--EarningsPerSharePolicy"/>
      <w:bookmarkEnd w:id="1922"/>
      <w:bookmarkEnd w:id="1923"/>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24" w:name="xdx_894_eus-gaap--ScheduleOfEarningsPerS"/>
      <w:bookmarkEnd w:id="1924"/>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25" w:name="xdx_8B5_z1h4EfrbkMCf"/>
      <w:bookmarkEnd w:id="1925"/>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26" w:name="xdx_906_eus-gaap--NetIncomeLossAvailable"/>
            <w:bookmarkStart w:id="1927" w:name="xdx_90B_eus-gaap--NetIncomeLossAvailable"/>
            <w:bookmarkEnd w:id="1926"/>
            <w:bookmarkEnd w:id="1927"/>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28" w:name="xdx_900_eus-gaap--NetIncomeLossAvailable"/>
            <w:bookmarkStart w:id="1929" w:name="xdx_904_eus-gaap--NetIncomeLossAvailable"/>
            <w:bookmarkEnd w:id="1928"/>
            <w:bookmarkEnd w:id="1929"/>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bookmarkStart w:id="1930" w:name="xdx_908_eus-gaap--WeightedAverageNumberO"/>
            <w:bookmarkEnd w:id="1930"/>
            <w:r>
              <w:rPr>
                <w:rFonts w:ascii="Times New Roman;Times;Serif" w:hAnsi="Times New Roman;Times;Serif"/>
              </w:rPr>
              <w:t>189,150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bookmarkStart w:id="1931" w:name="xdx_908_eus-gaap--WeightedAverageNumberO"/>
            <w:bookmarkEnd w:id="1931"/>
            <w:r>
              <w:rPr>
                <w:rFonts w:ascii="Times New Roman;Times;Serif" w:hAnsi="Times New Roman;Times;Serif"/>
              </w:rPr>
              <w:t>22,291</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32" w:name="xdx_90A_eus-gaap--EarningsPerShareDilute"/>
            <w:bookmarkEnd w:id="1932"/>
            <w:r>
              <w:rPr>
                <w:rFonts w:ascii="Times New Roman;Times;Serif" w:hAnsi="Times New Roman;Times;Serif"/>
              </w:rPr>
              <w:t>(118.91</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33" w:name="xdx_903_eus-gaap--EarningsPerShareDilute"/>
            <w:bookmarkEnd w:id="1933"/>
            <w:r>
              <w:rPr>
                <w:rFonts w:ascii="Times New Roman;Times;Serif" w:hAnsi="Times New Roman;Times;Serif"/>
              </w:rPr>
              <w:t>(1,394.94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934" w:name="xdx_8A4_z5P6ATxOZUo4"/>
      <w:bookmarkEnd w:id="193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35" w:name="xdx_89F_eus-gaap--ScheduleOfAntidilutive"/>
      <w:bookmarkEnd w:id="1935"/>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36" w:name="xdx_8BD_zXeGoMGcX7Yc"/>
      <w:bookmarkEnd w:id="1936"/>
      <w:r>
        <w:rPr>
          <w:rFonts w:ascii="Times New Roman;Times;Serif" w:hAnsi="Times New Roman;Times;Serif"/>
          <w:b w:val="false"/>
          <w:i w:val="false"/>
          <w:caps w:val="false"/>
          <w:smallCaps w:val="false"/>
          <w:sz w:val="20"/>
        </w:rPr>
        <w:t>Schedule of Antidilutive Securities Excluded from Computation of Earnings Per Share</w:t>
      </w:r>
    </w:p>
    <w:tbl>
      <w:tblPr>
        <w:tblW w:w="5140" w:type="dxa"/>
        <w:jc w:val="left"/>
        <w:tblInd w:w="0" w:type="dxa"/>
        <w:tblLayout w:type="fixed"/>
        <w:tblCellMar>
          <w:top w:w="0" w:type="dxa"/>
          <w:left w:w="0" w:type="dxa"/>
          <w:bottom w:w="0" w:type="dxa"/>
          <w:right w:w="0" w:type="dxa"/>
        </w:tblCellMar>
      </w:tblPr>
      <w:tblGrid>
        <w:gridCol w:w="3005"/>
        <w:gridCol w:w="60"/>
        <w:gridCol w:w="75"/>
        <w:gridCol w:w="850"/>
        <w:gridCol w:w="75"/>
        <w:gridCol w:w="75"/>
        <w:gridCol w:w="75"/>
        <w:gridCol w:w="85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37" w:name="xdx_49D_20250101__20251231_zhsOOG42R1rk"/>
            <w:bookmarkEnd w:id="1937"/>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1938" w:name="xdx_49A_20240101__20241231_zKxJ4Jo19bfg"/>
            <w:bookmarkEnd w:id="1938"/>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1939" w:name="xdx_406_eus-gaap--AntidilutiveSecurities"/>
            <w:bookmarkEnd w:id="1939"/>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75" w:type="dxa"/>
            <w:tcBorders/>
            <w:shd w:fill="CCEEFF" w:val="clear"/>
            <w:vAlign w:val="center"/>
          </w:tcPr>
          <w:p>
            <w:pPr>
              <w:pStyle w:val="TableContents"/>
              <w:bidi w:val="0"/>
              <w:spacing w:before="0" w:after="283"/>
              <w:jc w:val="left"/>
              <w:rPr/>
            </w:pPr>
            <w:r>
              <w:rPr/>
              <w:t> </w:t>
            </w:r>
            <w:bookmarkStart w:id="1940" w:name="xdx_40E_eus-gaap--AntidilutiveSecurities"/>
            <w:bookmarkEnd w:id="1940"/>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75" w:type="dxa"/>
            <w:tcBorders/>
            <w:shd w:fill="FFFFFF" w:val="clear"/>
            <w:vAlign w:val="center"/>
          </w:tcPr>
          <w:p>
            <w:pPr>
              <w:pStyle w:val="TableContents"/>
              <w:bidi w:val="0"/>
              <w:spacing w:before="0" w:after="283"/>
              <w:jc w:val="left"/>
              <w:rPr/>
            </w:pPr>
            <w:r>
              <w:rPr/>
              <w:t> </w:t>
            </w:r>
            <w:bookmarkStart w:id="1941" w:name="xdx_408_eus-gaap--AntidilutiveSecurities"/>
            <w:bookmarkEnd w:id="1941"/>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bookmarkStart w:id="1942" w:name="xdx_402_eus-gaap--AntidilutiveSecurities"/>
            <w:bookmarkEnd w:id="194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bookmarkStart w:id="1943" w:name="xdx_404_eus-gaap--AntidilutiveSecurities"/>
            <w:bookmarkEnd w:id="194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22,639</w:t>
            </w:r>
          </w:p>
        </w:tc>
        <w:tc>
          <w:tcPr>
            <w:tcW w:w="75" w:type="dxa"/>
            <w:tcBorders/>
            <w:shd w:fill="CCEEFF" w:val="clear"/>
            <w:vAlign w:val="center"/>
          </w:tcPr>
          <w:p>
            <w:pPr>
              <w:pStyle w:val="TableContents"/>
              <w:bidi w:val="0"/>
              <w:spacing w:before="0" w:after="283"/>
              <w:jc w:val="left"/>
              <w:rPr/>
            </w:pPr>
            <w:r>
              <w:rPr/>
              <w:t> </w:t>
            </w:r>
            <w:bookmarkStart w:id="1944" w:name="xdx_40D_eus-gaap--AntidilutiveSecurities"/>
            <w:bookmarkEnd w:id="1944"/>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75" w:type="dxa"/>
            <w:tcBorders/>
            <w:shd w:fill="FFFFFF" w:val="clear"/>
            <w:vAlign w:val="center"/>
          </w:tcPr>
          <w:p>
            <w:pPr>
              <w:pStyle w:val="TableContents"/>
              <w:bidi w:val="0"/>
              <w:spacing w:before="0" w:after="283"/>
              <w:jc w:val="left"/>
              <w:rPr/>
            </w:pPr>
            <w:r>
              <w:rPr/>
              <w:t> </w:t>
            </w:r>
            <w:bookmarkStart w:id="1945" w:name="xdx_404_eus-gaap--AntidilutiveSecurities"/>
            <w:bookmarkEnd w:id="1945"/>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46" w:name="xdx_401_eus-gaap--AntidilutiveSecurities"/>
            <w:bookmarkEnd w:id="1946"/>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bookmarkStart w:id="1947" w:name="xdx_407_eus-gaap--AntidilutiveSecurities"/>
            <w:bookmarkEnd w:id="1947"/>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48" w:name="xdx_8A4_zNEqdh1wd6uj"/>
      <w:bookmarkEnd w:id="1948"/>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49" w:name="xdx_860_zGjiHWvjvgKe"/>
      <w:bookmarkStart w:id="1950" w:name="xdx_849_eus-gaap--CostOfSalesPolicyTextB"/>
      <w:bookmarkEnd w:id="1949"/>
      <w:bookmarkEnd w:id="1950"/>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51" w:name="xdx_866_zzlFvSywwCM4"/>
      <w:bookmarkStart w:id="1952" w:name="xdx_84C_eus-gaap--AdvertisingCostsPolicy"/>
      <w:bookmarkEnd w:id="1951"/>
      <w:bookmarkEnd w:id="1952"/>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w:t>
      </w:r>
      <w:bookmarkStart w:id="1953" w:name="xdx_90A_eus-gaap--AdvertisingExpense_c20"/>
      <w:bookmarkEnd w:id="1953"/>
      <w:r>
        <w:rPr>
          <w:rFonts w:ascii="Times New Roman;Times;Serif" w:hAnsi="Times New Roman;Times;Serif"/>
          <w:b w:val="false"/>
          <w:i w:val="false"/>
          <w:caps w:val="false"/>
          <w:smallCaps w:val="false"/>
          <w:sz w:val="20"/>
        </w:rPr>
        <w:t>659,877 and $</w:t>
      </w:r>
      <w:bookmarkStart w:id="1954" w:name="xdx_904_eus-gaap--AdvertisingExpense_c20"/>
      <w:bookmarkEnd w:id="1954"/>
      <w:r>
        <w:rPr>
          <w:rFonts w:ascii="Times New Roman;Times;Serif" w:hAnsi="Times New Roman;Times;Serif"/>
          <w:b w:val="false"/>
          <w:i w:val="false"/>
          <w:caps w:val="false"/>
          <w:smallCaps w:val="false"/>
          <w:sz w:val="20"/>
        </w:rPr>
        <w:t>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55" w:name="xdx_862_z2me0RnjVOcc"/>
      <w:bookmarkStart w:id="1956" w:name="xdx_84E_eus-gaap--ShareBasedCompensation"/>
      <w:bookmarkEnd w:id="1955"/>
      <w:bookmarkEnd w:id="1956"/>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57" w:name="xdx_86B_zBPclDN1TfTb"/>
      <w:bookmarkStart w:id="1958" w:name="xdx_841_eus-gaap--IncomeTaxPolicyTextBlo"/>
      <w:bookmarkEnd w:id="1957"/>
      <w:bookmarkEnd w:id="1958"/>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59" w:name="xdx_863_zle2RaHbbpo8"/>
      <w:bookmarkStart w:id="1960" w:name="xdx_845_eus-gaap--DerivativesPolicyTextB"/>
      <w:bookmarkEnd w:id="1959"/>
      <w:bookmarkEnd w:id="1960"/>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61" w:name="xdx_860_zJjANErxP6Jk"/>
      <w:bookmarkStart w:id="1962" w:name="xdx_845_eus-gaap--FairValueOfFinancialIn"/>
      <w:bookmarkEnd w:id="1961"/>
      <w:bookmarkEnd w:id="1962"/>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63" w:name="xdx_869_zUnHaLihvExc"/>
      <w:bookmarkStart w:id="1964" w:name="xdx_848_ecustom--FairValueOptionElection"/>
      <w:bookmarkEnd w:id="1963"/>
      <w:bookmarkEnd w:id="1964"/>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65" w:name="xdx_86C_z36l3DgNWdsd"/>
      <w:bookmarkStart w:id="1966" w:name="xdx_849_eus-gaap--LesseeLeasesPolicyText"/>
      <w:bookmarkEnd w:id="1965"/>
      <w:bookmarkEnd w:id="1966"/>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67" w:name="xdx_864_zCz41HIdvYI8"/>
      <w:bookmarkStart w:id="1968" w:name="xdx_846_eus-gaap--NewAccountingPronounce"/>
      <w:bookmarkEnd w:id="1967"/>
      <w:bookmarkEnd w:id="1968"/>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bookmarkStart w:id="1969" w:name="xdx_85F_z2xK4fwrVJVg"/>
      <w:bookmarkEnd w:id="1969"/>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70" w:name="xdx_80B_eus-gaap--BusinessCombinationDis"/>
      <w:bookmarkEnd w:id="1970"/>
      <w:r>
        <w:rPr>
          <w:rFonts w:ascii="Times New Roman;Times;Serif" w:hAnsi="Times New Roman;Times;Serif"/>
          <w:b/>
          <w:i w:val="false"/>
          <w:caps w:val="false"/>
          <w:smallCaps w:val="false"/>
          <w:sz w:val="20"/>
        </w:rPr>
        <w:t xml:space="preserve">4. </w:t>
      </w:r>
      <w:bookmarkStart w:id="1971" w:name="xdx_825_znHVsj91ErOd"/>
      <w:bookmarkEnd w:id="1971"/>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w:t>
      </w:r>
      <w:bookmarkStart w:id="1972" w:name="xdx_906_eus-gaap--PaymentsToAcquireBusin"/>
      <w:bookmarkEnd w:id="1972"/>
      <w:r>
        <w:rPr>
          <w:rFonts w:ascii="Times New Roman;Times;Serif" w:hAnsi="Times New Roman;Times;Serif"/>
          <w:b w:val="false"/>
          <w:i w:val="false"/>
          <w:caps w:val="false"/>
          <w:smallCaps w:val="false"/>
          <w:sz w:val="20"/>
        </w:rPr>
        <w:t>2,745,031 in cash (the “Vidello Cash Consideration”), whereby $</w:t>
      </w:r>
      <w:bookmarkStart w:id="1973" w:name="xdx_901_ecustom--BusinessAcquisitionAmou"/>
      <w:bookmarkEnd w:id="1973"/>
      <w:r>
        <w:rPr>
          <w:rFonts w:ascii="Times New Roman;Times;Serif" w:hAnsi="Times New Roman;Times;Serif"/>
          <w:b w:val="false"/>
          <w:i w:val="false"/>
          <w:caps w:val="false"/>
          <w:smallCaps w:val="false"/>
          <w:sz w:val="20"/>
        </w:rPr>
        <w:t xml:space="preserve">2,500,000 are withheld for indemnification expenses and other holdback provisions in accordance with the Vidello Merger Agreement, and issued </w:t>
      </w:r>
      <w:bookmarkStart w:id="1974" w:name="xdx_902_eus-gaap--BusinessAcquisitionEqu"/>
      <w:bookmarkEnd w:id="1974"/>
      <w:r>
        <w:rPr>
          <w:rFonts w:ascii="Times New Roman;Times;Serif" w:hAnsi="Times New Roman;Times;Serif"/>
          <w:b w:val="false"/>
          <w:i w:val="false"/>
          <w:caps w:val="false"/>
          <w:smallCaps w:val="false"/>
          <w:sz w:val="20"/>
        </w:rPr>
        <w:t>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w:t>
      </w:r>
      <w:bookmarkStart w:id="1975" w:name="xdx_90A_ecustom--BusinessAcquisitionAmou"/>
      <w:bookmarkEnd w:id="1975"/>
      <w:r>
        <w:rPr>
          <w:rFonts w:ascii="Times New Roman;Times;Serif" w:hAnsi="Times New Roman;Times;Serif"/>
          <w:b w:val="false"/>
          <w:i w:val="false"/>
          <w:caps w:val="false"/>
          <w:smallCaps w:val="false"/>
          <w:sz w:val="20"/>
        </w:rPr>
        <w:t>1,000,000 as security for the obligations of Company Shareholders for a period of twelve months (the “Indemnification Holdback Amount”), (2) the withholding of $</w:t>
      </w:r>
      <w:bookmarkStart w:id="1976" w:name="xdx_901_ecustom--BusinessAcquisitionAmou"/>
      <w:bookmarkEnd w:id="1976"/>
      <w:r>
        <w:rPr>
          <w:rFonts w:ascii="Times New Roman;Times;Serif" w:hAnsi="Times New Roman;Times;Serif"/>
          <w:b w:val="false"/>
          <w:i w:val="false"/>
          <w:caps w:val="false"/>
          <w:smallCaps w:val="false"/>
          <w:sz w:val="20"/>
        </w:rPr>
        <w:t>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w:t>
      </w:r>
      <w:bookmarkStart w:id="1977" w:name="xdx_90B_ecustom--BusinessAcquisitionAmou"/>
      <w:bookmarkEnd w:id="1977"/>
      <w:r>
        <w:rPr>
          <w:rFonts w:ascii="Times New Roman;Times;Serif" w:hAnsi="Times New Roman;Times;Serif"/>
          <w:b w:val="false"/>
          <w:i w:val="false"/>
          <w:caps w:val="false"/>
          <w:smallCaps w:val="false"/>
          <w:sz w:val="20"/>
        </w:rPr>
        <w:t xml:space="preserve">1,000,000 subject to certain revenue related conditions being met during the </w:t>
      </w:r>
      <w:bookmarkStart w:id="1978" w:name="xdx_90A_ecustom--BusinessAcquisitionReve"/>
      <w:bookmarkEnd w:id="1978"/>
      <w:r>
        <w:rPr>
          <w:rFonts w:ascii="Times New Roman;Times;Serif" w:hAnsi="Times New Roman;Times;Serif"/>
          <w:b w:val="false"/>
          <w:i w:val="false"/>
          <w:caps w:val="false"/>
          <w:smallCaps w:val="false"/>
          <w:sz w:val="20"/>
        </w:rPr>
        <w:t>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w:t>
      </w:r>
      <w:bookmarkStart w:id="1979" w:name="xdx_902_eus-gaap--BusinessCombinationSep"/>
      <w:bookmarkEnd w:id="1979"/>
      <w:r>
        <w:rPr>
          <w:rFonts w:ascii="Times New Roman;Times;Serif" w:hAnsi="Times New Roman;Times;Serif"/>
          <w:b w:val="false"/>
          <w:i w:val="false"/>
          <w:caps w:val="false"/>
          <w:smallCaps w:val="false"/>
          <w:sz w:val="20"/>
        </w:rPr>
        <w:t>485,720 of expense after foreign currency translation in the consolidated statements of operations related to the Transition Holdback Amount in the line Vidello earnout expense. As of December 31, 2025, the Company had paid the contractual amount of $</w:t>
      </w:r>
      <w:bookmarkStart w:id="1980" w:name="xdx_902_eus-gaap--PaymentForContingentCo"/>
      <w:bookmarkEnd w:id="1980"/>
      <w:r>
        <w:rPr>
          <w:rFonts w:ascii="Times New Roman;Times;Serif" w:hAnsi="Times New Roman;Times;Serif"/>
          <w:b w:val="false"/>
          <w:i w:val="false"/>
          <w:caps w:val="false"/>
          <w:smallCaps w:val="false"/>
          <w:sz w:val="20"/>
        </w:rPr>
        <w:t>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w:t>
      </w:r>
      <w:bookmarkStart w:id="1981" w:name="xdx_90E_ecustom--BusinessCombinationHold"/>
      <w:bookmarkEnd w:id="1981"/>
      <w:r>
        <w:rPr>
          <w:rFonts w:ascii="Times New Roman;Times;Serif" w:hAnsi="Times New Roman;Times;Serif"/>
          <w:b w:val="false"/>
          <w:i w:val="false"/>
          <w:caps w:val="false"/>
          <w:smallCaps w:val="false"/>
          <w:sz w:val="20"/>
        </w:rPr>
        <w:t>180 day measurement period for the Revenue Holdback had lapsed and the revenue conditions as defined in the Vidello Merger Agreement had not been met. As such the Company recognized a gain on the extinguishment of Vidello revenue holdback of $</w:t>
      </w:r>
      <w:bookmarkStart w:id="1982" w:name="xdx_90E_eus-gaap--BusinessCombinationCon"/>
      <w:bookmarkEnd w:id="1982"/>
      <w:r>
        <w:rPr>
          <w:rFonts w:ascii="Times New Roman;Times;Serif" w:hAnsi="Times New Roman;Times;Serif"/>
          <w:b w:val="false"/>
          <w:i w:val="false"/>
          <w:caps w:val="false"/>
          <w:smallCaps w:val="false"/>
          <w:sz w:val="20"/>
        </w:rPr>
        <w:t>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w:t>
      </w:r>
      <w:bookmarkStart w:id="1983" w:name="xdx_90B_ecustom--BusinessAcquisitionLock"/>
      <w:bookmarkEnd w:id="1983"/>
      <w:r>
        <w:rPr>
          <w:rFonts w:ascii="Times New Roman;Times;Serif" w:hAnsi="Times New Roman;Times;Serif"/>
          <w:b w:val="false"/>
          <w:i w:val="false"/>
          <w:caps w:val="false"/>
          <w:smallCaps w:val="false"/>
          <w:sz w:val="20"/>
        </w:rPr>
        <w:t>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w:t>
      </w:r>
      <w:bookmarkStart w:id="1984" w:name="xdx_909_eus-gaap--BusinessAcquisitionCos"/>
      <w:bookmarkEnd w:id="1984"/>
      <w:r>
        <w:rPr>
          <w:rFonts w:ascii="Times New Roman;Times;Serif" w:hAnsi="Times New Roman;Times;Serif"/>
          <w:b w:val="false"/>
          <w:i w:val="false"/>
          <w:caps w:val="false"/>
          <w:smallCaps w:val="false"/>
          <w:sz w:val="20"/>
        </w:rPr>
        <w:t>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w:t>
      </w:r>
      <w:bookmarkStart w:id="1985" w:name="xdx_909_eus-gaap--BusinessCombinationCon"/>
      <w:bookmarkEnd w:id="1985"/>
      <w:r>
        <w:rPr>
          <w:rFonts w:ascii="Times New Roman;Times;Serif" w:hAnsi="Times New Roman;Times;Serif"/>
          <w:b w:val="false"/>
          <w:i w:val="false"/>
          <w:caps w:val="false"/>
          <w:smallCaps w:val="false"/>
          <w:sz w:val="20"/>
        </w:rPr>
        <w:t>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86" w:name="xdx_8B5_zExFxU5TCHR3"/>
      <w:bookmarkStart w:id="1987" w:name="xdx_897_eus-gaap--ScheduleOfBusinessAcqu"/>
      <w:bookmarkEnd w:id="1986"/>
      <w:bookmarkEnd w:id="1987"/>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8" w:name="xdx_98F_ecustom--BusinessCombinationCash"/>
            <w:bookmarkEnd w:id="198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89" w:name="xdx_984_eus-gaap--BusinessCombinationCon"/>
            <w:bookmarkEnd w:id="198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90" w:name="xdx_986_ecustom--BusinessCombinationFair"/>
            <w:bookmarkEnd w:id="199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1" w:name="xdx_98A_eus-gaap--BusinessCombinationCon"/>
            <w:bookmarkEnd w:id="199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92" w:name="xdx_8AE_zMbHGTceSOVe"/>
      <w:bookmarkEnd w:id="19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93" w:name="xdx_894_eus-gaap--ScheduleOfRecognizedId"/>
      <w:bookmarkEnd w:id="1993"/>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bookmarkStart w:id="1994" w:name="xdx_8B3_z5pn2dcb7ft4"/>
      <w:bookmarkEnd w:id="1994"/>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95" w:name="xdx_98E_eus-gaap--BusinessCombinationRec"/>
            <w:bookmarkEnd w:id="199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96" w:name="xdx_987_eus-gaap--BusinessCombinationRec"/>
            <w:bookmarkEnd w:id="199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97" w:name="xdx_989_eus-gaap--BusinessCombinationRec"/>
            <w:bookmarkEnd w:id="199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98" w:name="xdx_983_eus-gaap--BusinessCombinationRec"/>
            <w:bookmarkEnd w:id="199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99" w:name="xdx_98A_eus-gaap--BusinessCombinationRec"/>
            <w:bookmarkEnd w:id="199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0" w:name="xdx_98D_eus-gaap--BusinessCombinationRec"/>
            <w:bookmarkEnd w:id="200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01" w:name="xdx_98E_eus-gaap--BusinessCombinationRec"/>
            <w:bookmarkEnd w:id="200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02" w:name="xdx_98A_ecustom--BusinessCombinationReco"/>
            <w:bookmarkEnd w:id="200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03" w:name="xdx_98C_eus-gaap--BusinessCombinationRec"/>
            <w:bookmarkEnd w:id="200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04" w:name="xdx_982_eus-gaap--BusinessCombinationRec"/>
            <w:bookmarkEnd w:id="200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05" w:name="xdx_988_ecustom--BusinessCombinationReco"/>
            <w:bookmarkEnd w:id="200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6" w:name="xdx_98C_eus-gaap--BusinessCombinationRec"/>
            <w:bookmarkEnd w:id="200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07" w:name="xdx_982_eus-gaap--BusinessCombinationRec"/>
            <w:bookmarkEnd w:id="2007"/>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08" w:name="xdx_985_eus-gaap--Goodwill_iI_c20250131_"/>
            <w:bookmarkEnd w:id="200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9" w:name="xdx_981_eus-gaap--BusinessCombinationRec"/>
            <w:bookmarkEnd w:id="200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10" w:name="xdx_8A3_z8nzh1CY0tE9"/>
      <w:bookmarkEnd w:id="20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11" w:name="xdx_89C_eus-gaap--ScheduleOfFiniteLivedI"/>
      <w:bookmarkEnd w:id="2011"/>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bookmarkStart w:id="2012" w:name="xdx_8BC_z8gz87uoxfNg"/>
      <w:bookmarkEnd w:id="2012"/>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bookmarkStart w:id="2013" w:name="xdx_90C_eus-gaap--AcquiredFiniteLivedInt"/>
            <w:bookmarkEnd w:id="2013"/>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bookmarkStart w:id="2014" w:name="xdx_90F_eus-gaap--AcquiredFiniteLivedInt"/>
            <w:bookmarkEnd w:id="2014"/>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bookmarkStart w:id="2015" w:name="xdx_905_eus-gaap--AcquiredFiniteLivedInt"/>
            <w:bookmarkEnd w:id="2015"/>
            <w:r>
              <w:rPr>
                <w:rFonts w:ascii="Times New Roman;Times;Serif" w:hAnsi="Times New Roman;Times;Serif"/>
              </w:rPr>
              <w:t xml:space="preserve">7 - </w:t>
            </w:r>
            <w:bookmarkStart w:id="2016" w:name="xdx_90D_eus-gaap--AcquiredFiniteLivedInt"/>
            <w:bookmarkEnd w:id="2016"/>
            <w:r>
              <w:rPr>
                <w:rFonts w:ascii="Times New Roman;Times;Serif" w:hAnsi="Times New Roman;Times;Serif"/>
              </w:rPr>
              <w:t>8 years</w:t>
            </w:r>
          </w:p>
        </w:tc>
      </w:tr>
    </w:tbl>
    <w:p>
      <w:pPr>
        <w:pStyle w:val="TextBody"/>
        <w:bidi w:val="0"/>
        <w:spacing w:before="0" w:after="0"/>
        <w:ind w:left="0" w:right="0" w:hanging="0"/>
        <w:jc w:val="left"/>
        <w:rPr>
          <w:caps w:val="false"/>
          <w:smallCaps w:val="false"/>
        </w:rPr>
      </w:pPr>
      <w:bookmarkStart w:id="2017" w:name="xdx_8A6_zepXHhs3L4X2"/>
      <w:bookmarkEnd w:id="20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w:t>
      </w:r>
      <w:bookmarkStart w:id="2018" w:name="xdx_906_eus-gaap--NetIncomeLoss_pn3n3_c2"/>
      <w:bookmarkEnd w:id="2018"/>
      <w:r>
        <w:rPr>
          <w:rFonts w:ascii="Times New Roman;Times;Serif" w:hAnsi="Times New Roman;Times;Serif"/>
          <w:b w:val="false"/>
          <w:i w:val="false"/>
          <w:caps w:val="false"/>
          <w:smallCaps w:val="false"/>
          <w:sz w:val="20"/>
        </w:rPr>
        <w:t>250 thousand and net income of $</w:t>
      </w:r>
      <w:bookmarkStart w:id="2019" w:name="xdx_907_eus-gaap--NetIncomeLoss_pn3n3_c2"/>
      <w:bookmarkEnd w:id="2019"/>
      <w:r>
        <w:rPr>
          <w:rFonts w:ascii="Times New Roman;Times;Serif" w:hAnsi="Times New Roman;Times;Serif"/>
          <w:b w:val="false"/>
          <w:i w:val="false"/>
          <w:caps w:val="false"/>
          <w:smallCaps w:val="false"/>
          <w:sz w:val="20"/>
        </w:rPr>
        <w:t>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20" w:name="xdx_89D_eus-gaap--BusinessAcquisitionPro"/>
      <w:bookmarkEnd w:id="2020"/>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bookmarkStart w:id="2021" w:name="xdx_8B2_zRdSx5AE4mc7"/>
      <w:bookmarkEnd w:id="2021"/>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2022" w:name="xdx_498_20250101__20251231__us-gaap--Bus"/>
            <w:bookmarkEnd w:id="2022"/>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2023" w:name="xdx_495_20240101__20241231__us-gaap--Bus"/>
            <w:bookmarkEnd w:id="2023"/>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024" w:name="xdx_402_eus-gaap--BusinessAcquisitionsPr"/>
            <w:bookmarkEnd w:id="2024"/>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bookmarkStart w:id="2025" w:name="xdx_408_ecustom--BusinessAcquisitionProF"/>
            <w:bookmarkEnd w:id="2025"/>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bookmarkStart w:id="2026" w:name="xdx_402_ecustom--BusinessAcquisitionProF"/>
            <w:bookmarkEnd w:id="2026"/>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bookmarkStart w:id="2027" w:name="xdx_403_ecustom--BusinessAcquisitionProF"/>
            <w:bookmarkEnd w:id="2027"/>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bookmarkStart w:id="2028" w:name="xdx_40A_eus-gaap--BusinessCombinationPro"/>
            <w:bookmarkEnd w:id="2028"/>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2029" w:name="xdx_8A3_zly8BAvy7558"/>
      <w:bookmarkEnd w:id="202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30" w:name="xdx_800_eus-gaap--RelatedPartyTransactio"/>
      <w:bookmarkEnd w:id="2030"/>
      <w:r>
        <w:rPr>
          <w:rFonts w:ascii="Times New Roman;Times;Serif" w:hAnsi="Times New Roman;Times;Serif"/>
          <w:b/>
          <w:i w:val="false"/>
          <w:caps w:val="false"/>
          <w:smallCaps w:val="false"/>
          <w:sz w:val="20"/>
        </w:rPr>
        <w:t xml:space="preserve">5. </w:t>
      </w:r>
      <w:bookmarkStart w:id="2031" w:name="xdx_82B_zUXxESq0Jufb"/>
      <w:bookmarkEnd w:id="203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w:t>
      </w:r>
      <w:bookmarkStart w:id="2032" w:name="xdx_90F_eus-gaap--OtherLiabilitiesCurren"/>
      <w:bookmarkEnd w:id="2032"/>
      <w:r>
        <w:rPr>
          <w:rFonts w:ascii="Times New Roman;Times;Serif" w:hAnsi="Times New Roman;Times;Serif"/>
          <w:b w:val="false"/>
          <w:i w:val="false"/>
          <w:caps w:val="false"/>
          <w:smallCaps w:val="false"/>
          <w:sz w:val="20"/>
        </w:rPr>
        <w:t xml:space="preserve">67,118 liability. As of December 31, 2025, there is </w:t>
      </w:r>
      <w:bookmarkStart w:id="2033" w:name="xdx_90E_eus-gaap--OtherLiabilitiesCurren"/>
      <w:bookmarkEnd w:id="2033"/>
      <w:r>
        <w:rPr>
          <w:rFonts w:ascii="Times New Roman;Times;Serif" w:hAnsi="Times New Roman;Times;Serif"/>
          <w:b w:val="false"/>
          <w:i w:val="false"/>
          <w:caps w:val="false"/>
          <w:smallCaps w:val="false"/>
          <w:sz w:val="20"/>
        </w:rPr>
        <w:t>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w:t>
      </w:r>
      <w:bookmarkStart w:id="2034" w:name="xdx_903_eus-gaap--DebtInstrumentConverti"/>
      <w:bookmarkEnd w:id="2034"/>
      <w:r>
        <w:rPr>
          <w:rFonts w:ascii="Times New Roman;Times;Serif" w:hAnsi="Times New Roman;Times;Serif"/>
          <w:b w:val="false"/>
          <w:i w:val="false"/>
          <w:caps w:val="false"/>
          <w:smallCaps w:val="false"/>
          <w:sz w:val="20"/>
        </w:rPr>
        <w:t xml:space="preserve">1one term note and </w:t>
      </w:r>
      <w:bookmarkStart w:id="2035" w:name="xdx_903_eus-gaap--DebtInstrumentConverti"/>
      <w:bookmarkEnd w:id="2035"/>
      <w:r>
        <w:rPr>
          <w:rFonts w:ascii="Times New Roman;Times;Serif" w:hAnsi="Times New Roman;Times;Serif"/>
          <w:b w:val="false"/>
          <w:i w:val="false"/>
          <w:caps w:val="false"/>
          <w:smallCaps w:val="false"/>
          <w:sz w:val="20"/>
        </w:rPr>
        <w:t xml:space="preserve">2two convertible notes into </w:t>
      </w:r>
      <w:bookmarkStart w:id="2036" w:name="xdx_90D_eus-gaap--DebtInstrumentConverti"/>
      <w:bookmarkEnd w:id="2036"/>
      <w:r>
        <w:rPr>
          <w:rFonts w:ascii="Times New Roman;Times;Serif" w:hAnsi="Times New Roman;Times;Serif"/>
          <w:b w:val="false"/>
          <w:i w:val="false"/>
          <w:caps w:val="false"/>
          <w:smallCaps w:val="false"/>
          <w:sz w:val="20"/>
        </w:rPr>
        <w:t xml:space="preserve">1one new consolidated convertible note. The newly issued consolidated convertible note was issued on </w:t>
      </w:r>
      <w:bookmarkStart w:id="2037" w:name="xdx_90D_eus-gaap--DebtInstrumentIssuance"/>
      <w:bookmarkEnd w:id="2037"/>
      <w:r>
        <w:rPr>
          <w:rFonts w:ascii="Times New Roman;Times;Serif" w:hAnsi="Times New Roman;Times;Serif"/>
          <w:b w:val="false"/>
          <w:i w:val="false"/>
          <w:caps w:val="false"/>
          <w:smallCaps w:val="false"/>
          <w:sz w:val="20"/>
        </w:rPr>
        <w:t>September 23, 2024. Additionally on September 23, 2024, the Company and CP BF entered into a share purchase agreement where the Company issued equity in the form of common stock, common stock warrants and pre-funded warrants to CP BF for the reduction of $</w:t>
      </w:r>
      <w:bookmarkStart w:id="2038" w:name="xdx_900_ecustom--ReductionOfDebt_iI_pn5n"/>
      <w:bookmarkEnd w:id="2038"/>
      <w:r>
        <w:rPr>
          <w:rFonts w:ascii="Times New Roman;Times;Serif" w:hAnsi="Times New Roman;Times;Serif"/>
          <w:b w:val="false"/>
          <w:i w:val="false"/>
          <w:caps w:val="false"/>
          <w:smallCaps w:val="false"/>
          <w:sz w:val="20"/>
        </w:rPr>
        <w:t xml:space="preserve">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w:t>
      </w:r>
      <w:bookmarkStart w:id="2039" w:name="xdx_903_eus-gaap--ProceedsFromRelatedPar"/>
      <w:bookmarkEnd w:id="2039"/>
      <w:r>
        <w:rPr>
          <w:rFonts w:ascii="Times New Roman;Times;Serif" w:hAnsi="Times New Roman;Times;Serif"/>
          <w:b w:val="false"/>
          <w:i w:val="false"/>
          <w:caps w:val="false"/>
          <w:smallCaps w:val="false"/>
          <w:sz w:val="20"/>
        </w:rPr>
        <w:t>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40" w:name="xdx_801_eus-gaap--RevenueFromContractWit"/>
      <w:bookmarkEnd w:id="2040"/>
      <w:r>
        <w:rPr>
          <w:rFonts w:ascii="Times New Roman;Times;Serif" w:hAnsi="Times New Roman;Times;Serif"/>
          <w:b/>
          <w:i w:val="false"/>
          <w:caps w:val="false"/>
          <w:smallCaps w:val="false"/>
          <w:sz w:val="20"/>
        </w:rPr>
        <w:t xml:space="preserve">6. </w:t>
      </w:r>
      <w:bookmarkStart w:id="2041" w:name="xdx_82B_zyQDHPVPogGb"/>
      <w:bookmarkEnd w:id="2041"/>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w:t>
      </w:r>
      <w:bookmarkStart w:id="2042" w:name="xdx_907_eus-gaap--RevenuePerformanceObli"/>
      <w:bookmarkEnd w:id="2042"/>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w:t>
      </w:r>
      <w:bookmarkStart w:id="2043" w:name="xdx_908_eus-gaap--RevenuePerformanceObli"/>
      <w:bookmarkEnd w:id="2043"/>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w:t>
      </w:r>
      <w:bookmarkStart w:id="2044" w:name="xdx_900_eus-gaap--RevenuePerformanceObli"/>
      <w:bookmarkEnd w:id="2044"/>
      <w:r>
        <w:rPr>
          <w:rFonts w:ascii="Times New Roman;Times;Serif" w:hAnsi="Times New Roman;Times;Serif"/>
          <w:b w:val="false"/>
          <w:i w:val="false"/>
          <w:caps w:val="false"/>
          <w:smallCaps w:val="false"/>
          <w:sz w:val="20"/>
        </w:rPr>
        <w:t>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product is a video hosting and marketing platform designed to help businesses manage, customize, and optimize their video content. Revenue is generated through Vidello providing video hosting and marketing platform subscription software service for a set period of time. </w:t>
      </w:r>
      <w:bookmarkStart w:id="2045" w:name="xdx_909_eus-gaap--RevenuePerformanceObli"/>
      <w:bookmarkEnd w:id="2045"/>
      <w:r>
        <w:rPr>
          <w:rFonts w:ascii="Times New Roman;Times;Serif" w:hAnsi="Times New Roman;Times;Serif"/>
          <w:b w:val="false"/>
          <w:i w:val="false"/>
          <w:caps w:val="false"/>
          <w:smallCaps w:val="false"/>
          <w:sz w:val="20"/>
        </w:rPr>
        <w:t>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w:t>
      </w:r>
      <w:bookmarkStart w:id="2046" w:name="xdx_90E_ecustom--ServicesRevenueFromVend"/>
      <w:bookmarkEnd w:id="2046"/>
      <w:r>
        <w:rPr>
          <w:rFonts w:ascii="Times New Roman;Times;Serif" w:hAnsi="Times New Roman;Times;Serif"/>
          <w:b w:val="false"/>
          <w:i w:val="false"/>
          <w:caps w:val="false"/>
          <w:smallCaps w:val="false"/>
          <w:sz w:val="20"/>
        </w:rPr>
        <w:t>125,000 and $</w:t>
      </w:r>
      <w:bookmarkStart w:id="2047" w:name="xdx_90B_ecustom--ServicesRevenueFromVend"/>
      <w:bookmarkEnd w:id="2047"/>
      <w:r>
        <w:rPr>
          <w:rFonts w:ascii="Times New Roman;Times;Serif" w:hAnsi="Times New Roman;Times;Serif"/>
          <w:b w:val="false"/>
          <w:i w:val="false"/>
          <w:caps w:val="false"/>
          <w:smallCaps w:val="false"/>
          <w:sz w:val="20"/>
        </w:rPr>
        <w:t>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48" w:name="xdx_89D_eus-gaap--DisaggregationOfRevenu"/>
      <w:bookmarkEnd w:id="2048"/>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2049" w:name="xdx_8BD_znesNF5RLcnj"/>
      <w:bookmarkEnd w:id="2049"/>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0" w:name="xdx_98E_eus-gaap--RevenueFromContractWit"/>
            <w:bookmarkEnd w:id="205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bookmarkStart w:id="2051" w:name="xdx_900_eus-gaap--ConcentrationRiskPerce"/>
            <w:bookmarkEnd w:id="2051"/>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2" w:name="xdx_98B_eus-gaap--RevenueFromContractWit"/>
            <w:bookmarkEnd w:id="205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bookmarkStart w:id="2053" w:name="xdx_905_eus-gaap--ConcentrationRiskPerce"/>
            <w:bookmarkEnd w:id="2053"/>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54" w:name="xdx_980_eus-gaap--RevenueFromContractWit"/>
            <w:bookmarkEnd w:id="205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bookmarkStart w:id="2055" w:name="xdx_90A_eus-gaap--ConcentrationRiskPerce"/>
            <w:bookmarkEnd w:id="2055"/>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56" w:name="xdx_986_eus-gaap--RevenueFromContractWit"/>
            <w:bookmarkEnd w:id="205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bookmarkStart w:id="2057" w:name="xdx_906_eus-gaap--ConcentrationRiskPerce"/>
            <w:bookmarkEnd w:id="2057"/>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58" w:name="xdx_989_eus-gaap--RevenueFromContractWit"/>
            <w:bookmarkEnd w:id="205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059" w:name="xdx_905_eus-gaap--ConcentrationRiskPerce"/>
            <w:bookmarkEnd w:id="2059"/>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60" w:name="xdx_984_eus-gaap--RevenueFromContractWit"/>
            <w:bookmarkEnd w:id="206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061" w:name="xdx_90C_eus-gaap--ConcentrationRiskPerce"/>
            <w:bookmarkEnd w:id="2061"/>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2" w:name="xdx_983_eus-gaap--RevenueFromContractWit"/>
            <w:bookmarkEnd w:id="206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2063" w:name="xdx_904_eus-gaap--ConcentrationRiskPerce"/>
            <w:bookmarkEnd w:id="2063"/>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4" w:name="xdx_986_eus-gaap--RevenueFromContractWit"/>
            <w:bookmarkEnd w:id="206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2065" w:name="xdx_909_eus-gaap--ConcentrationRiskPerce"/>
            <w:bookmarkEnd w:id="2065"/>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2066" w:name="xdx_8A4_znnR9OOHFix9"/>
      <w:bookmarkEnd w:id="206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67" w:name="xdx_897_eus-gaap--ScheduleOfAccountsNote"/>
      <w:bookmarkEnd w:id="2067"/>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bookmarkStart w:id="2068" w:name="xdx_8B8_zCyKfVaDgfIg"/>
      <w:bookmarkEnd w:id="2068"/>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9" w:name="xdx_983_eus-gaap--AccountsReceivableNetC"/>
            <w:bookmarkEnd w:id="206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70" w:name="xdx_984_eus-gaap--AccountsReceivableNetC"/>
            <w:bookmarkEnd w:id="2070"/>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71" w:name="xdx_983_eus-gaap--AccountsReceivableNetC"/>
            <w:bookmarkEnd w:id="2071"/>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72" w:name="xdx_8A1_zJAoTnkSwxO6"/>
      <w:bookmarkEnd w:id="207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3" w:name="xdx_898_eus-gaap--CapitalizedContractCos"/>
      <w:bookmarkEnd w:id="2073"/>
      <w:r>
        <w:rPr>
          <w:rFonts w:ascii="Times New Roman;Times;Serif" w:hAnsi="Times New Roman;Times;Serif"/>
          <w:b w:val="false"/>
          <w:i w:val="false"/>
          <w:caps w:val="false"/>
          <w:smallCaps w:val="false"/>
          <w:sz w:val="20"/>
        </w:rPr>
        <w:t>Commission expenses were $</w:t>
      </w:r>
      <w:bookmarkStart w:id="2074" w:name="xdx_907_eus-gaap--SalesCommissionsAndFee"/>
      <w:bookmarkEnd w:id="2074"/>
      <w:r>
        <w:rPr>
          <w:rFonts w:ascii="Times New Roman;Times;Serif" w:hAnsi="Times New Roman;Times;Serif"/>
          <w:b w:val="false"/>
          <w:i w:val="false"/>
          <w:caps w:val="false"/>
          <w:smallCaps w:val="false"/>
          <w:sz w:val="20"/>
        </w:rPr>
        <w:t>466,951 and $</w:t>
      </w:r>
      <w:bookmarkStart w:id="2075" w:name="xdx_904_eus-gaap--SalesCommissionsAndFee"/>
      <w:bookmarkEnd w:id="2075"/>
      <w:r>
        <w:rPr>
          <w:rFonts w:ascii="Times New Roman;Times;Serif" w:hAnsi="Times New Roman;Times;Serif"/>
          <w:b w:val="false"/>
          <w:i w:val="false"/>
          <w:caps w:val="false"/>
          <w:smallCaps w:val="false"/>
          <w:sz w:val="20"/>
        </w:rPr>
        <w:t>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76" w:name="xdx_8B1_zVTNZDsPPe8k"/>
      <w:bookmarkEnd w:id="2076"/>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77" w:name="xdx_983_eus-gaap--CapitalizedContractCos"/>
            <w:bookmarkEnd w:id="2077"/>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78" w:name="xdx_98E_ecustom--CommissionsIncurred_c20"/>
            <w:bookmarkEnd w:id="2078"/>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79" w:name="xdx_98A_ecustom--DeferredCommissionsReco"/>
            <w:bookmarkEnd w:id="2079"/>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80" w:name="xdx_98E_eus-gaap--CapitalizedContractCos"/>
            <w:bookmarkEnd w:id="2080"/>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81" w:name="xdx_981_ecustom--CommissionsIncurred_c20"/>
            <w:bookmarkEnd w:id="2081"/>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82" w:name="xdx_984_ecustom--DeferredCommissionsReco"/>
            <w:bookmarkEnd w:id="2082"/>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83" w:name="xdx_984_eus-gaap--CapitalizedContractCos"/>
            <w:bookmarkEnd w:id="2083"/>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84" w:name="xdx_8A7_ziQFHmesCg9b"/>
      <w:bookmarkEnd w:id="208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w:t>
      </w:r>
      <w:bookmarkStart w:id="2085" w:name="xdx_901_eus-gaap--ContractWithCustomerLi"/>
      <w:bookmarkEnd w:id="2085"/>
      <w:r>
        <w:rPr>
          <w:rFonts w:ascii="Times New Roman;Times;Serif" w:hAnsi="Times New Roman;Times;Serif"/>
          <w:b w:val="false"/>
          <w:i w:val="false"/>
          <w:caps w:val="false"/>
          <w:smallCaps w:val="false"/>
          <w:sz w:val="20"/>
        </w:rPr>
        <w:t xml:space="preserve">3,867,853 and </w:t>
      </w:r>
      <w:r>
        <w:rPr>
          <w:rFonts w:ascii="Times New Roman;Times;Serif" w:hAnsi="Times New Roman;Times;Serif"/>
          <w:b w:val="false"/>
          <w:i w:val="false"/>
          <w:caps w:val="false"/>
          <w:smallCaps w:val="false"/>
          <w:sz w:val="20"/>
          <w:shd w:fill="FFFFFF" w:val="clear"/>
        </w:rPr>
        <w:t>$</w:t>
      </w:r>
      <w:bookmarkStart w:id="2086" w:name="xdx_908_eus-gaap--ContractWithCustomerLi"/>
      <w:bookmarkEnd w:id="2086"/>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87" w:name="xdx_898_eus-gaap--ContractWithCustomerAs"/>
      <w:bookmarkEnd w:id="2087"/>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88" w:name="xdx_8B1_zIf6EXzCIT1g"/>
      <w:bookmarkEnd w:id="2088"/>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2089" w:name="xdx_49F_20250101__20251231_zUstySWQbrhh"/>
            <w:bookmarkEnd w:id="2089"/>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2090" w:name="xdx_49E_20240101__20241231_zHB1dX9URzSe"/>
            <w:bookmarkEnd w:id="2090"/>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091" w:name="xdx_405_eus-gaap--ContractWithCustomerLi"/>
            <w:bookmarkEnd w:id="2091"/>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bookmarkStart w:id="2092" w:name="xdx_405_ecustom--ContractWithCustomerLia"/>
            <w:bookmarkEnd w:id="2092"/>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bookmarkStart w:id="2093" w:name="xdx_40B_ecustom--ContractWithCustomerLia"/>
            <w:bookmarkEnd w:id="2093"/>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4" w:name="xdx_405_ecustom--ContractWithCustomerLia"/>
            <w:bookmarkEnd w:id="2094"/>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5" w:name="xdx_407_eus-gaap--ContractWithCustomerLi"/>
            <w:bookmarkEnd w:id="2095"/>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bookmarkStart w:id="2096" w:name="xdx_405_eus-gaap--ContractWithCustomerLi"/>
            <w:bookmarkEnd w:id="2096"/>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7" w:name="xdx_405_eus-gaap--ContractWithCustomerLi"/>
            <w:bookmarkEnd w:id="2097"/>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8" w:name="xdx_80F_eus-gaap--FairValueDisclosuresTe"/>
      <w:bookmarkEnd w:id="2098"/>
      <w:r>
        <w:rPr>
          <w:rFonts w:ascii="Times New Roman;Times;Serif" w:hAnsi="Times New Roman;Times;Serif"/>
          <w:b/>
          <w:i w:val="false"/>
          <w:caps w:val="false"/>
          <w:smallCaps w:val="false"/>
          <w:sz w:val="20"/>
        </w:rPr>
        <w:t xml:space="preserve">7. </w:t>
      </w:r>
      <w:bookmarkStart w:id="2099" w:name="xdx_829_zKezHtFRI3si"/>
      <w:bookmarkEnd w:id="2099"/>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0" w:name="xdx_8BE_zg0sxR6tcfP2"/>
      <w:bookmarkStart w:id="2101" w:name="xdx_89C_eus-gaap--FairValueAssetsAndLiab"/>
      <w:bookmarkEnd w:id="2100"/>
      <w:bookmarkEnd w:id="2101"/>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02" w:name="xdx_49E_20251231_zo4rTzyrE77k"/>
            <w:bookmarkEnd w:id="2102"/>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03" w:name="xdx_496_20241231_za4ZBVzF78C9"/>
            <w:bookmarkEnd w:id="2103"/>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104" w:name="xdx_406_eus-gaap--EmbeddedDerivativeFair"/>
            <w:bookmarkEnd w:id="2104"/>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bookmarkStart w:id="2105" w:name="xdx_400_ecustom--DefiniteLivedIntangible"/>
            <w:bookmarkEnd w:id="2105"/>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bookmarkStart w:id="2106" w:name="xdx_408_eus-gaap--Goodwill_iI_hus-gaap--"/>
            <w:bookmarkEnd w:id="2106"/>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107" w:name="xdx_408_ecustom--WarrantLiabilitiesPubli"/>
            <w:bookmarkEnd w:id="2107"/>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bookmarkStart w:id="2108" w:name="xdx_408_ecustom--GemWarransLiabilities_i"/>
            <w:bookmarkEnd w:id="2108"/>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bookmarkStart w:id="2109" w:name="xdx_409_ecustom--EarnoutLiabilityCurrent"/>
            <w:bookmarkEnd w:id="2109"/>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110" w:name="xdx_406_ecustom--ConvertibleDebts_iI_hus"/>
            <w:bookmarkEnd w:id="2110"/>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2111" w:name="xdx_405_eus-gaap--NotesPayable_iI_hus-ga"/>
            <w:bookmarkEnd w:id="2111"/>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bookmarkStart w:id="2112" w:name="xdx_409_eus-gaap--ConvertibleNotesPayabl"/>
            <w:bookmarkEnd w:id="2112"/>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bookmarkStart w:id="2113" w:name="xdx_402_eus-gaap--ConvertibleDebtFairVal"/>
            <w:bookmarkEnd w:id="2113"/>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114" w:name="xdx_40C_ecustom--PrivatePlacementWarrant"/>
            <w:bookmarkEnd w:id="2114"/>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2115" w:name="xdx_40B_ecustom--BootCapitalNote_iI_hus-"/>
            <w:bookmarkEnd w:id="2115"/>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16" w:name="xdx_8A8_zwJC7RPLxXif"/>
      <w:bookmarkEnd w:id="21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17" w:name="xdx_89B_ecustom--SummaryOfChangesInTheFa"/>
      <w:bookmarkEnd w:id="2117"/>
      <w:r>
        <w:rPr>
          <w:caps w:val="false"/>
          <w:smallCaps w:val="false"/>
        </w:rPr>
        <w:t> </w:t>
      </w:r>
      <w:bookmarkStart w:id="2118" w:name="xdx_8B2_zBJbaJYJtYMg"/>
      <w:bookmarkEnd w:id="2118"/>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19" w:name="xdx_492_20250101__20251231_zx6HHtaCyFEf"/>
            <w:bookmarkEnd w:id="2119"/>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bookmarkStart w:id="2120" w:name="xdx_408_ecustom--PublicWarrantsLiability"/>
            <w:bookmarkEnd w:id="2120"/>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2121" w:name="xdx_405_ecustom--ChangeInFairValueOfPubl"/>
            <w:bookmarkEnd w:id="2121"/>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22" w:name="xdx_40F_ecustom--PublicWarrantsLiability"/>
            <w:bookmarkEnd w:id="2122"/>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23" w:name="xdx_8A1_zZURuLAQF0Ib"/>
      <w:bookmarkEnd w:id="212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4" w:name="xdx_8BE_zURThKEwXMxd"/>
      <w:bookmarkStart w:id="2125" w:name="xdx_897_ecustom--SummaryOfChangesInTheFa"/>
      <w:bookmarkEnd w:id="2124"/>
      <w:bookmarkEnd w:id="2125"/>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26" w:name="xdx_498_20250101__20251231_zYaTDwwIzwYk"/>
            <w:bookmarkEnd w:id="2126"/>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bookmarkStart w:id="2127" w:name="xdx_402_ecustom--GemWarrantsLiability_iS"/>
            <w:bookmarkEnd w:id="212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bookmarkStart w:id="2128" w:name="xdx_409_ecustom--ChangeInFairValueOfGemW"/>
            <w:bookmarkEnd w:id="2128"/>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29" w:name="xdx_402_ecustom--GemWarrantsLiability_iE"/>
            <w:bookmarkEnd w:id="2129"/>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30" w:name="xdx_8AB_zya4xqbQhbha"/>
      <w:bookmarkEnd w:id="213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31" w:name="xdx_8BA_zsCDeUtsjyr3"/>
      <w:bookmarkStart w:id="2132" w:name="xdx_89A_ecustom--SummaryOfChangesInFairV"/>
      <w:bookmarkEnd w:id="2131"/>
      <w:bookmarkEnd w:id="2132"/>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33" w:name="xdx_491_20250101__20251231_z0NMnx7Z5Uo1"/>
            <w:bookmarkEnd w:id="2133"/>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bookmarkStart w:id="2134" w:name="xdx_40C_eus-gaap--ConvertibleDebt_iS_hus"/>
            <w:bookmarkEnd w:id="2134"/>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35" w:name="xdx_403_ecustom--IssuanceOfYorkvilleConv"/>
            <w:bookmarkEnd w:id="2135"/>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bookmarkStart w:id="2136" w:name="xdx_407_ecustom--GainsLossesOnDebtIssuan"/>
            <w:bookmarkEnd w:id="2136"/>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bookmarkStart w:id="2137" w:name="xdx_40D_ecustom--PaymentInSharesToSettle"/>
            <w:bookmarkEnd w:id="2137"/>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8" w:name="xdx_403_eus-gaap--RepaymentsOfConvertibl"/>
            <w:bookmarkEnd w:id="2138"/>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39" w:name="xdx_40A_ecustom--Conversions_hus-gaap--F"/>
            <w:bookmarkEnd w:id="2139"/>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40" w:name="xdx_406_ecustom--ChangeInFairValueOfYork"/>
            <w:bookmarkEnd w:id="2140"/>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bookmarkStart w:id="2141" w:name="xdx_407_eus-gaap--ConvertibleDebt_iE_hus"/>
            <w:bookmarkEnd w:id="2141"/>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42" w:name="xdx_8A1_zXYFHlyniVC"/>
      <w:bookmarkEnd w:id="214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w:t>
      </w:r>
      <w:bookmarkStart w:id="2143" w:name="xdx_906_eus-gaap--DerivativeFairValueOfD"/>
      <w:bookmarkEnd w:id="2143"/>
      <w:r>
        <w:rPr>
          <w:rFonts w:ascii="Times New Roman;Times;Serif" w:hAnsi="Times New Roman;Times;Serif"/>
          <w:b w:val="false"/>
          <w:i w:val="false"/>
          <w:caps w:val="false"/>
          <w:smallCaps w:val="false"/>
          <w:sz w:val="20"/>
        </w:rPr>
        <w:t>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44" w:name="xdx_89D_ecustom--ScheduleOfDerivativeAss"/>
      <w:bookmarkEnd w:id="2144"/>
      <w:r>
        <w:rPr>
          <w:caps w:val="false"/>
          <w:smallCaps w:val="false"/>
        </w:rPr>
        <w:t> </w:t>
      </w:r>
      <w:bookmarkStart w:id="2145" w:name="xdx_8BE_zCS7Mg3L3qkd"/>
      <w:bookmarkEnd w:id="2145"/>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46" w:name="xdx_494_20250101__20251231_zHbC7AwyYBH7"/>
            <w:bookmarkEnd w:id="2146"/>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bookmarkStart w:id="2147" w:name="xdx_40B_eus-gaap--DerivativeAssetsLiabil"/>
            <w:bookmarkEnd w:id="214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bookmarkStart w:id="2148" w:name="xdx_400_eus-gaap--EmbeddedDerivativeGain"/>
            <w:bookmarkEnd w:id="2148"/>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49" w:name="xdx_40F_eus-gaap--DerivativeAssetsLiabil"/>
            <w:bookmarkEnd w:id="2149"/>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50" w:name="xdx_8AD_zdKrFvOhlTbg"/>
      <w:bookmarkEnd w:id="215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51" w:name="xdx_8B5_znkuPS2jWKWk"/>
      <w:bookmarkStart w:id="2152" w:name="xdx_899_eus-gaap--FairValueNetDerivative"/>
      <w:bookmarkEnd w:id="2151"/>
      <w:bookmarkEnd w:id="2152"/>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176"/>
        <w:gridCol w:w="1778"/>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bookmarkStart w:id="2153" w:name="xdx_49F_20251231_zNxa1kP6pJO1"/>
            <w:bookmarkEnd w:id="2153"/>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154" w:name="xdx_901_eus-gaap--WarrantsAndRightsOutst"/>
            <w:bookmarkEnd w:id="2154"/>
            <w:r>
              <w:rPr>
                <w:rFonts w:ascii="Times New Roman;Times;Serif" w:hAnsi="Times New Roman;Times;Serif"/>
              </w:rPr>
              <w:t>19.40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55" w:name="xdx_902_eus-gaap--WarrantsAndRightsOutst"/>
            <w:bookmarkEnd w:id="2155"/>
            <w:r>
              <w:rPr>
                <w:rFonts w:ascii="Times New Roman;Times;Serif" w:hAnsi="Times New Roman;Times;Serif"/>
              </w:rPr>
              <w:t xml:space="preserve">2.50 - </w:t>
            </w:r>
            <w:bookmarkStart w:id="2156" w:name="xdx_90E_eus-gaap--WarrantsAndRightsOutst"/>
            <w:bookmarkEnd w:id="2156"/>
            <w:r>
              <w:rPr>
                <w:rFonts w:ascii="Times New Roman;Times;Serif" w:hAnsi="Times New Roman;Times;Serif"/>
              </w:rPr>
              <w:t>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157" w:name="xdx_904_eus-gaap--WarrantsAndRightsOutst"/>
            <w:bookmarkEnd w:id="2157"/>
            <w:r>
              <w:rPr>
                <w:rFonts w:ascii="Times New Roman;Times;Serif" w:hAnsi="Times New Roman;Times;Serif"/>
              </w:rPr>
              <w:t xml:space="preserve">3.5% - </w:t>
            </w:r>
            <w:bookmarkStart w:id="2158" w:name="xdx_906_eus-gaap--WarrantsAndRightsOutst"/>
            <w:bookmarkEnd w:id="2158"/>
            <w:r>
              <w:rPr>
                <w:rFonts w:ascii="Times New Roman;Times;Serif" w:hAnsi="Times New Roman;Times;Serif"/>
              </w:rPr>
              <w:t>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59" w:name="xdx_903_eus-gaap--WarrantsAndRightsOutst"/>
            <w:bookmarkEnd w:id="2159"/>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rPr>
              <w:t>$</w:t>
            </w:r>
            <w:bookmarkStart w:id="2160" w:name="xdx_90E_eus-gaap--WarrantsAndRightsOutst"/>
            <w:bookmarkEnd w:id="2160"/>
            <w:r>
              <w:rPr>
                <w:rFonts w:ascii="Times New Roman;Times;Serif" w:hAnsi="Times New Roman;Times;Serif"/>
              </w:rPr>
              <w:t>50.00-$</w:t>
            </w:r>
            <w:bookmarkStart w:id="2161" w:name="xdx_908_eus-gaap--WarrantsAndRightsOutst"/>
            <w:bookmarkEnd w:id="2161"/>
            <w:r>
              <w:rPr>
                <w:rFonts w:ascii="Times New Roman;Times;Serif" w:hAnsi="Times New Roman;Times;Serif"/>
              </w:rPr>
              <w:t>87.20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62" w:name="xdx_90A_eus-gaap--WarrantsAndRightsOutst"/>
            <w:bookmarkEnd w:id="2162"/>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163" w:name="xdx_8A4_znEp5NvYvHFi"/>
      <w:bookmarkEnd w:id="2163"/>
      <w:r>
        <w:rPr>
          <w:caps w:val="false"/>
          <w:smallCaps w:val="false"/>
        </w:rPr>
        <w:t> </w:t>
      </w:r>
    </w:p>
    <w:p>
      <w:pPr>
        <w:pStyle w:val="TextBody"/>
        <w:bidi w:val="0"/>
        <w:spacing w:before="0" w:after="0"/>
        <w:ind w:left="0" w:right="0" w:hanging="0"/>
        <w:jc w:val="both"/>
        <w:rPr>
          <w:caps w:val="false"/>
          <w:smallCaps w:val="false"/>
        </w:rPr>
      </w:pPr>
      <w:bookmarkStart w:id="2164" w:name="xdx_896_ecustom--FairValueChangeOfPrivat"/>
      <w:bookmarkEnd w:id="2164"/>
      <w:r>
        <w:rPr>
          <w:caps w:val="false"/>
          <w:smallCaps w:val="false"/>
        </w:rPr>
        <w:t> </w:t>
      </w:r>
      <w:bookmarkStart w:id="2165" w:name="xdx_8BF_zjiI8WExjyFk"/>
      <w:bookmarkEnd w:id="2165"/>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66" w:name="xdx_498_20250101__20251231_zh4v7CDFLPI1"/>
            <w:bookmarkEnd w:id="2166"/>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bookmarkStart w:id="2167" w:name="xdx_409_eus-gaap--FairValueNetDerivative"/>
            <w:bookmarkEnd w:id="2167"/>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68" w:name="xdx_401_ecustom--IssuanceOfPrivatePlacem"/>
            <w:bookmarkEnd w:id="2168"/>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bookmarkStart w:id="2169" w:name="xdx_40A_ecustom--IssuanceOfPrivatePlacem"/>
            <w:bookmarkEnd w:id="2169"/>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bookmarkStart w:id="2170" w:name="xdx_406_ecustom--IssuanceOfPrivatePlacem"/>
            <w:bookmarkEnd w:id="2170"/>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bookmarkStart w:id="2171" w:name="xdx_40D_ecustom--IssuanceOfPrivatePlacem"/>
            <w:bookmarkEnd w:id="2171"/>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bookmarkStart w:id="2172" w:name="xdx_409_eus-gaap--FairValueNetDerivative"/>
            <w:bookmarkEnd w:id="2172"/>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73" w:name="xdx_405_eus-gaap--FairValueNetDerivative"/>
            <w:bookmarkEnd w:id="2173"/>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74" w:name="xdx_8AE_zNIhmLcRuJXh"/>
      <w:bookmarkEnd w:id="217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75" w:name="xdx_80C_eus-gaap--PropertyPlantAndEquipm"/>
      <w:bookmarkEnd w:id="2175"/>
      <w:r>
        <w:rPr>
          <w:rFonts w:ascii="Times New Roman;Times;Serif" w:hAnsi="Times New Roman;Times;Serif"/>
          <w:b/>
          <w:i w:val="false"/>
          <w:caps w:val="false"/>
          <w:smallCaps w:val="false"/>
          <w:sz w:val="20"/>
        </w:rPr>
        <w:t xml:space="preserve">8. </w:t>
      </w:r>
      <w:bookmarkStart w:id="2176" w:name="xdx_82C_ztAw06Wupp35"/>
      <w:bookmarkEnd w:id="2176"/>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77" w:name="xdx_89E_eus-gaap--PropertyPlantAndEquipm"/>
      <w:bookmarkEnd w:id="2177"/>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178" w:name="xdx_8BE_zuEMySCgGqk8"/>
      <w:bookmarkEnd w:id="2178"/>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79" w:name="xdx_490_20251231_zBOseNl5CHe8"/>
            <w:bookmarkEnd w:id="217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0" w:name="xdx_496_20241231_zB5Uftqmefyi"/>
            <w:bookmarkEnd w:id="2180"/>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bookmarkStart w:id="2181" w:name="xdx_400_eus-gaap--PropertyPlantAndEquipm"/>
            <w:bookmarkEnd w:id="2181"/>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bookmarkStart w:id="2182" w:name="xdx_40A_eus-gaap--AccumulatedDepreciatio"/>
            <w:bookmarkEnd w:id="2182"/>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83" w:name="xdx_40C_eus-gaap--PropertyPlantAndEquipm"/>
            <w:bookmarkEnd w:id="2183"/>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w:t>
      </w:r>
      <w:bookmarkStart w:id="2184" w:name="xdx_906_eus-gaap--Depreciation_c20250101"/>
      <w:bookmarkEnd w:id="2184"/>
      <w:r>
        <w:rPr>
          <w:rFonts w:ascii="Times New Roman;Times;Serif" w:hAnsi="Times New Roman;Times;Serif"/>
          <w:b w:val="false"/>
          <w:i w:val="false"/>
          <w:caps w:val="false"/>
          <w:smallCaps w:val="false"/>
          <w:sz w:val="20"/>
        </w:rPr>
        <w:t>4,424 and $</w:t>
      </w:r>
      <w:bookmarkStart w:id="2185" w:name="xdx_905_eus-gaap--Depreciation_c20240101"/>
      <w:bookmarkEnd w:id="2185"/>
      <w:r>
        <w:rPr>
          <w:rFonts w:ascii="Times New Roman;Times;Serif" w:hAnsi="Times New Roman;Times;Serif"/>
          <w:b w:val="false"/>
          <w:i w:val="false"/>
          <w:caps w:val="false"/>
          <w:smallCaps w:val="false"/>
          <w:sz w:val="20"/>
        </w:rPr>
        <w:t>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6" w:name="xdx_800_ecustom--PrepaidExpensesAndOther"/>
      <w:bookmarkEnd w:id="2186"/>
      <w:r>
        <w:rPr>
          <w:rFonts w:ascii="Times New Roman;Times;Serif" w:hAnsi="Times New Roman;Times;Serif"/>
          <w:b/>
          <w:i w:val="false"/>
          <w:caps w:val="false"/>
          <w:smallCaps w:val="false"/>
          <w:sz w:val="20"/>
        </w:rPr>
        <w:t xml:space="preserve">9. </w:t>
      </w:r>
      <w:bookmarkStart w:id="2187" w:name="xdx_820_zYZtymuaMJti"/>
      <w:bookmarkEnd w:id="2187"/>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8" w:name="xdx_897_eus-gaap--DeferredCostsCapitaliz"/>
      <w:bookmarkEnd w:id="2188"/>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189" w:name="xdx_8B1_zhSKhB63WmSc"/>
      <w:bookmarkEnd w:id="2189"/>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90" w:name="xdx_492_20251231_zvVwo7IWDRsf"/>
            <w:bookmarkEnd w:id="2190"/>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91" w:name="xdx_49B_20241231_zgLRSUWNmh3a"/>
            <w:bookmarkEnd w:id="2191"/>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192" w:name="xdx_40C_ecustom--PrepaidSoftwareCosts_iI"/>
            <w:bookmarkEnd w:id="2192"/>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bookmarkStart w:id="2193" w:name="xdx_404_ecustom--ServiceTrade_iI_zcO09Lz"/>
            <w:bookmarkEnd w:id="2193"/>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bookmarkStart w:id="2194" w:name="xdx_40D_ecustom--EmployeeReceivable_iI_z"/>
            <w:bookmarkEnd w:id="2194"/>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bookmarkStart w:id="2195" w:name="xdx_407_eus-gaap--PrepaidInsurance_iI_z0"/>
            <w:bookmarkEnd w:id="2195"/>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bookmarkStart w:id="2196" w:name="xdx_40F_ecustom--PrepaidCommissions_iI_z"/>
            <w:bookmarkEnd w:id="2196"/>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bookmarkStart w:id="2197" w:name="xdx_40C_ecustom--PrepaidConsultingCosts_"/>
            <w:bookmarkEnd w:id="2197"/>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bookmarkStart w:id="2198" w:name="xdx_400_eus-gaap--PrepaidAdvertising_iI_"/>
            <w:bookmarkEnd w:id="2198"/>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bookmarkStart w:id="2199" w:name="xdx_40A_ecustom--PrepaidMerchantFees_iI_"/>
            <w:bookmarkEnd w:id="2199"/>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bookmarkStart w:id="2200" w:name="xdx_407_ecustom--PrepaidDataLicenseAndSu"/>
            <w:bookmarkEnd w:id="220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bookmarkStart w:id="2201" w:name="xdx_40F_ecustom--OtherAsset_iI_zaz2XupxJ"/>
            <w:bookmarkEnd w:id="2201"/>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bookmarkStart w:id="2202" w:name="xdx_40B_eus-gaap--PrepaidExpenseAndOther"/>
            <w:bookmarkEnd w:id="2202"/>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03" w:name="xdx_8A8_zSxjbOndzB03"/>
      <w:bookmarkEnd w:id="220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04" w:name="xdx_80F_eus-gaap--GoodwillAndIntangibleA"/>
      <w:bookmarkEnd w:id="2204"/>
      <w:r>
        <w:rPr>
          <w:rFonts w:ascii="Times New Roman;Times;Serif" w:hAnsi="Times New Roman;Times;Serif"/>
          <w:b/>
          <w:i w:val="false"/>
          <w:caps w:val="false"/>
          <w:smallCaps w:val="false"/>
          <w:sz w:val="20"/>
        </w:rPr>
        <w:t xml:space="preserve">10. </w:t>
      </w:r>
      <w:bookmarkStart w:id="2205" w:name="xdx_82E_zS6nMzqy7hL3"/>
      <w:bookmarkEnd w:id="2205"/>
      <w:r>
        <w:rPr>
          <w:rFonts w:ascii="Times New Roman;Times;Serif" w:hAnsi="Times New Roman;Times;Serif"/>
          <w:b/>
          <w:i w:val="false"/>
          <w:caps w:val="false"/>
          <w:smallCaps w:val="false"/>
          <w:sz w:val="20"/>
        </w:rPr>
        <w:t>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06" w:name="xdx_895_eus-gaap--ScheduleOfGoodwillText"/>
      <w:bookmarkEnd w:id="2206"/>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207" w:name="xdx_8B2_zqcqxquttLc"/>
      <w:bookmarkEnd w:id="2207"/>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08" w:name="xdx_49C_20250101__20251231__dei--LegalEn"/>
            <w:bookmarkEnd w:id="2208"/>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9" w:name="xdx_49E_20250101__20251231__dei--LegalEn"/>
            <w:bookmarkEnd w:id="220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0" w:name="xdx_494_20250101__20251231__dei--LegalEn"/>
            <w:bookmarkEnd w:id="2210"/>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1" w:name="xdx_49E_20250101__20251231_zpL7YB8Jk0wd"/>
            <w:bookmarkEnd w:id="2211"/>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bookmarkStart w:id="2212" w:name="xdx_404_eus-gaap--Goodwill_iS_zr0dIxW3qA"/>
            <w:bookmarkEnd w:id="2212"/>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bookmarkStart w:id="2213" w:name="xdx_40A_eus-gaap--GoodwillAcquiredDuring"/>
            <w:bookmarkEnd w:id="2213"/>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bookmarkStart w:id="2214" w:name="xdx_40F_eus-gaap--Goodwill_iE_z4TJNvjVEu"/>
            <w:bookmarkEnd w:id="2214"/>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15" w:name="xdx_8A5_z7finwPACdH2"/>
      <w:bookmarkEnd w:id="221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16" w:name="xdx_894_eus-gaap--ScheduleOfFiniteLivedI"/>
      <w:bookmarkEnd w:id="2216"/>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17" w:name="xdx_8B0_zRhoZgRtJwmi"/>
      <w:bookmarkEnd w:id="2217"/>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bookmarkStart w:id="2218" w:name="xdx_491_20251231_zt0FQBMn48ee"/>
            <w:bookmarkEnd w:id="221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2219" w:name="xdx_40A_eus-gaap--FiniteLivedIntangibleA"/>
            <w:bookmarkEnd w:id="2219"/>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bookmarkStart w:id="2220" w:name="xdx_907_eus-gaap--AcquiredFiniteLivedInt"/>
            <w:bookmarkEnd w:id="2220"/>
            <w:r>
              <w:rPr>
                <w:rFonts w:ascii="Times New Roman;Times;Serif" w:hAnsi="Times New Roman;Times;Serif"/>
              </w:rPr>
              <w:t xml:space="preserve">6 - </w:t>
            </w:r>
            <w:bookmarkStart w:id="2221" w:name="xdx_903_eus-gaap--AcquiredFiniteLivedInt"/>
            <w:bookmarkEnd w:id="2221"/>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bookmarkStart w:id="2222" w:name="xdx_408_eus-gaap--FiniteLivedIntangibleA"/>
            <w:bookmarkEnd w:id="2222"/>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bookmarkStart w:id="2223" w:name="xdx_907_eus-gaap--AcquiredFiniteLivedInt"/>
            <w:bookmarkEnd w:id="2223"/>
            <w:r>
              <w:rPr>
                <w:rFonts w:ascii="Times New Roman;Times;Serif" w:hAnsi="Times New Roman;Times;Serif"/>
              </w:rPr>
              <w:t xml:space="preserve">10 - </w:t>
            </w:r>
            <w:bookmarkStart w:id="2224" w:name="xdx_904_eus-gaap--AcquiredFiniteLivedInt"/>
            <w:bookmarkEnd w:id="2224"/>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bookmarkStart w:id="2225" w:name="xdx_404_eus-gaap--FiniteLivedIntangibleA"/>
            <w:bookmarkEnd w:id="2225"/>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bookmarkStart w:id="2226" w:name="xdx_90F_eus-gaap--AcquiredFiniteLivedInt"/>
            <w:bookmarkEnd w:id="2226"/>
            <w:r>
              <w:rPr>
                <w:rFonts w:ascii="Times New Roman;Times;Serif" w:hAnsi="Times New Roman;Times;Serif"/>
              </w:rPr>
              <w:t xml:space="preserve">6 - </w:t>
            </w:r>
            <w:bookmarkStart w:id="2227" w:name="xdx_90F_eus-gaap--AcquiredFiniteLivedInt"/>
            <w:bookmarkEnd w:id="2227"/>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bookmarkStart w:id="2228" w:name="xdx_409_eus-gaap--FiniteLivedIntangibleA"/>
            <w:bookmarkEnd w:id="2228"/>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bookmarkStart w:id="2229" w:name="xdx_40E_eus-gaap--FiniteLivedIntangibleA"/>
            <w:bookmarkEnd w:id="2229"/>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30" w:name="xdx_407_eus-gaap--FiniteLivedIntangibleA"/>
            <w:bookmarkEnd w:id="2230"/>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31" w:name="xdx_8A8_zppQBOVojExe"/>
      <w:bookmarkEnd w:id="22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related to intangible assets was $</w:t>
      </w:r>
      <w:bookmarkStart w:id="2232" w:name="xdx_901_eus-gaap--AmortizationOfIntangib"/>
      <w:bookmarkEnd w:id="2232"/>
      <w:r>
        <w:rPr>
          <w:rFonts w:ascii="Times New Roman;Times;Serif" w:hAnsi="Times New Roman;Times;Serif"/>
          <w:b w:val="false"/>
          <w:i w:val="false"/>
          <w:caps w:val="false"/>
          <w:smallCaps w:val="false"/>
          <w:sz w:val="20"/>
        </w:rPr>
        <w:t xml:space="preserve">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233" w:name="xdx_8B2_zexh4YYINiPd"/>
      <w:bookmarkStart w:id="2234" w:name="xdx_894_eus-gaap--ScheduleofFiniteLivedI"/>
      <w:bookmarkEnd w:id="2233"/>
      <w:bookmarkEnd w:id="2234"/>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35" w:name="xdx_497_20251231_zrqoazeNFX2h"/>
            <w:bookmarkEnd w:id="2235"/>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36" w:name="xdx_98B_eus-gaap--FiniteLivedIntangibleA"/>
            <w:bookmarkEnd w:id="223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37" w:name="xdx_984_eus-gaap--FiniteLivedIntangibleA"/>
            <w:bookmarkEnd w:id="223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38" w:name="xdx_98B_eus-gaap--FiniteLivedIntangibleA"/>
            <w:bookmarkEnd w:id="223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39" w:name="xdx_982_eus-gaap--FiniteLivedIntangibleA"/>
            <w:bookmarkEnd w:id="223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40" w:name="xdx_984_eus-gaap--FiniteLivedIntangibleA"/>
            <w:bookmarkEnd w:id="224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bookmarkStart w:id="2241" w:name="xdx_40C_eus-gaap--FiniteLivedIntangibleA"/>
            <w:bookmarkEnd w:id="2241"/>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bookmarkStart w:id="2242" w:name="xdx_405_ecustom--FiniteLivedIntangibleAs"/>
            <w:bookmarkEnd w:id="2242"/>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43" w:name="xdx_8A9_zxMc3CFIfAfb"/>
      <w:bookmarkEnd w:id="224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44" w:name="xdx_80A_eus-gaap--AccountsPayableAccrued"/>
      <w:bookmarkEnd w:id="2244"/>
      <w:r>
        <w:rPr>
          <w:rFonts w:ascii="Times New Roman;Times;Serif" w:hAnsi="Times New Roman;Times;Serif"/>
          <w:b/>
          <w:i w:val="false"/>
          <w:caps w:val="false"/>
          <w:smallCaps w:val="false"/>
          <w:sz w:val="20"/>
        </w:rPr>
        <w:t xml:space="preserve">11. </w:t>
      </w:r>
      <w:bookmarkStart w:id="2245" w:name="xdx_82D_z9qOGz4Dx83k"/>
      <w:bookmarkEnd w:id="2245"/>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46" w:name="xdx_894_eus-gaap--ScheduleOfAccountsPaya"/>
      <w:bookmarkEnd w:id="2246"/>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247" w:name="xdx_8B3_zlvwfdB1wgUa"/>
      <w:bookmarkEnd w:id="2247"/>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48" w:name="xdx_49C_20251231_zqs0jzxXc0B3"/>
            <w:bookmarkEnd w:id="224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49" w:name="xdx_49D_20241231_zh69oFAIOKBg"/>
            <w:bookmarkEnd w:id="224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250" w:name="xdx_40D_ecustom--AccruedAccountingAndPro"/>
            <w:bookmarkEnd w:id="2250"/>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bookmarkStart w:id="2251" w:name="xdx_404_ecustom--SalesTaxPayableCurrent_"/>
            <w:bookmarkEnd w:id="2251"/>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bookmarkStart w:id="2252" w:name="xdx_407_ecustom--ExciseTaxPayableCurrent"/>
            <w:bookmarkEnd w:id="2252"/>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bookmarkStart w:id="2253" w:name="xdx_403_eus-gaap--AccruedIncomeTaxesCurr"/>
            <w:bookmarkEnd w:id="2253"/>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254" w:name="xdx_40C_ecustom--AccruedPayrollAndBenefi"/>
            <w:bookmarkEnd w:id="2254"/>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bookmarkStart w:id="2255" w:name="xdx_40E_ecustom--AccruedLegalCosts_iI_ma"/>
            <w:bookmarkEnd w:id="2255"/>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bookmarkStart w:id="2256" w:name="xdx_407_ecustom--AccruedSubscriptionCost"/>
            <w:bookmarkEnd w:id="2256"/>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bookmarkStart w:id="2257" w:name="xdx_40D_ecustom--AccruedStreamingService"/>
            <w:bookmarkEnd w:id="2257"/>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bookmarkStart w:id="2258" w:name="xdx_40D_eus-gaap--OtherLiabilitiesCurren"/>
            <w:bookmarkEnd w:id="2258"/>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bookmarkStart w:id="2259" w:name="xdx_400_eus-gaap--AccruedLiabilitiesAndO"/>
            <w:bookmarkEnd w:id="2259"/>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60" w:name="xdx_8AA_zgLFCcP7fI2i"/>
      <w:bookmarkEnd w:id="22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61" w:name="xdx_801_eus-gaap--DebtDisclosureTextBloc"/>
      <w:bookmarkEnd w:id="2261"/>
      <w:r>
        <w:rPr>
          <w:rFonts w:ascii="Times New Roman;Times;Serif" w:hAnsi="Times New Roman;Times;Serif"/>
          <w:b/>
          <w:i w:val="false"/>
          <w:caps w:val="false"/>
          <w:smallCaps w:val="false"/>
          <w:sz w:val="20"/>
        </w:rPr>
        <w:t xml:space="preserve">12. </w:t>
      </w:r>
      <w:bookmarkStart w:id="2262" w:name="xdx_827_zIvTAKZ2RXml"/>
      <w:bookmarkEnd w:id="2262"/>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w:t>
      </w:r>
      <w:bookmarkStart w:id="2263" w:name="xdx_901_eus-gaap--DebtInstrumentFaceAmou"/>
      <w:bookmarkEnd w:id="2263"/>
      <w:r>
        <w:rPr>
          <w:rFonts w:ascii="Times New Roman;Times;Serif" w:hAnsi="Times New Roman;Times;Serif"/>
          <w:b w:val="false"/>
          <w:i w:val="false"/>
          <w:caps w:val="false"/>
          <w:smallCaps w:val="false"/>
          <w:sz w:val="20"/>
        </w:rPr>
        <w:t xml:space="preserve">150,000 to Alco Investment Company (“Alco”), a related party. Alco held its ownership of over </w:t>
      </w:r>
      <w:bookmarkStart w:id="2264" w:name="xdx_901_eus-gaap--EquityMethodInvestment"/>
      <w:bookmarkEnd w:id="2264"/>
      <w:r>
        <w:rPr>
          <w:rFonts w:ascii="Times New Roman;Times;Serif" w:hAnsi="Times New Roman;Times;Serif"/>
          <w:b w:val="false"/>
          <w:i w:val="false"/>
          <w:caps w:val="false"/>
          <w:smallCaps w:val="false"/>
          <w:sz w:val="20"/>
        </w:rPr>
        <w:t xml:space="preserve">10% of the issued equity of the Company, through its ownership of Series A preferred stock. The Alco August Promissory Note bears interest at a rate of </w:t>
      </w:r>
      <w:bookmarkStart w:id="2265" w:name="xdx_90A_eus-gaap--DebtInstrumentInterest"/>
      <w:bookmarkEnd w:id="2265"/>
      <w:r>
        <w:rPr>
          <w:rFonts w:ascii="Times New Roman;Times;Serif" w:hAnsi="Times New Roman;Times;Serif"/>
          <w:b w:val="false"/>
          <w:i w:val="false"/>
          <w:caps w:val="false"/>
          <w:smallCaps w:val="false"/>
          <w:sz w:val="20"/>
        </w:rPr>
        <w:t xml:space="preserve">8% per annum. The outstanding principal and accrued interest are due and payable on </w:t>
      </w:r>
      <w:bookmarkStart w:id="2266" w:name="xdx_904_eus-gaap--DebtInstrumentMaturity"/>
      <w:bookmarkEnd w:id="2266"/>
      <w:r>
        <w:rPr>
          <w:rFonts w:ascii="Times New Roman;Times;Serif" w:hAnsi="Times New Roman;Times;Serif"/>
          <w:b w:val="false"/>
          <w:i w:val="false"/>
          <w:caps w:val="false"/>
          <w:smallCaps w:val="false"/>
          <w:sz w:val="20"/>
        </w:rPr>
        <w:t>April 29, 2024. For the year ended December 31, 2024, interest expense on the Alco August Promissory Note totaled $</w:t>
      </w:r>
      <w:bookmarkStart w:id="2267" w:name="xdx_905_eus-gaap--InterestExpense_c20240"/>
      <w:bookmarkEnd w:id="2267"/>
      <w:r>
        <w:rPr>
          <w:rFonts w:ascii="Times New Roman;Times;Serif" w:hAnsi="Times New Roman;Times;Serif"/>
          <w:b w:val="false"/>
          <w:i w:val="false"/>
          <w:caps w:val="false"/>
          <w:smallCaps w:val="false"/>
          <w:sz w:val="20"/>
        </w:rPr>
        <w:t>11,284, comprised of $</w:t>
      </w:r>
      <w:bookmarkStart w:id="2268" w:name="xdx_908_eus-gaap--InterestExpenseDebt_c2"/>
      <w:bookmarkEnd w:id="2268"/>
      <w:r>
        <w:rPr>
          <w:rFonts w:ascii="Times New Roman;Times;Serif" w:hAnsi="Times New Roman;Times;Serif"/>
          <w:b w:val="false"/>
          <w:i w:val="false"/>
          <w:caps w:val="false"/>
          <w:smallCaps w:val="false"/>
          <w:sz w:val="20"/>
        </w:rPr>
        <w:t>8,022 of contractual accrued interest and $</w:t>
      </w:r>
      <w:bookmarkStart w:id="2269" w:name="xdx_90D_eus-gaap--DebtRelatedCommitmentF"/>
      <w:bookmarkEnd w:id="2269"/>
      <w:r>
        <w:rPr>
          <w:rFonts w:ascii="Times New Roman;Times;Serif" w:hAnsi="Times New Roman;Times;Serif"/>
          <w:b w:val="false"/>
          <w:i w:val="false"/>
          <w:caps w:val="false"/>
          <w:smallCaps w:val="false"/>
          <w:sz w:val="20"/>
        </w:rPr>
        <w:t>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w:t>
      </w:r>
      <w:bookmarkStart w:id="2270" w:name="xdx_90F_eus-gaap--DebtInstrumentFaceAmou"/>
      <w:bookmarkEnd w:id="2270"/>
      <w:r>
        <w:rPr>
          <w:rFonts w:ascii="Times New Roman;Times;Serif" w:hAnsi="Times New Roman;Times;Serif"/>
          <w:b w:val="false"/>
          <w:i w:val="false"/>
          <w:caps w:val="false"/>
          <w:smallCaps w:val="false"/>
          <w:sz w:val="20"/>
        </w:rPr>
        <w:t xml:space="preserve">1,500,000 to Alco. The Alco September Promissory Note bears interest at a rate of </w:t>
      </w:r>
      <w:bookmarkStart w:id="2271" w:name="xdx_90E_eus-gaap--DebtInstrumentInterest"/>
      <w:bookmarkEnd w:id="2271"/>
      <w:r>
        <w:rPr>
          <w:rFonts w:ascii="Times New Roman;Times;Serif" w:hAnsi="Times New Roman;Times;Serif"/>
          <w:b w:val="false"/>
          <w:i w:val="false"/>
          <w:caps w:val="false"/>
          <w:smallCaps w:val="false"/>
          <w:sz w:val="20"/>
        </w:rPr>
        <w:t xml:space="preserve">8% per annum. The outstanding principal and accrued interest were due and payable on </w:t>
      </w:r>
      <w:bookmarkStart w:id="2272" w:name="xdx_90D_eus-gaap--DebtInstrumentMaturity"/>
      <w:bookmarkEnd w:id="2272"/>
      <w:r>
        <w:rPr>
          <w:rFonts w:ascii="Times New Roman;Times;Serif" w:hAnsi="Times New Roman;Times;Serif"/>
          <w:b w:val="false"/>
          <w:i w:val="false"/>
          <w:caps w:val="false"/>
          <w:smallCaps w:val="false"/>
          <w:sz w:val="20"/>
        </w:rPr>
        <w:t>September 30, 2024, however the due date was extended and the debt subsequently settled (see below). For the year ended December 31, 2024, interest expense on the Alco September Promissory Note totaled $</w:t>
      </w:r>
      <w:bookmarkStart w:id="2273" w:name="xdx_904_eus-gaap--InterestExpense_c20240"/>
      <w:bookmarkEnd w:id="2273"/>
      <w:r>
        <w:rPr>
          <w:rFonts w:ascii="Times New Roman;Times;Serif" w:hAnsi="Times New Roman;Times;Serif"/>
          <w:b w:val="false"/>
          <w:i w:val="false"/>
          <w:caps w:val="false"/>
          <w:smallCaps w:val="false"/>
          <w:sz w:val="20"/>
        </w:rPr>
        <w:t>283,188, comprised of $</w:t>
      </w:r>
      <w:bookmarkStart w:id="2274" w:name="xdx_901_eus-gaap--InterestExpenseDebt_c2"/>
      <w:bookmarkEnd w:id="2274"/>
      <w:r>
        <w:rPr>
          <w:rFonts w:ascii="Times New Roman;Times;Serif" w:hAnsi="Times New Roman;Times;Serif"/>
          <w:b w:val="false"/>
          <w:i w:val="false"/>
          <w:caps w:val="false"/>
          <w:smallCaps w:val="false"/>
          <w:sz w:val="20"/>
        </w:rPr>
        <w:t>92,822 of contractual accrued interest and $</w:t>
      </w:r>
      <w:bookmarkStart w:id="2275" w:name="xdx_90A_eus-gaap--DebtRelatedCommitmentF"/>
      <w:bookmarkEnd w:id="2275"/>
      <w:r>
        <w:rPr>
          <w:rFonts w:ascii="Times New Roman;Times;Serif" w:hAnsi="Times New Roman;Times;Serif"/>
          <w:b w:val="false"/>
          <w:i w:val="false"/>
          <w:caps w:val="false"/>
          <w:smallCaps w:val="false"/>
          <w:sz w:val="20"/>
        </w:rPr>
        <w:t>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w:t>
      </w:r>
      <w:bookmarkStart w:id="2276" w:name="xdx_908_eus-gaap--DebtInstrumentFaceAmou"/>
      <w:bookmarkEnd w:id="2276"/>
      <w:r>
        <w:rPr>
          <w:rFonts w:ascii="Times New Roman;Times;Serif" w:hAnsi="Times New Roman;Times;Serif"/>
          <w:b w:val="false"/>
          <w:i w:val="false"/>
          <w:caps w:val="false"/>
          <w:smallCaps w:val="false"/>
          <w:sz w:val="20"/>
        </w:rPr>
        <w:t xml:space="preserve">750,000 to Alco. The Alco November Promissory Note bears interest at a rate of </w:t>
      </w:r>
      <w:bookmarkStart w:id="2277" w:name="xdx_90F_eus-gaap--DebtInstrumentInterest"/>
      <w:bookmarkEnd w:id="2277"/>
      <w:r>
        <w:rPr>
          <w:rFonts w:ascii="Times New Roman;Times;Serif" w:hAnsi="Times New Roman;Times;Serif"/>
          <w:b w:val="false"/>
          <w:i w:val="false"/>
          <w:caps w:val="false"/>
          <w:smallCaps w:val="false"/>
          <w:sz w:val="20"/>
        </w:rPr>
        <w:t xml:space="preserve">8% per annum. The outstanding principal and accrued interest were due and payable on </w:t>
      </w:r>
      <w:bookmarkStart w:id="2278" w:name="xdx_900_eus-gaap--DebtInstrumentMaturity"/>
      <w:bookmarkEnd w:id="2278"/>
      <w:r>
        <w:rPr>
          <w:rFonts w:ascii="Times New Roman;Times;Serif" w:hAnsi="Times New Roman;Times;Serif"/>
          <w:b w:val="false"/>
          <w:i w:val="false"/>
          <w:caps w:val="false"/>
          <w:smallCaps w:val="false"/>
          <w:sz w:val="20"/>
        </w:rPr>
        <w:t>April 13, 2024, however the due date was extended and the debt subsequently settled (see below). For the year ended December 31, 2024, interest expense on the Alco November Promissory Note totaled $</w:t>
      </w:r>
      <w:bookmarkStart w:id="2279" w:name="xdx_906_eus-gaap--InterestExpense_c20240"/>
      <w:bookmarkEnd w:id="2279"/>
      <w:r>
        <w:rPr>
          <w:rFonts w:ascii="Times New Roman;Times;Serif" w:hAnsi="Times New Roman;Times;Serif"/>
          <w:b w:val="false"/>
          <w:i w:val="false"/>
          <w:caps w:val="false"/>
          <w:smallCaps w:val="false"/>
          <w:sz w:val="20"/>
        </w:rPr>
        <w:t>321,189, comprised of $</w:t>
      </w:r>
      <w:bookmarkStart w:id="2280" w:name="xdx_90F_eus-gaap--InterestExpenseDebt_c2"/>
      <w:bookmarkEnd w:id="2280"/>
      <w:r>
        <w:rPr>
          <w:rFonts w:ascii="Times New Roman;Times;Serif" w:hAnsi="Times New Roman;Times;Serif"/>
          <w:b w:val="false"/>
          <w:i w:val="false"/>
          <w:caps w:val="false"/>
          <w:smallCaps w:val="false"/>
          <w:sz w:val="20"/>
        </w:rPr>
        <w:t>43,891 of contractual accrued interest and $</w:t>
      </w:r>
      <w:bookmarkStart w:id="2281" w:name="xdx_900_eus-gaap--DebtRelatedCommitmentF"/>
      <w:bookmarkEnd w:id="2281"/>
      <w:r>
        <w:rPr>
          <w:rFonts w:ascii="Times New Roman;Times;Serif" w:hAnsi="Times New Roman;Times;Serif"/>
          <w:b w:val="false"/>
          <w:i w:val="false"/>
          <w:caps w:val="false"/>
          <w:smallCaps w:val="false"/>
          <w:sz w:val="20"/>
        </w:rPr>
        <w:t>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w:t>
      </w:r>
      <w:bookmarkStart w:id="2282" w:name="xdx_900_eus-gaap--DebtInstrumentFaceAmou"/>
      <w:bookmarkEnd w:id="2282"/>
      <w:r>
        <w:rPr>
          <w:rFonts w:ascii="Times New Roman;Times;Serif" w:hAnsi="Times New Roman;Times;Serif"/>
          <w:b w:val="false"/>
          <w:i w:val="false"/>
          <w:caps w:val="false"/>
          <w:smallCaps w:val="false"/>
          <w:sz w:val="20"/>
        </w:rPr>
        <w:t xml:space="preserve">2,000,000 to Alco. The Alco December Promissory Note bears interest at a rate of </w:t>
      </w:r>
      <w:bookmarkStart w:id="2283" w:name="xdx_903_eus-gaap--DebtInstrumentInterest"/>
      <w:bookmarkEnd w:id="2283"/>
      <w:r>
        <w:rPr>
          <w:rFonts w:ascii="Times New Roman;Times;Serif" w:hAnsi="Times New Roman;Times;Serif"/>
          <w:b w:val="false"/>
          <w:i w:val="false"/>
          <w:caps w:val="false"/>
          <w:smallCaps w:val="false"/>
          <w:sz w:val="20"/>
        </w:rPr>
        <w:t xml:space="preserve">8% per annum. The outstanding principal and accrued interest are due and payable on </w:t>
      </w:r>
      <w:bookmarkStart w:id="2284" w:name="xdx_906_eus-gaap--DebtInstrumentMaturity"/>
      <w:bookmarkEnd w:id="2284"/>
      <w:r>
        <w:rPr>
          <w:rFonts w:ascii="Times New Roman;Times;Serif" w:hAnsi="Times New Roman;Times;Serif"/>
          <w:b w:val="false"/>
          <w:i w:val="false"/>
          <w:caps w:val="false"/>
          <w:smallCaps w:val="false"/>
          <w:sz w:val="20"/>
        </w:rPr>
        <w:t>December 31, 2024. For the year ended December 31, 2024, interest expense on the Alco December Promissory Note totaled $</w:t>
      </w:r>
      <w:bookmarkStart w:id="2285" w:name="xdx_906_eus-gaap--InterestExpense_c20240"/>
      <w:bookmarkEnd w:id="2285"/>
      <w:r>
        <w:rPr>
          <w:rFonts w:ascii="Times New Roman;Times;Serif" w:hAnsi="Times New Roman;Times;Serif"/>
          <w:b w:val="false"/>
          <w:i w:val="false"/>
          <w:caps w:val="false"/>
          <w:smallCaps w:val="false"/>
          <w:sz w:val="20"/>
        </w:rPr>
        <w:t>936,941, comprised of $</w:t>
      </w:r>
      <w:bookmarkStart w:id="2286" w:name="xdx_90C_eus-gaap--InterestExpenseDebt_c2"/>
      <w:bookmarkEnd w:id="2286"/>
      <w:r>
        <w:rPr>
          <w:rFonts w:ascii="Times New Roman;Times;Serif" w:hAnsi="Times New Roman;Times;Serif"/>
          <w:b w:val="false"/>
          <w:i w:val="false"/>
          <w:caps w:val="false"/>
          <w:smallCaps w:val="false"/>
          <w:sz w:val="20"/>
        </w:rPr>
        <w:t>117,040 of contractual accrued interest and $</w:t>
      </w:r>
      <w:bookmarkStart w:id="2287" w:name="xdx_904_eus-gaap--DebtRelatedCommitmentF"/>
      <w:bookmarkEnd w:id="2287"/>
      <w:r>
        <w:rPr>
          <w:rFonts w:ascii="Times New Roman;Times;Serif" w:hAnsi="Times New Roman;Times;Serif"/>
          <w:b w:val="false"/>
          <w:i w:val="false"/>
          <w:caps w:val="false"/>
          <w:smallCaps w:val="false"/>
          <w:sz w:val="20"/>
        </w:rPr>
        <w:t>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issuances of the Alco September, November, and December Promissory Notes, the Company, 7GC and the Sponsor entered into share transfer agreements (the “Alco Share Transfer Agreements”) with Alco Investment Company. Pursuant to which </w:t>
      </w:r>
      <w:bookmarkStart w:id="2288" w:name="xdx_90A_eus-gaap--DebtConversionDescript"/>
      <w:bookmarkEnd w:id="2288"/>
      <w:r>
        <w:rPr>
          <w:rFonts w:ascii="Times New Roman;Times;Serif" w:hAnsi="Times New Roman;Times;Serif"/>
          <w:b w:val="false"/>
          <w:i w:val="false"/>
          <w:caps w:val="false"/>
          <w:smallCaps w:val="false"/>
          <w:sz w:val="20"/>
        </w:rPr>
        <w:t>for each $</w:t>
      </w:r>
      <w:bookmarkStart w:id="2289" w:name="xdx_900_eus-gaap--DebtInstrumentConverti"/>
      <w:bookmarkStart w:id="2290" w:name="xdx_909_eus-gaap--DebtInstrumentConverti"/>
      <w:bookmarkEnd w:id="2289"/>
      <w:bookmarkEnd w:id="2290"/>
      <w:r>
        <w:rPr>
          <w:rFonts w:ascii="Times New Roman;Times;Serif" w:hAnsi="Times New Roman;Times;Serif"/>
          <w:b w:val="false"/>
          <w:i w:val="false"/>
          <w:caps w:val="false"/>
          <w:smallCaps w:val="false"/>
          <w:sz w:val="20"/>
        </w:rPr>
        <w:t>10.00 in principal borrowed under the Alco September and November Promissory Notes, the Sponsor agreed to forfeit one share of 7GC Class B Common Stock held by the Sponsor, in exchange for the right of Alco to receive one New Banzai Class A Share. For each $</w:t>
      </w:r>
      <w:bookmarkStart w:id="2291" w:name="xdx_90C_eus-gaap--DebtInstrumentConverti"/>
      <w:bookmarkEnd w:id="2291"/>
      <w:r>
        <w:rPr>
          <w:rFonts w:ascii="Times New Roman;Times;Serif" w:hAnsi="Times New Roman;Times;Serif"/>
          <w:b w:val="false"/>
          <w:i w:val="false"/>
          <w:caps w:val="false"/>
          <w:smallCaps w:val="false"/>
          <w:sz w:val="20"/>
        </w:rPr>
        <w:t xml:space="preserve">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w:t>
      </w:r>
      <w:bookmarkStart w:id="2292" w:name="xdx_908_eus-gaap--DebtConversionConverte"/>
      <w:bookmarkEnd w:id="2292"/>
      <w:r>
        <w:rPr>
          <w:rFonts w:ascii="Times New Roman;Times;Serif" w:hAnsi="Times New Roman;Times;Serif"/>
          <w:b w:val="false"/>
          <w:i w:val="false"/>
          <w:caps w:val="false"/>
          <w:smallCaps w:val="false"/>
          <w:sz w:val="20"/>
        </w:rPr>
        <w:t xml:space="preserve">7,500, </w:t>
      </w:r>
      <w:bookmarkStart w:id="2293" w:name="xdx_903_eus-gaap--DebtConversionConverte"/>
      <w:bookmarkEnd w:id="2293"/>
      <w:r>
        <w:rPr>
          <w:rFonts w:ascii="Times New Roman;Times;Serif" w:hAnsi="Times New Roman;Times;Serif"/>
          <w:b w:val="false"/>
          <w:i w:val="false"/>
          <w:caps w:val="false"/>
          <w:smallCaps w:val="false"/>
          <w:sz w:val="20"/>
        </w:rPr>
        <w:t xml:space="preserve">3,750, and </w:t>
      </w:r>
      <w:bookmarkStart w:id="2294" w:name="xdx_902_eus-gaap--DebtConversionConverte"/>
      <w:bookmarkEnd w:id="2294"/>
      <w:r>
        <w:rPr>
          <w:rFonts w:ascii="Times New Roman;Times;Serif" w:hAnsi="Times New Roman;Times;Serif"/>
          <w:b w:val="false"/>
          <w:i w:val="false"/>
          <w:caps w:val="false"/>
          <w:smallCaps w:val="false"/>
          <w:sz w:val="20"/>
        </w:rPr>
        <w:t>30,000,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w:t>
      </w:r>
      <w:bookmarkStart w:id="2295" w:name="xdx_907_eus-gaap--DebtInstrumentMaturity"/>
      <w:bookmarkEnd w:id="2295"/>
      <w:r>
        <w:rPr>
          <w:rFonts w:ascii="Times New Roman;Times;Serif" w:hAnsi="Times New Roman;Times;Serif"/>
          <w:b w:val="false"/>
          <w:i w:val="false"/>
          <w:caps w:val="false"/>
          <w:smallCaps w:val="false"/>
          <w:sz w:val="20"/>
        </w:rPr>
        <w:t>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w:t>
      </w:r>
      <w:bookmarkStart w:id="2296" w:name="xdx_907_eus-gaap--ProceedsFromIssuanceOf"/>
      <w:bookmarkEnd w:id="2296"/>
      <w:r>
        <w:rPr>
          <w:rFonts w:ascii="Times New Roman;Times;Serif" w:hAnsi="Times New Roman;Times;Serif"/>
          <w:b w:val="false"/>
          <w:i w:val="false"/>
          <w:caps w:val="false"/>
          <w:smallCaps w:val="false"/>
          <w:sz w:val="20"/>
        </w:rPr>
        <w:t xml:space="preserve">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w:t>
      </w:r>
      <w:bookmarkStart w:id="2297" w:name="xdx_90E_eus-gaap--LoansPayableCurrent_iI"/>
      <w:bookmarkEnd w:id="2297"/>
      <w:r>
        <w:rPr>
          <w:rFonts w:ascii="Times New Roman;Times;Serif" w:hAnsi="Times New Roman;Times;Serif"/>
          <w:b w:val="false"/>
          <w:i w:val="false"/>
          <w:caps w:val="false"/>
          <w:smallCaps w:val="false"/>
          <w:sz w:val="20"/>
        </w:rPr>
        <w:t xml:space="preserve">4,711,681 of debt inclusive of principal and accrued interest, representing the aggregate total balance outstanding to Alco as of that date (excluding the carrying value of debt discounts), into </w:t>
      </w:r>
      <w:bookmarkStart w:id="2298" w:name="xdx_902_eus-gaap--StockIssuedDuringPerio"/>
      <w:bookmarkEnd w:id="2298"/>
      <w:r>
        <w:rPr>
          <w:rFonts w:ascii="Times New Roman;Times;Serif" w:hAnsi="Times New Roman;Times;Serif"/>
          <w:b w:val="false"/>
          <w:i w:val="false"/>
          <w:caps w:val="false"/>
          <w:smallCaps w:val="false"/>
          <w:sz w:val="20"/>
        </w:rPr>
        <w:t xml:space="preserve">14,121 shares of Class A Common Stock, Warrants to purchase up to </w:t>
      </w:r>
      <w:bookmarkStart w:id="2299" w:name="xdx_90B_ecustom--WarrantsIssued_c2024091"/>
      <w:bookmarkEnd w:id="2299"/>
      <w:r>
        <w:rPr>
          <w:rFonts w:ascii="Times New Roman;Times;Serif" w:hAnsi="Times New Roman;Times;Serif"/>
          <w:b w:val="false"/>
          <w:i w:val="false"/>
          <w:caps w:val="false"/>
          <w:smallCaps w:val="false"/>
          <w:sz w:val="20"/>
        </w:rPr>
        <w:t xml:space="preserve">66,567 shares of Class A Common Stock and Pre-Funded Warrants to purchase up to </w:t>
      </w:r>
      <w:bookmarkStart w:id="2300" w:name="xdx_90A_ecustom--WarrantsIssued_c2024091"/>
      <w:bookmarkEnd w:id="2300"/>
      <w:r>
        <w:rPr>
          <w:rFonts w:ascii="Times New Roman;Times;Serif" w:hAnsi="Times New Roman;Times;Serif"/>
          <w:b w:val="false"/>
          <w:i w:val="false"/>
          <w:caps w:val="false"/>
          <w:smallCaps w:val="false"/>
          <w:sz w:val="20"/>
        </w:rPr>
        <w:t xml:space="preserve">52,446 shares of Class A Common Stock (collectively, the “Alco Securities”), and in full settlement of the balance outstanding to Alco. The Company recognized the issuance of the Alco Securities, on </w:t>
      </w:r>
      <w:bookmarkStart w:id="2301" w:name="xdx_90A_eus-gaap--DebtConversionConverte"/>
      <w:bookmarkEnd w:id="2301"/>
      <w:r>
        <w:rPr>
          <w:rFonts w:ascii="Times New Roman;Times;Serif" w:hAnsi="Times New Roman;Times;Serif"/>
          <w:b w:val="false"/>
          <w:i w:val="false"/>
          <w:caps w:val="false"/>
          <w:smallCaps w:val="false"/>
          <w:sz w:val="20"/>
        </w:rPr>
        <w:t>September 19, 2024, in full settlement of all amounts owing to Alco. The grant date fair value of the Class A Common Stock, Warrants to purchase shares of Class A Common Stock and Pre-Funded Warrants to purchase shares of Class A Common Stock, were determined to be $</w:t>
      </w:r>
      <w:bookmarkStart w:id="2302" w:name="xdx_90A_eus-gaap--StockIssuedDuringPerio"/>
      <w:bookmarkEnd w:id="2302"/>
      <w:r>
        <w:rPr>
          <w:rFonts w:ascii="Times New Roman;Times;Serif" w:hAnsi="Times New Roman;Times;Serif"/>
          <w:b w:val="false"/>
          <w:i w:val="false"/>
          <w:caps w:val="false"/>
          <w:smallCaps w:val="false"/>
          <w:sz w:val="20"/>
        </w:rPr>
        <w:t>1,098,614, $</w:t>
      </w:r>
      <w:bookmarkStart w:id="2303" w:name="xdx_90C_ecustom--WarrantsIssuanceGrantDa"/>
      <w:bookmarkEnd w:id="2303"/>
      <w:r>
        <w:rPr>
          <w:rFonts w:ascii="Times New Roman;Times;Serif" w:hAnsi="Times New Roman;Times;Serif"/>
          <w:b w:val="false"/>
          <w:i w:val="false"/>
          <w:caps w:val="false"/>
          <w:smallCaps w:val="false"/>
          <w:sz w:val="20"/>
        </w:rPr>
        <w:t>3,687,812, and $</w:t>
      </w:r>
      <w:bookmarkStart w:id="2304" w:name="xdx_90D_ecustom--WarrantsIssuanceGrantDa"/>
      <w:bookmarkEnd w:id="2304"/>
      <w:r>
        <w:rPr>
          <w:rFonts w:ascii="Times New Roman;Times;Serif" w:hAnsi="Times New Roman;Times;Serif"/>
          <w:b w:val="false"/>
          <w:i w:val="false"/>
          <w:caps w:val="false"/>
          <w:smallCaps w:val="false"/>
          <w:sz w:val="20"/>
        </w:rPr>
        <w:t>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w:t>
      </w:r>
      <w:bookmarkStart w:id="2305" w:name="xdx_901_eus-gaap--LoansPayableCurrent_iI"/>
      <w:bookmarkEnd w:id="2305"/>
      <w:r>
        <w:rPr>
          <w:rFonts w:ascii="Times New Roman;Times;Serif" w:hAnsi="Times New Roman;Times;Serif"/>
          <w:b w:val="false"/>
          <w:i w:val="false"/>
          <w:caps w:val="false"/>
          <w:smallCaps w:val="false"/>
          <w:sz w:val="20"/>
        </w:rPr>
        <w:t xml:space="preserve">2,540,091 balance was converted into </w:t>
      </w:r>
      <w:bookmarkStart w:id="2306" w:name="xdx_900_eus-gaap--StockIssuedDuringPerio"/>
      <w:bookmarkEnd w:id="2306"/>
      <w:r>
        <w:rPr>
          <w:rFonts w:ascii="Times New Roman;Times;Serif" w:hAnsi="Times New Roman;Times;Serif"/>
          <w:b w:val="false"/>
          <w:i w:val="false"/>
          <w:caps w:val="false"/>
          <w:smallCaps w:val="false"/>
          <w:sz w:val="20"/>
        </w:rPr>
        <w:t>891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w:t>
      </w:r>
      <w:bookmarkStart w:id="2307" w:name="xdx_907_eus-gaap--CommonStockValue_iI_c2"/>
      <w:bookmarkEnd w:id="2307"/>
      <w:r>
        <w:rPr>
          <w:rFonts w:ascii="Times New Roman;Times;Serif" w:hAnsi="Times New Roman;Times;Serif"/>
          <w:b w:val="false"/>
          <w:i w:val="false"/>
          <w:caps w:val="false"/>
          <w:smallCaps w:val="false"/>
          <w:sz w:val="20"/>
        </w:rPr>
        <w:t xml:space="preserve">100,000,000 and the Company was required to make and execute a warrant (“GEM Warrant”). The Company’s obligation to issue the GEM Warrant remained, granting GEM the right to purchase Class A Common Stock in an amount equal to </w:t>
      </w:r>
      <w:bookmarkStart w:id="2308" w:name="xdx_907_ecustom--PercentageOfRightToConv"/>
      <w:bookmarkEnd w:id="2308"/>
      <w:r>
        <w:rPr>
          <w:rFonts w:ascii="Times New Roman;Times;Serif" w:hAnsi="Times New Roman;Times;Serif"/>
          <w:b w:val="false"/>
          <w:i w:val="false"/>
          <w:caps w:val="false"/>
          <w:smallCaps w:val="false"/>
          <w:sz w:val="20"/>
        </w:rPr>
        <w:t>3% of the total number of equity interests outstanding as of the Closing, calculated on a fully diluted basis, at an exercise price on the terms and conditions set forth therein, in exchange for issuance of a $</w:t>
      </w:r>
      <w:bookmarkStart w:id="2309" w:name="xdx_903_eus-gaap--ConvertibleDebt_iI_pn5"/>
      <w:bookmarkEnd w:id="2309"/>
      <w:r>
        <w:rPr>
          <w:rFonts w:ascii="Times New Roman;Times;Serif" w:hAnsi="Times New Roman;Times;Serif"/>
          <w:b w:val="false"/>
          <w:i w:val="false"/>
          <w:caps w:val="false"/>
          <w:smallCaps w:val="false"/>
          <w:sz w:val="20"/>
        </w:rPr>
        <w:t xml:space="preserve">2.0 million convertible debenture with a </w:t>
      </w:r>
      <w:bookmarkStart w:id="2310" w:name="xdx_903_eus-gaap--DebtInstrumentTerm_pid"/>
      <w:bookmarkEnd w:id="2310"/>
      <w:r>
        <w:rPr>
          <w:rFonts w:ascii="Times New Roman;Times;Serif" w:hAnsi="Times New Roman;Times;Serif"/>
          <w:b w:val="false"/>
          <w:i w:val="false"/>
          <w:caps w:val="false"/>
          <w:smallCaps w:val="false"/>
          <w:sz w:val="20"/>
        </w:rPr>
        <w:t xml:space="preserve">5five-year maturity and </w:t>
      </w:r>
      <w:bookmarkStart w:id="2311" w:name="xdx_909_ecustom--CouponRate_iI_pid_dp_uP"/>
      <w:bookmarkEnd w:id="2311"/>
      <w:r>
        <w:rPr>
          <w:rFonts w:ascii="Times New Roman;Times;Serif" w:hAnsi="Times New Roman;Times;Serif"/>
          <w:b w:val="false"/>
          <w:i w:val="false"/>
          <w:caps w:val="false"/>
          <w:smallCaps w:val="false"/>
          <w:sz w:val="20"/>
        </w:rPr>
        <w:t>0% coupon. Due to the determination of the final terms of the planned $</w:t>
      </w:r>
      <w:bookmarkStart w:id="2312" w:name="xdx_903_eus-gaap--ConvertibleDebt_iI_pn5"/>
      <w:bookmarkEnd w:id="2312"/>
      <w:r>
        <w:rPr>
          <w:rFonts w:ascii="Times New Roman;Times;Serif" w:hAnsi="Times New Roman;Times;Serif"/>
          <w:b w:val="false"/>
          <w:i w:val="false"/>
          <w:caps w:val="false"/>
          <w:smallCaps w:val="false"/>
          <w:sz w:val="20"/>
        </w:rPr>
        <w:t>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w:t>
      </w:r>
      <w:bookmarkStart w:id="2313" w:name="xdx_903_eus-gaap--DebtInstrumentFeeAmoun"/>
      <w:bookmarkEnd w:id="2313"/>
      <w:r>
        <w:rPr>
          <w:rFonts w:ascii="Times New Roman;Times;Serif" w:hAnsi="Times New Roman;Times;Serif"/>
          <w:b w:val="false"/>
          <w:i w:val="false"/>
          <w:caps w:val="false"/>
          <w:smallCaps w:val="false"/>
          <w:sz w:val="20"/>
        </w:rPr>
        <w:t>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w:t>
      </w:r>
      <w:bookmarkStart w:id="2314" w:name="xdx_900_ecustom--DebtInstrumentCashAgree"/>
      <w:bookmarkEnd w:id="2314"/>
      <w:r>
        <w:rPr>
          <w:rFonts w:ascii="Times New Roman;Times;Serif" w:hAnsi="Times New Roman;Times;Serif"/>
          <w:b w:val="false"/>
          <w:i w:val="false"/>
          <w:caps w:val="false"/>
          <w:smallCaps w:val="false"/>
          <w:sz w:val="20"/>
        </w:rPr>
        <w:t>1.2 million in cash within three business days of the GEM Settlement Agreement and (ii) issued to GEM, on February 5, 2024, an unsecured promissory zero coupon note in the amount of $</w:t>
      </w:r>
      <w:bookmarkStart w:id="2315" w:name="xdx_90A_eus-gaap--DebtInstrumentFaceAmou"/>
      <w:bookmarkEnd w:id="2315"/>
      <w:r>
        <w:rPr>
          <w:rFonts w:ascii="Times New Roman;Times;Serif" w:hAnsi="Times New Roman;Times;Serif"/>
          <w:b w:val="false"/>
          <w:i w:val="false"/>
          <w:caps w:val="false"/>
          <w:smallCaps w:val="false"/>
          <w:sz w:val="20"/>
        </w:rPr>
        <w:t>1.0 million, payable in monthly installments of $</w:t>
      </w:r>
      <w:bookmarkStart w:id="2316" w:name="xdx_90C_eus-gaap--DebtInstrumentPeriodic"/>
      <w:bookmarkEnd w:id="2316"/>
      <w:r>
        <w:rPr>
          <w:rFonts w:ascii="Times New Roman;Times;Serif" w:hAnsi="Times New Roman;Times;Serif"/>
          <w:b w:val="false"/>
          <w:i w:val="false"/>
          <w:caps w:val="false"/>
          <w:smallCaps w:val="false"/>
          <w:sz w:val="20"/>
        </w:rPr>
        <w:t>100,000 beginning on March 1, 2024, with the final payment to be made on December 1, 2024 (the “GEM Promissory Note”). The Company paid GEM the $</w:t>
      </w:r>
      <w:bookmarkStart w:id="2317" w:name="xdx_903_eus-gaap--RepaymentsOfLongTermDe"/>
      <w:bookmarkEnd w:id="2317"/>
      <w:r>
        <w:rPr>
          <w:rFonts w:ascii="Times New Roman;Times;Serif" w:hAnsi="Times New Roman;Times;Serif"/>
          <w:b w:val="false"/>
          <w:i w:val="false"/>
          <w:caps w:val="false"/>
          <w:smallCaps w:val="false"/>
          <w:sz w:val="20"/>
        </w:rPr>
        <w:t>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w:t>
      </w:r>
      <w:bookmarkStart w:id="2318" w:name="xdx_90A_ecustom--SharesIssuableUnderProm"/>
      <w:bookmarkEnd w:id="2318"/>
      <w:r>
        <w:rPr>
          <w:rFonts w:ascii="Times New Roman;Times;Serif" w:hAnsi="Times New Roman;Times;Serif"/>
          <w:b w:val="false"/>
          <w:i w:val="false"/>
          <w:caps w:val="false"/>
          <w:smallCaps w:val="false"/>
          <w:sz w:val="20"/>
        </w:rPr>
        <w:t>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issued an aggregate of </w:t>
      </w:r>
      <w:bookmarkStart w:id="2319" w:name="xdx_903_ecustom--SharesIssuableUnderProm"/>
      <w:bookmarkEnd w:id="2319"/>
      <w:r>
        <w:rPr>
          <w:rFonts w:ascii="Times New Roman;Times;Serif" w:hAnsi="Times New Roman;Times;Serif"/>
          <w:b w:val="false"/>
          <w:i w:val="false"/>
          <w:caps w:val="false"/>
          <w:smallCaps w:val="false"/>
          <w:sz w:val="20"/>
        </w:rPr>
        <w:t>950 shares of Class A Common Stock to GEM in lieu of monthly payment obligations and during the year ended December 31, 2025 the Company paid an aggregate of $</w:t>
      </w:r>
      <w:bookmarkStart w:id="2320" w:name="xdx_90D_eus-gaap--ConvertibleDebt_iI_pp0"/>
      <w:bookmarkEnd w:id="2320"/>
      <w:r>
        <w:rPr>
          <w:rFonts w:ascii="Times New Roman;Times;Serif" w:hAnsi="Times New Roman;Times;Serif"/>
          <w:b w:val="false"/>
          <w:i w:val="false"/>
          <w:caps w:val="false"/>
          <w:smallCaps w:val="false"/>
          <w:sz w:val="20"/>
        </w:rPr>
        <w:t>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w:t>
      </w:r>
      <w:bookmarkStart w:id="2321" w:name="xdx_90D_eus-gaap--DebtInstrumentFaceAmou"/>
      <w:bookmarkEnd w:id="2321"/>
      <w:r>
        <w:rPr>
          <w:rFonts w:ascii="Times New Roman;Times;Serif" w:hAnsi="Times New Roman;Times;Serif"/>
          <w:b w:val="false"/>
          <w:i w:val="false"/>
          <w:caps w:val="false"/>
          <w:smallCaps w:val="false"/>
          <w:sz w:val="20"/>
        </w:rPr>
        <w:t>3,500,000, $</w:t>
      </w:r>
      <w:bookmarkStart w:id="2322" w:name="xdx_904_eus-gaap--DebtInstrumentFaceAmou"/>
      <w:bookmarkEnd w:id="2322"/>
      <w:r>
        <w:rPr>
          <w:rFonts w:ascii="Times New Roman;Times;Serif" w:hAnsi="Times New Roman;Times;Serif"/>
          <w:b w:val="false"/>
          <w:i w:val="false"/>
          <w:caps w:val="false"/>
          <w:smallCaps w:val="false"/>
          <w:sz w:val="20"/>
        </w:rPr>
        <w:t>2,000,000 of which was funded at the Closing in exchange for the issuance by the Company of a Convertible Promissory Note (the “December Yorkville Convertible Note”). The Company received net proceeds of $</w:t>
      </w:r>
      <w:bookmarkStart w:id="2323" w:name="xdx_905_eus-gaap--ProceedsFromIssuanceOf"/>
      <w:bookmarkEnd w:id="2323"/>
      <w:r>
        <w:rPr>
          <w:rFonts w:ascii="Times New Roman;Times;Serif" w:hAnsi="Times New Roman;Times;Serif"/>
          <w:b w:val="false"/>
          <w:i w:val="false"/>
          <w:caps w:val="false"/>
          <w:smallCaps w:val="false"/>
          <w:sz w:val="20"/>
        </w:rPr>
        <w:t>1,800,000 after a non-cash original issue discount of $</w:t>
      </w:r>
      <w:bookmarkStart w:id="2324" w:name="xdx_90A_eus-gaap--AmortizationOfDebtDisc"/>
      <w:bookmarkEnd w:id="2324"/>
      <w:r>
        <w:rPr>
          <w:rFonts w:ascii="Times New Roman;Times;Serif" w:hAnsi="Times New Roman;Times;Serif"/>
          <w:b w:val="false"/>
          <w:i w:val="false"/>
          <w:caps w:val="false"/>
          <w:smallCaps w:val="false"/>
          <w:sz w:val="20"/>
        </w:rPr>
        <w:t>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w:t>
      </w:r>
      <w:bookmarkStart w:id="2325" w:name="xdx_909_ecustom--IncreasedPrincipalAmoun"/>
      <w:bookmarkEnd w:id="2325"/>
      <w:r>
        <w:rPr>
          <w:rFonts w:ascii="Times New Roman;Times;Serif" w:hAnsi="Times New Roman;Times;Serif"/>
          <w:b w:val="false"/>
          <w:i w:val="false"/>
          <w:caps w:val="false"/>
          <w:smallCaps w:val="false"/>
          <w:sz w:val="20"/>
        </w:rPr>
        <w:t>1,000,000 (the “Additional Pre-Paid Advance Amount”), for an aggregate principal amount of $</w:t>
      </w:r>
      <w:bookmarkStart w:id="2326" w:name="xdx_901_eus-gaap--DebtInstrumentFaceAmou"/>
      <w:bookmarkEnd w:id="2326"/>
      <w:r>
        <w:rPr>
          <w:rFonts w:ascii="Times New Roman;Times;Serif" w:hAnsi="Times New Roman;Times;Serif"/>
          <w:b w:val="false"/>
          <w:i w:val="false"/>
          <w:caps w:val="false"/>
          <w:smallCaps w:val="false"/>
          <w:sz w:val="20"/>
        </w:rPr>
        <w:t>4,500,000 to be advanced by Yorkville to the Company in the form of convertible promissory notes. On February 5, 2024 in exchange for a promissory note in the principal amount of $</w:t>
      </w:r>
      <w:bookmarkStart w:id="2327" w:name="xdx_903_eus-gaap--DebtInstrumentFaceAmou"/>
      <w:bookmarkEnd w:id="2327"/>
      <w:r>
        <w:rPr>
          <w:rFonts w:ascii="Times New Roman;Times;Serif" w:hAnsi="Times New Roman;Times;Serif"/>
          <w:b w:val="false"/>
          <w:i w:val="false"/>
          <w:caps w:val="false"/>
          <w:smallCaps w:val="false"/>
          <w:sz w:val="20"/>
        </w:rPr>
        <w:t>1,000,000 (the “February Yorkville Promissory Note”), with the same terms as the December Yorkville Convertible Note, the Company received net proceeds of $</w:t>
      </w:r>
      <w:bookmarkStart w:id="2328" w:name="xdx_901_eus-gaap--ProceedsFromIssuanceOf"/>
      <w:bookmarkEnd w:id="2328"/>
      <w:r>
        <w:rPr>
          <w:rFonts w:ascii="Times New Roman;Times;Serif" w:hAnsi="Times New Roman;Times;Serif"/>
          <w:b w:val="false"/>
          <w:i w:val="false"/>
          <w:caps w:val="false"/>
          <w:smallCaps w:val="false"/>
          <w:sz w:val="20"/>
        </w:rPr>
        <w:t>900,000 after an original issue discount of $</w:t>
      </w:r>
      <w:bookmarkStart w:id="2329" w:name="xdx_90A_eus-gaap--AmortizationOfDebtDisc"/>
      <w:bookmarkEnd w:id="2329"/>
      <w:r>
        <w:rPr>
          <w:rFonts w:ascii="Times New Roman;Times;Serif" w:hAnsi="Times New Roman;Times;Serif"/>
          <w:b w:val="false"/>
          <w:i w:val="false"/>
          <w:caps w:val="false"/>
          <w:smallCaps w:val="false"/>
          <w:sz w:val="20"/>
        </w:rPr>
        <w:t>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w:t>
      </w:r>
      <w:bookmarkStart w:id="2330" w:name="xdx_908_eus-gaap--DebtInstrumentFaceAmou"/>
      <w:bookmarkEnd w:id="2330"/>
      <w:r>
        <w:rPr>
          <w:rFonts w:ascii="Times New Roman;Times;Serif" w:hAnsi="Times New Roman;Times;Serif"/>
          <w:b w:val="false"/>
          <w:i w:val="false"/>
          <w:caps w:val="false"/>
          <w:smallCaps w:val="false"/>
          <w:sz w:val="20"/>
        </w:rPr>
        <w:t>1,500,000 (the “March Yorkville Promissory Note” and, together with the December Yorkville Convertible Note and February Yorkville Promissory Note, the “Yorkville Promissory Notes”), received net proceeds of $</w:t>
      </w:r>
      <w:bookmarkStart w:id="2331" w:name="xdx_908_eus-gaap--ProceedsFromIssuanceOf"/>
      <w:bookmarkEnd w:id="2331"/>
      <w:r>
        <w:rPr>
          <w:rFonts w:ascii="Times New Roman;Times;Serif" w:hAnsi="Times New Roman;Times;Serif"/>
          <w:b w:val="false"/>
          <w:i w:val="false"/>
          <w:caps w:val="false"/>
          <w:smallCaps w:val="false"/>
          <w:sz w:val="20"/>
        </w:rPr>
        <w:t>1,250,000 after an original issue discount of $</w:t>
      </w:r>
      <w:bookmarkStart w:id="2332" w:name="xdx_906_eus-gaap--AmortizationOfDebtDisc"/>
      <w:bookmarkEnd w:id="2332"/>
      <w:r>
        <w:rPr>
          <w:rFonts w:ascii="Times New Roman;Times;Serif" w:hAnsi="Times New Roman;Times;Serif"/>
          <w:b w:val="false"/>
          <w:i w:val="false"/>
          <w:caps w:val="false"/>
          <w:smallCaps w:val="false"/>
          <w:sz w:val="20"/>
        </w:rPr>
        <w:t>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w:t>
      </w:r>
      <w:bookmarkStart w:id="2333" w:name="xdx_906_eus-gaap--RepaymentsOfConvertibl"/>
      <w:bookmarkEnd w:id="2333"/>
      <w:r>
        <w:rPr>
          <w:rFonts w:ascii="Times New Roman;Times;Serif" w:hAnsi="Times New Roman;Times;Serif"/>
          <w:b w:val="false"/>
          <w:i w:val="false"/>
          <w:caps w:val="false"/>
          <w:smallCaps w:val="false"/>
          <w:sz w:val="20"/>
        </w:rPr>
        <w:t>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w:t>
      </w:r>
      <w:bookmarkStart w:id="2334" w:name="xdx_907_eus-gaap--RedemptionPremium_pp0p"/>
      <w:bookmarkEnd w:id="2334"/>
      <w:r>
        <w:rPr>
          <w:rFonts w:ascii="Times New Roman;Times;Serif" w:hAnsi="Times New Roman;Times;Serif"/>
          <w:b w:val="false"/>
          <w:i w:val="false"/>
          <w:caps w:val="false"/>
          <w:smallCaps w:val="false"/>
          <w:sz w:val="20"/>
        </w:rPr>
        <w:t>200,000 payment premium due in connection with an early redemption through the issuance of an Advance Notice (as defined in the SEPA) for shares of the Company’s Class A Common Stock, par value $</w:t>
      </w:r>
      <w:bookmarkStart w:id="2335" w:name="xdx_90C_eus-gaap--SharesIssuedPricePerSh"/>
      <w:bookmarkEnd w:id="2335"/>
      <w:r>
        <w:rPr>
          <w:rFonts w:ascii="Times New Roman;Times;Serif" w:hAnsi="Times New Roman;Times;Serif"/>
          <w:b w:val="false"/>
          <w:i w:val="false"/>
          <w:caps w:val="false"/>
          <w:smallCaps w:val="false"/>
          <w:sz w:val="20"/>
        </w:rPr>
        <w:t xml:space="preserve">0.0001 per share. The Original Debt Repayment Agreement was conditioned on the completion of the offering by </w:t>
      </w:r>
      <w:bookmarkStart w:id="2336" w:name="xdx_908_eus-gaap--DebtInstrumentOffering"/>
      <w:bookmarkEnd w:id="2336"/>
      <w:r>
        <w:rPr>
          <w:rFonts w:ascii="Times New Roman;Times;Serif" w:hAnsi="Times New Roman;Times;Serif"/>
          <w:b w:val="false"/>
          <w:i w:val="false"/>
          <w:caps w:val="false"/>
          <w:smallCaps w:val="false"/>
          <w:sz w:val="20"/>
        </w:rPr>
        <w:t>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w:t>
      </w:r>
      <w:bookmarkStart w:id="2337" w:name="xdx_901_eus-gaap--DebtInstrumentFaceAmou"/>
      <w:bookmarkEnd w:id="2337"/>
      <w:r>
        <w:rPr>
          <w:rFonts w:ascii="Times New Roman;Times;Serif" w:hAnsi="Times New Roman;Times;Serif"/>
          <w:b w:val="false"/>
          <w:i w:val="false"/>
          <w:caps w:val="false"/>
          <w:smallCaps w:val="false"/>
          <w:sz w:val="20"/>
        </w:rPr>
        <w:t>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w:t>
      </w:r>
      <w:bookmarkStart w:id="2338" w:name="xdx_906_eus-gaap--RepaymentsOfDebt_c2024"/>
      <w:bookmarkEnd w:id="2338"/>
      <w:r>
        <w:rPr>
          <w:rFonts w:ascii="Times New Roman;Times;Serif" w:hAnsi="Times New Roman;Times;Serif"/>
          <w:b w:val="false"/>
          <w:i w:val="false"/>
          <w:caps w:val="false"/>
          <w:smallCaps w:val="false"/>
          <w:sz w:val="20"/>
        </w:rPr>
        <w:t>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w:t>
      </w:r>
      <w:bookmarkStart w:id="2339" w:name="xdx_90B_ecustom--AggregatePrincipalAmoun"/>
      <w:bookmarkEnd w:id="2339"/>
      <w:r>
        <w:rPr>
          <w:rFonts w:ascii="Times New Roman;Times;Serif" w:hAnsi="Times New Roman;Times;Serif"/>
          <w:b w:val="false"/>
          <w:i w:val="false"/>
          <w:caps w:val="false"/>
          <w:smallCaps w:val="false"/>
          <w:sz w:val="20"/>
        </w:rPr>
        <w:t xml:space="preserve">750,000 on May 31, 2024 (the “Repayment Date”), and issued an Advance Notice for the purchase of </w:t>
      </w:r>
      <w:bookmarkStart w:id="2340" w:name="xdx_905_eus-gaap--StockIssuedDuringPerio"/>
      <w:bookmarkEnd w:id="2340"/>
      <w:r>
        <w:rPr>
          <w:rFonts w:ascii="Times New Roman;Times;Serif" w:hAnsi="Times New Roman;Times;Serif"/>
          <w:b w:val="false"/>
          <w:i w:val="false"/>
          <w:caps w:val="false"/>
          <w:smallCaps w:val="false"/>
          <w:sz w:val="20"/>
        </w:rPr>
        <w:t>60 shares of Class A Common Stock (the “Premium Advance Shares”) (representing the number of shares the Company reasonably believed would be sufficient to result in net proceeds of $</w:t>
      </w:r>
      <w:bookmarkStart w:id="2341" w:name="xdx_907_eus-gaap--ProceedsFromIssuanceOf"/>
      <w:bookmarkEnd w:id="2341"/>
      <w:r>
        <w:rPr>
          <w:rFonts w:ascii="Times New Roman;Times;Serif" w:hAnsi="Times New Roman;Times;Serif"/>
          <w:b w:val="false"/>
          <w:i w:val="false"/>
          <w:caps w:val="false"/>
          <w:smallCaps w:val="false"/>
          <w:sz w:val="20"/>
        </w:rPr>
        <w:t>75,000 as of the Repayment Date) (the “Premium Advance”). The total purchase price for the Premium Advance was $</w:t>
      </w:r>
      <w:bookmarkStart w:id="2342" w:name="xdx_908_eus-gaap--DebtInstrumentUnamorti"/>
      <w:bookmarkEnd w:id="2342"/>
      <w:r>
        <w:rPr>
          <w:rFonts w:ascii="Times New Roman;Times;Serif" w:hAnsi="Times New Roman;Times;Serif"/>
          <w:b w:val="false"/>
          <w:i w:val="false"/>
          <w:caps w:val="false"/>
          <w:smallCaps w:val="false"/>
          <w:sz w:val="20"/>
        </w:rPr>
        <w:t>110,040, of which $</w:t>
      </w:r>
      <w:bookmarkStart w:id="2343" w:name="xdx_904_eus-gaap--RedemptionPremium_c202"/>
      <w:bookmarkEnd w:id="2343"/>
      <w:r>
        <w:rPr>
          <w:rFonts w:ascii="Times New Roman;Times;Serif" w:hAnsi="Times New Roman;Times;Serif"/>
          <w:b w:val="false"/>
          <w:i w:val="false"/>
          <w:caps w:val="false"/>
          <w:smallCaps w:val="false"/>
          <w:sz w:val="20"/>
        </w:rPr>
        <w:t>75,000 was applied in satisfaction of the Payment Premium, and the remaining $</w:t>
      </w:r>
      <w:bookmarkStart w:id="2344" w:name="xdx_900_eus-gaap--ProceedsFromRepayments"/>
      <w:bookmarkEnd w:id="2344"/>
      <w:r>
        <w:rPr>
          <w:rFonts w:ascii="Times New Roman;Times;Serif" w:hAnsi="Times New Roman;Times;Serif"/>
          <w:b w:val="false"/>
          <w:i w:val="false"/>
          <w:caps w:val="false"/>
          <w:smallCaps w:val="false"/>
          <w:sz w:val="20"/>
        </w:rPr>
        <w:t>35,040 was paid by Yorkville to the Company in cash (the “Cash Surplus”). The Premium Advance Shares were recorded at fair value totaling $</w:t>
      </w:r>
      <w:bookmarkStart w:id="2345" w:name="xdx_905_eus-gaap--DebtInstrumentFairValu"/>
      <w:bookmarkEnd w:id="2345"/>
      <w:r>
        <w:rPr>
          <w:rFonts w:ascii="Times New Roman;Times;Serif" w:hAnsi="Times New Roman;Times;Serif"/>
          <w:b w:val="false"/>
          <w:i w:val="false"/>
          <w:caps w:val="false"/>
          <w:smallCaps w:val="false"/>
          <w:sz w:val="20"/>
        </w:rPr>
        <w:t>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w:t>
      </w:r>
      <w:bookmarkStart w:id="2346" w:name="xdx_90D_eus-gaap--RepaymentsOfDebt_pn5n6"/>
      <w:bookmarkEnd w:id="2346"/>
      <w:r>
        <w:rPr>
          <w:rFonts w:ascii="Times New Roman;Times;Serif" w:hAnsi="Times New Roman;Times;Serif"/>
          <w:b w:val="false"/>
          <w:i w:val="false"/>
          <w:caps w:val="false"/>
          <w:smallCaps w:val="false"/>
          <w:sz w:val="20"/>
        </w:rPr>
        <w:t>0.7 million, with no remaining interest, the floor price, as described in the Outstanding Promissory Notes, was adjusted to $400.00,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w:t>
      </w:r>
      <w:bookmarkStart w:id="2347" w:name="xdx_906_eus-gaap--DebtInstrumentMaturity"/>
      <w:bookmarkEnd w:id="2347"/>
      <w:r>
        <w:rPr>
          <w:rFonts w:ascii="Times New Roman;Times;Serif" w:hAnsi="Times New Roman;Times;Serif"/>
          <w:b w:val="false"/>
          <w:i w:val="false"/>
          <w:caps w:val="false"/>
          <w:smallCaps w:val="false"/>
          <w:sz w:val="20"/>
          <w:shd w:fill="FFFFFF" w:val="clear"/>
        </w:rPr>
        <w:t xml:space="preserve">January 17, 2025, and accrue interest at </w:t>
      </w:r>
      <w:bookmarkStart w:id="2348" w:name="xdx_90B_eus-gaap--DebtInstrumentInterest"/>
      <w:bookmarkEnd w:id="2348"/>
      <w:r>
        <w:rPr>
          <w:rFonts w:ascii="Times New Roman;Times;Serif" w:hAnsi="Times New Roman;Times;Serif"/>
          <w:b w:val="false"/>
          <w:i w:val="false"/>
          <w:caps w:val="false"/>
          <w:smallCaps w:val="false"/>
          <w:sz w:val="20"/>
          <w:shd w:fill="FFFFFF" w:val="clear"/>
        </w:rPr>
        <w:t xml:space="preserve">0% per annum, subject to an increase to </w:t>
      </w:r>
      <w:bookmarkStart w:id="2349" w:name="xdx_902_eus-gaap--DebtInstrumentInterest"/>
      <w:bookmarkEnd w:id="2349"/>
      <w:r>
        <w:rPr>
          <w:rFonts w:ascii="Times New Roman;Times;Serif" w:hAnsi="Times New Roman;Times;Serif"/>
          <w:b w:val="false"/>
          <w:i w:val="false"/>
          <w:caps w:val="false"/>
          <w:smallCaps w:val="false"/>
          <w:sz w:val="20"/>
          <w:shd w:fill="FFFFFF" w:val="clear"/>
        </w:rPr>
        <w:t xml:space="preserve">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Yorkville will not have the right to convert any portion of the principal to the extent that after giving effect to such conversion, Yorkville would beneficially own in excess of </w:t>
      </w:r>
      <w:bookmarkStart w:id="2350" w:name="xdx_903_eus-gaap--DebtConversionConverte"/>
      <w:bookmarkEnd w:id="2350"/>
      <w:r>
        <w:rPr>
          <w:rFonts w:ascii="Times New Roman;Times;Serif" w:hAnsi="Times New Roman;Times;Serif"/>
          <w:b w:val="false"/>
          <w:i w:val="false"/>
          <w:caps w:val="false"/>
          <w:smallCaps w:val="false"/>
          <w:sz w:val="20"/>
        </w:rPr>
        <w:t>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at its option, shall have the right, but not the obligation, to redeem early a portion or all amounts outstanding under the Promissory Notes at a redemption amount equal to the outstanding principal balance being repaid or redeemed, plus a </w:t>
      </w:r>
      <w:bookmarkStart w:id="2351" w:name="xdx_902_ecustom--PercentageOfPrepaymentP"/>
      <w:bookmarkEnd w:id="2351"/>
      <w:r>
        <w:rPr>
          <w:rFonts w:ascii="Times New Roman;Times;Serif" w:hAnsi="Times New Roman;Times;Serif"/>
          <w:b w:val="false"/>
          <w:i w:val="false"/>
          <w:caps w:val="false"/>
          <w:smallCaps w:val="false"/>
          <w:sz w:val="20"/>
        </w:rPr>
        <w:t>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w:t>
      </w:r>
      <w:bookmarkStart w:id="2352" w:name="xdx_907_eus-gaap--RepaymentsOfConvertibl"/>
      <w:bookmarkEnd w:id="2352"/>
      <w:r>
        <w:rPr>
          <w:rFonts w:ascii="Times New Roman;Times;Serif" w:hAnsi="Times New Roman;Times;Serif"/>
          <w:b w:val="false"/>
          <w:i w:val="false"/>
          <w:caps w:val="false"/>
          <w:smallCaps w:val="false"/>
          <w:sz w:val="20"/>
        </w:rPr>
        <w:t xml:space="preserve">1,000,000, plus (y) </w:t>
      </w:r>
      <w:bookmarkStart w:id="2353" w:name="xdx_905_ecustom--PercentageOfRepaymentOf"/>
      <w:bookmarkEnd w:id="2353"/>
      <w:r>
        <w:rPr>
          <w:rFonts w:ascii="Times New Roman;Times;Serif" w:hAnsi="Times New Roman;Times;Serif"/>
          <w:b w:val="false"/>
          <w:i w:val="false"/>
          <w:caps w:val="false"/>
          <w:smallCaps w:val="false"/>
          <w:sz w:val="20"/>
        </w:rPr>
        <w:t>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w:t>
      </w:r>
      <w:bookmarkStart w:id="2354" w:name="xdx_90D_ecustom--MaximumFloorPrice_iI_c2"/>
      <w:bookmarkEnd w:id="2354"/>
      <w:r>
        <w:rPr>
          <w:rFonts w:ascii="Times New Roman;Times;Serif" w:hAnsi="Times New Roman;Times;Serif"/>
          <w:b w:val="false"/>
          <w:i w:val="false"/>
          <w:caps w:val="false"/>
          <w:smallCaps w:val="false"/>
          <w:sz w:val="20"/>
        </w:rPr>
        <w:t>400.00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w:t>
      </w:r>
      <w:bookmarkStart w:id="2355" w:name="xdx_903_ecustom--FloorPrice_iI_c20240131"/>
      <w:bookmarkEnd w:id="2355"/>
      <w:r>
        <w:rPr>
          <w:rFonts w:ascii="Times New Roman;Times;Serif" w:hAnsi="Times New Roman;Times;Serif"/>
          <w:b w:val="false"/>
          <w:i w:val="false"/>
          <w:caps w:val="false"/>
          <w:smallCaps w:val="false"/>
          <w:sz w:val="20"/>
        </w:rPr>
        <w:t>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t>
      </w:r>
      <w:bookmarkStart w:id="2356" w:name="xdx_908_eus-gaap--ProceedsFromRepayments"/>
      <w:bookmarkEnd w:id="2356"/>
      <w:r>
        <w:rPr>
          <w:rFonts w:ascii="Times New Roman;Times;Serif" w:hAnsi="Times New Roman;Times;Serif"/>
          <w:b w:val="false"/>
          <w:i w:val="false"/>
          <w:caps w:val="false"/>
          <w:smallCaps w:val="false"/>
          <w:sz w:val="20"/>
        </w:rPr>
        <w:t xml:space="preserve">2,000,000 of the full outstanding principal under the December Yorkville Convertible Note, respectively, was converted into </w:t>
      </w:r>
      <w:bookmarkStart w:id="2357" w:name="xdx_909_eus-gaap--ConversionOfStockShare"/>
      <w:bookmarkEnd w:id="2357"/>
      <w:r>
        <w:rPr>
          <w:rFonts w:ascii="Times New Roman;Times;Serif" w:hAnsi="Times New Roman;Times;Serif"/>
          <w:b w:val="false"/>
          <w:i w:val="false"/>
          <w:caps w:val="false"/>
          <w:smallCaps w:val="false"/>
          <w:sz w:val="20"/>
        </w:rPr>
        <w:t>1,377 shares of Class A Common stock of the Company. During the year ended December 31, 2024, the full principal amount of $</w:t>
      </w:r>
      <w:bookmarkStart w:id="2358" w:name="xdx_908_eus-gaap--DebtInstrumentFaceAmou"/>
      <w:bookmarkEnd w:id="2358"/>
      <w:r>
        <w:rPr>
          <w:rFonts w:ascii="Times New Roman;Times;Serif" w:hAnsi="Times New Roman;Times;Serif"/>
          <w:b w:val="false"/>
          <w:i w:val="false"/>
          <w:caps w:val="false"/>
          <w:smallCaps w:val="false"/>
          <w:sz w:val="20"/>
        </w:rPr>
        <w:t xml:space="preserve">1,000,000 under the February Yorkville Promissory Note was converted into </w:t>
      </w:r>
      <w:bookmarkStart w:id="2359" w:name="xdx_90A_eus-gaap--ConversionOfStockShare"/>
      <w:bookmarkEnd w:id="2359"/>
      <w:r>
        <w:rPr>
          <w:rFonts w:ascii="Times New Roman;Times;Serif" w:hAnsi="Times New Roman;Times;Serif"/>
          <w:b w:val="false"/>
          <w:i w:val="false"/>
          <w:caps w:val="false"/>
          <w:smallCaps w:val="false"/>
          <w:sz w:val="20"/>
        </w:rPr>
        <w:t>145 Class A Common stock of the Company. During the year ended December 31, 2024, the full outstanding principal amount of $</w:t>
      </w:r>
      <w:bookmarkStart w:id="2360" w:name="xdx_909_eus-gaap--DebtInstrumentFaceAmou"/>
      <w:bookmarkEnd w:id="2360"/>
      <w:r>
        <w:rPr>
          <w:rFonts w:ascii="Times New Roman;Times;Serif" w:hAnsi="Times New Roman;Times;Serif"/>
          <w:b w:val="false"/>
          <w:i w:val="false"/>
          <w:caps w:val="false"/>
          <w:smallCaps w:val="false"/>
          <w:sz w:val="20"/>
        </w:rPr>
        <w:t xml:space="preserve">750,000 under the March Yorkville Promissory Note was converted into </w:t>
      </w:r>
      <w:bookmarkStart w:id="2361" w:name="xdx_90A_eus-gaap--ConversionOfStockShare"/>
      <w:bookmarkEnd w:id="2361"/>
      <w:r>
        <w:rPr>
          <w:rFonts w:ascii="Times New Roman;Times;Serif" w:hAnsi="Times New Roman;Times;Serif"/>
          <w:b w:val="false"/>
          <w:i w:val="false"/>
          <w:caps w:val="false"/>
          <w:smallCaps w:val="false"/>
          <w:sz w:val="20"/>
        </w:rPr>
        <w:t>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w:t>
      </w:r>
      <w:bookmarkStart w:id="2362" w:name="xdx_90F_eus-gaap--DebtInstrumentFaceAmou"/>
      <w:bookmarkEnd w:id="2362"/>
      <w:r>
        <w:rPr>
          <w:rFonts w:ascii="Times New Roman;Times;Serif" w:hAnsi="Times New Roman;Times;Serif"/>
          <w:b w:val="false"/>
          <w:i w:val="false"/>
          <w:caps w:val="false"/>
          <w:smallCaps w:val="false"/>
          <w:sz w:val="20"/>
        </w:rPr>
        <w:t>3,500,000. The Company received net proceeds of $</w:t>
      </w:r>
      <w:bookmarkStart w:id="2363" w:name="xdx_907_eus-gaap--ProceedsFromIssuanceOf"/>
      <w:bookmarkEnd w:id="2363"/>
      <w:r>
        <w:rPr>
          <w:rFonts w:ascii="Times New Roman;Times;Serif" w:hAnsi="Times New Roman;Times;Serif"/>
          <w:b w:val="false"/>
          <w:i w:val="false"/>
          <w:caps w:val="false"/>
          <w:smallCaps w:val="false"/>
          <w:sz w:val="20"/>
        </w:rPr>
        <w:t>3,140,000 after an original issue discount of $</w:t>
      </w:r>
      <w:bookmarkStart w:id="2364" w:name="xdx_90B_eus-gaap--AmortizationOfDebtDisc"/>
      <w:bookmarkEnd w:id="2364"/>
      <w:r>
        <w:rPr>
          <w:rFonts w:ascii="Times New Roman;Times;Serif" w:hAnsi="Times New Roman;Times;Serif"/>
          <w:b w:val="false"/>
          <w:i w:val="false"/>
          <w:caps w:val="false"/>
          <w:smallCaps w:val="false"/>
          <w:sz w:val="20"/>
        </w:rPr>
        <w:t>350,000, and $</w:t>
      </w:r>
      <w:bookmarkStart w:id="2365" w:name="xdx_900_eus-gaap--DeferredFinanceCostsNe"/>
      <w:bookmarkEnd w:id="2365"/>
      <w:r>
        <w:rPr>
          <w:rFonts w:ascii="Times New Roman;Times;Serif" w:hAnsi="Times New Roman;Times;Serif"/>
          <w:b w:val="false"/>
          <w:i w:val="false"/>
          <w:caps w:val="false"/>
          <w:smallCaps w:val="false"/>
          <w:sz w:val="20"/>
        </w:rPr>
        <w:t>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w:t>
      </w:r>
      <w:bookmarkStart w:id="2366" w:name="xdx_909_eus-gaap--RepaymentsOfConvertibl"/>
      <w:bookmarkEnd w:id="2366"/>
      <w:r>
        <w:rPr>
          <w:rFonts w:ascii="Times New Roman;Times;Serif" w:hAnsi="Times New Roman;Times;Serif"/>
          <w:b w:val="false"/>
          <w:i w:val="false"/>
          <w:caps w:val="false"/>
          <w:smallCaps w:val="false"/>
          <w:sz w:val="20"/>
        </w:rPr>
        <w:t xml:space="preserve">1,000,000 of principal (or the outstanding Principal if less than such amount), plus (ii) a payment premium (in an amount equal to </w:t>
      </w:r>
      <w:bookmarkStart w:id="2367" w:name="xdx_90D_ecustom--ConvertiblePromissoryNo"/>
      <w:bookmarkEnd w:id="2367"/>
      <w:r>
        <w:rPr>
          <w:rFonts w:ascii="Times New Roman;Times;Serif" w:hAnsi="Times New Roman;Times;Serif"/>
          <w:b w:val="false"/>
          <w:i w:val="false"/>
          <w:caps w:val="false"/>
          <w:smallCaps w:val="false"/>
          <w:sz w:val="20"/>
        </w:rPr>
        <w:t xml:space="preserve">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w:t>
      </w:r>
      <w:bookmarkStart w:id="2368" w:name="xdx_905_eus-gaap--DebtInstrumentInterest"/>
      <w:bookmarkEnd w:id="2368"/>
      <w:r>
        <w:rPr>
          <w:rFonts w:ascii="Times New Roman;Times;Serif" w:hAnsi="Times New Roman;Times;Serif"/>
          <w:b w:val="false"/>
          <w:i w:val="false"/>
          <w:caps w:val="false"/>
          <w:smallCaps w:val="false"/>
          <w:sz w:val="20"/>
        </w:rPr>
        <w:t xml:space="preserve">0% for the first 90 days following the Issuance Date, and 6% thereafter (the “Interest Rate”). The Interest Rate shall increase to an annual rate of </w:t>
      </w:r>
      <w:bookmarkStart w:id="2369" w:name="xdx_909_eus-gaap--DebtInstrumentInterest"/>
      <w:bookmarkEnd w:id="2369"/>
      <w:r>
        <w:rPr>
          <w:rFonts w:ascii="Times New Roman;Times;Serif" w:hAnsi="Times New Roman;Times;Serif"/>
          <w:b w:val="false"/>
          <w:i w:val="false"/>
          <w:caps w:val="false"/>
          <w:smallCaps w:val="false"/>
          <w:sz w:val="20"/>
        </w:rPr>
        <w:t>18% upon the occurrence of an Event of Default (as defined by the January 2025 Yorkville Note). The January 2025 Yorkville Note is convertible into shares of the Company’s Class A common stock, par value $</w:t>
      </w:r>
      <w:bookmarkStart w:id="2370" w:name="xdx_90E_eus-gaap--CommonStockParOrStated"/>
      <w:bookmarkEnd w:id="2370"/>
      <w:r>
        <w:rPr>
          <w:rFonts w:ascii="Times New Roman;Times;Serif" w:hAnsi="Times New Roman;Times;Serif"/>
          <w:b w:val="false"/>
          <w:i w:val="false"/>
          <w:caps w:val="false"/>
          <w:smallCaps w:val="false"/>
          <w:sz w:val="20"/>
        </w:rPr>
        <w:t>0.0001 per share (the “Class A Common Stock”), at a conversion price of $</w:t>
      </w:r>
      <w:bookmarkStart w:id="2371" w:name="xdx_90B_eus-gaap--DebtInstrumentConverti"/>
      <w:bookmarkEnd w:id="2371"/>
      <w:r>
        <w:rPr>
          <w:rFonts w:ascii="Times New Roman;Times;Serif" w:hAnsi="Times New Roman;Times;Serif"/>
          <w:b w:val="false"/>
          <w:i w:val="false"/>
          <w:caps w:val="false"/>
          <w:smallCaps w:val="false"/>
          <w:sz w:val="20"/>
        </w:rPr>
        <w:t xml:space="preserve">400.00 per share (the “Conversion Price”). The Investor may elect to convert part or all of the outstanding balance of the Note at any time or from time to time after the Issuance Date. The Company may prepay the outstanding amount at any time, in whole or in part, subject to a </w:t>
      </w:r>
      <w:bookmarkStart w:id="2372" w:name="xdx_90D_ecustom--ConvertiblePromissoryNo"/>
      <w:bookmarkEnd w:id="2372"/>
      <w:r>
        <w:rPr>
          <w:rFonts w:ascii="Times New Roman;Times;Serif" w:hAnsi="Times New Roman;Times;Serif"/>
          <w:b w:val="false"/>
          <w:i w:val="false"/>
          <w:caps w:val="false"/>
          <w:smallCaps w:val="false"/>
          <w:sz w:val="20"/>
        </w:rPr>
        <w:t xml:space="preserve">4% premium, provided that (i) the Company provides the Investor with at least </w:t>
      </w:r>
      <w:bookmarkStart w:id="2373" w:name="xdx_903_ecustom--MinimumRedemptionNotice"/>
      <w:bookmarkEnd w:id="2373"/>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w:t>
      </w:r>
      <w:bookmarkStart w:id="2374" w:name="xdx_909_eus-gaap--DebtInstrumentAnnualPr"/>
      <w:bookmarkEnd w:id="2374"/>
      <w:r>
        <w:rPr>
          <w:rFonts w:ascii="Times New Roman;Times;Serif" w:hAnsi="Times New Roman;Times;Serif"/>
          <w:b w:val="false"/>
          <w:i w:val="false"/>
          <w:caps w:val="false"/>
          <w:smallCaps w:val="false"/>
          <w:sz w:val="20"/>
        </w:rPr>
        <w:t>3,640,000, of which approximately $</w:t>
      </w:r>
      <w:bookmarkStart w:id="2375" w:name="xdx_900_eus-gaap--DebtInstrumentIssuedPr"/>
      <w:bookmarkEnd w:id="2375"/>
      <w:r>
        <w:rPr>
          <w:rFonts w:ascii="Times New Roman;Times;Serif" w:hAnsi="Times New Roman;Times;Serif"/>
          <w:b w:val="false"/>
          <w:i w:val="false"/>
          <w:caps w:val="false"/>
          <w:smallCaps w:val="false"/>
          <w:sz w:val="20"/>
        </w:rPr>
        <w:t>3,500,000 was applied against outstanding principal, and approximately $</w:t>
      </w:r>
      <w:bookmarkStart w:id="2376" w:name="xdx_904_eus-gaap--RedemptionPremium_c202"/>
      <w:bookmarkEnd w:id="2376"/>
      <w:r>
        <w:rPr>
          <w:rFonts w:ascii="Times New Roman;Times;Serif" w:hAnsi="Times New Roman;Times;Serif"/>
          <w:b w:val="false"/>
          <w:i w:val="false"/>
          <w:caps w:val="false"/>
          <w:smallCaps w:val="false"/>
          <w:sz w:val="20"/>
        </w:rPr>
        <w:t>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Convertible Promissory Note (the “September 2025 Yorkville Note”) with Yorkville in principal amount of $</w:t>
      </w:r>
      <w:bookmarkStart w:id="2377" w:name="xdx_90E_eus-gaap--DebtInstrumentFaceAmou"/>
      <w:bookmarkEnd w:id="2377"/>
      <w:r>
        <w:rPr>
          <w:rFonts w:ascii="Times New Roman;Times;Serif" w:hAnsi="Times New Roman;Times;Serif"/>
          <w:b w:val="false"/>
          <w:i w:val="false"/>
          <w:caps w:val="false"/>
          <w:smallCaps w:val="false"/>
          <w:sz w:val="20"/>
        </w:rPr>
        <w:t>2,000,000 (the “Original Principal Amount”) to the Company, to be used as an advance under the SEPA. The Company received $</w:t>
      </w:r>
      <w:bookmarkStart w:id="2378" w:name="xdx_903_eus-gaap--ProceedsFromIssuanceOf"/>
      <w:bookmarkEnd w:id="2378"/>
      <w:r>
        <w:rPr>
          <w:rFonts w:ascii="Times New Roman;Times;Serif" w:hAnsi="Times New Roman;Times;Serif"/>
          <w:b w:val="false"/>
          <w:i w:val="false"/>
          <w:caps w:val="false"/>
          <w:smallCaps w:val="false"/>
          <w:sz w:val="20"/>
        </w:rPr>
        <w:t xml:space="preserve">890,000 from the Investor on that same date (“Advance #1), which reflects </w:t>
      </w:r>
      <w:bookmarkStart w:id="2379" w:name="xdx_90D_eus-gaap--DebtInstrumentInterest"/>
      <w:bookmarkEnd w:id="2379"/>
      <w:r>
        <w:rPr>
          <w:rFonts w:ascii="Times New Roman;Times;Serif" w:hAnsi="Times New Roman;Times;Serif"/>
          <w:b w:val="false"/>
          <w:i w:val="false"/>
          <w:caps w:val="false"/>
          <w:smallCaps w:val="false"/>
          <w:sz w:val="20"/>
        </w:rPr>
        <w:t xml:space="preserve">50% of the Original Principal Amount, less </w:t>
      </w:r>
      <w:bookmarkStart w:id="2380" w:name="xdx_900_ecustom--DebtInstrumentInterestR"/>
      <w:bookmarkEnd w:id="2380"/>
      <w:r>
        <w:rPr>
          <w:rFonts w:ascii="Times New Roman;Times;Serif" w:hAnsi="Times New Roman;Times;Serif"/>
          <w:b w:val="false"/>
          <w:i w:val="false"/>
          <w:caps w:val="false"/>
          <w:smallCaps w:val="false"/>
          <w:sz w:val="20"/>
        </w:rPr>
        <w:t xml:space="preserve">10% discount, and certain fees owed at such time. Upon the effectiveness of the registration statement on Form S-1, originally filed with the SEC on September 12, 2025 (File No. 333-290241) and the delivery of a closing statement, the Company received the remaining </w:t>
      </w:r>
      <w:bookmarkStart w:id="2381" w:name="xdx_90C_ecustom--DebtInstrumentPaymentRa"/>
      <w:bookmarkEnd w:id="2381"/>
      <w:r>
        <w:rPr>
          <w:rFonts w:ascii="Times New Roman;Times;Serif" w:hAnsi="Times New Roman;Times;Serif"/>
          <w:b w:val="false"/>
          <w:i w:val="false"/>
          <w:caps w:val="false"/>
          <w:smallCaps w:val="false"/>
          <w:sz w:val="20"/>
        </w:rPr>
        <w:t>50% of the Original Principal Amount, or $</w:t>
      </w:r>
      <w:bookmarkStart w:id="2382" w:name="xdx_90F_eus-gaap--RepaymentsOfLongTermDe"/>
      <w:bookmarkEnd w:id="2382"/>
      <w:r>
        <w:rPr>
          <w:rFonts w:ascii="Times New Roman;Times;Serif" w:hAnsi="Times New Roman;Times;Serif"/>
          <w:b w:val="false"/>
          <w:i w:val="false"/>
          <w:caps w:val="false"/>
          <w:smallCaps w:val="false"/>
          <w:sz w:val="20"/>
        </w:rPr>
        <w:t xml:space="preserve">1,000,000, less </w:t>
      </w:r>
      <w:bookmarkStart w:id="2383" w:name="xdx_905_ecustom--DebtInstrumentInterestR"/>
      <w:bookmarkEnd w:id="2383"/>
      <w:r>
        <w:rPr>
          <w:rFonts w:ascii="Times New Roman;Times;Serif" w:hAnsi="Times New Roman;Times;Serif"/>
          <w:b w:val="false"/>
          <w:i w:val="false"/>
          <w:caps w:val="false"/>
          <w:smallCaps w:val="false"/>
          <w:sz w:val="20"/>
        </w:rPr>
        <w:t xml:space="preserve">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September 2025 Yorkville Note was issued on September 16, 2025 and the maturity date of the September 2025 Yorkville Note is </w:t>
      </w:r>
      <w:bookmarkStart w:id="2384" w:name="xdx_90C_eus-gaap--DebtInstrumentMaturity"/>
      <w:bookmarkEnd w:id="2384"/>
      <w:r>
        <w:rPr>
          <w:rFonts w:ascii="Times New Roman;Times;Serif" w:hAnsi="Times New Roman;Times;Serif"/>
          <w:b w:val="false"/>
          <w:i w:val="false"/>
          <w:caps w:val="false"/>
          <w:smallCaps w:val="false"/>
          <w:sz w:val="20"/>
          <w:shd w:fill="FFFFFF" w:val="clear"/>
        </w:rPr>
        <w:t>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and continuing on the same day of each successive calendar month thereafter, (each, an “Installment Date”), the Company shall repay a portion of the outstanding balance of the Note in an amount equal to the sum of (i) $</w:t>
      </w:r>
      <w:bookmarkStart w:id="2385" w:name="xdx_902_eus-gaap--RepaymentsOfConvertibl"/>
      <w:bookmarkEnd w:id="2385"/>
      <w:r>
        <w:rPr>
          <w:rFonts w:ascii="Times New Roman;Times;Serif" w:hAnsi="Times New Roman;Times;Serif"/>
          <w:b w:val="false"/>
          <w:i w:val="false"/>
          <w:caps w:val="false"/>
          <w:smallCaps w:val="false"/>
          <w:sz w:val="20"/>
        </w:rPr>
        <w:t xml:space="preserve">500,000 of principal (or the outstanding Principal if less than such amount), plus (ii) a payment premium in an amount equal to </w:t>
      </w:r>
      <w:bookmarkStart w:id="2386" w:name="xdx_906_ecustom--ConvertiblePromissoryNo"/>
      <w:bookmarkEnd w:id="2386"/>
      <w:r>
        <w:rPr>
          <w:rFonts w:ascii="Times New Roman;Times;Serif" w:hAnsi="Times New Roman;Times;Serif"/>
          <w:b w:val="false"/>
          <w:i w:val="false"/>
          <w:caps w:val="false"/>
          <w:smallCaps w:val="false"/>
          <w:sz w:val="20"/>
        </w:rPr>
        <w:t xml:space="preserve">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w:t>
      </w:r>
      <w:bookmarkStart w:id="2387" w:name="xdx_907_eus-gaap--InvestmentInterestRate"/>
      <w:bookmarkEnd w:id="2387"/>
      <w:r>
        <w:rPr>
          <w:rFonts w:ascii="Times New Roman;Times;Serif" w:hAnsi="Times New Roman;Times;Serif"/>
          <w:b w:val="false"/>
          <w:i w:val="false"/>
          <w:caps w:val="false"/>
          <w:smallCaps w:val="false"/>
          <w:sz w:val="20"/>
        </w:rPr>
        <w:t xml:space="preserve">6%, which shall increase to </w:t>
      </w:r>
      <w:bookmarkStart w:id="2388" w:name="xdx_90B_eus-gaap--DebtInstrumentInterest"/>
      <w:bookmarkEnd w:id="2388"/>
      <w:r>
        <w:rPr>
          <w:rFonts w:ascii="Times New Roman;Times;Serif" w:hAnsi="Times New Roman;Times;Serif"/>
          <w:b w:val="false"/>
          <w:i w:val="false"/>
          <w:caps w:val="false"/>
          <w:smallCaps w:val="false"/>
          <w:sz w:val="20"/>
        </w:rPr>
        <w:t>18% upon the occurrence of an Event of Default, as defined in the September 2025 Yorkville Note. The September 2025 Yorkville Note is convertible into shares of the Company’s Class A common stock, par value $</w:t>
      </w:r>
      <w:bookmarkStart w:id="2389" w:name="xdx_901_eus-gaap--CommonStockParOrStated"/>
      <w:bookmarkEnd w:id="2389"/>
      <w:r>
        <w:rPr>
          <w:rFonts w:ascii="Times New Roman;Times;Serif" w:hAnsi="Times New Roman;Times;Serif"/>
          <w:b w:val="false"/>
          <w:i w:val="false"/>
          <w:caps w:val="false"/>
          <w:smallCaps w:val="false"/>
          <w:sz w:val="20"/>
        </w:rPr>
        <w:t>0.0001 per share, at a conversion price of $</w:t>
      </w:r>
      <w:bookmarkStart w:id="2390" w:name="xdx_90E_eus-gaap--DebtInstrumentConverti"/>
      <w:bookmarkEnd w:id="2390"/>
      <w:r>
        <w:rPr>
          <w:rFonts w:ascii="Times New Roman;Times;Serif" w:hAnsi="Times New Roman;Times;Serif"/>
          <w:b w:val="false"/>
          <w:i w:val="false"/>
          <w:caps w:val="false"/>
          <w:smallCaps w:val="false"/>
          <w:sz w:val="20"/>
        </w:rPr>
        <w:t xml:space="preserve">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xml:space="preserve">. The Company maintains the right to redeem all or any part of the September 2025 Yorkville Note, at any time, provided that (i) the Company provides the Investor with at least </w:t>
      </w:r>
      <w:bookmarkStart w:id="2391" w:name="xdx_90D_ecustom--MinimumRedemptionNotice"/>
      <w:bookmarkEnd w:id="2391"/>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issued an Advance Notice to Yorkville pursuant to the SEPA in which the Company requested the purchase of </w:t>
      </w:r>
      <w:bookmarkStart w:id="2392" w:name="xdx_903_eus-gaap--StockIssuedDuringPerio"/>
      <w:bookmarkEnd w:id="2392"/>
      <w:r>
        <w:rPr>
          <w:rFonts w:ascii="Times New Roman;Times;Serif" w:hAnsi="Times New Roman;Times;Serif"/>
          <w:b w:val="false"/>
          <w:i w:val="false"/>
          <w:caps w:val="false"/>
          <w:smallCaps w:val="false"/>
          <w:sz w:val="20"/>
        </w:rPr>
        <w:t>5,750 shares of the Company’s Class A Common Stock at a purchase price of $</w:t>
      </w:r>
      <w:bookmarkStart w:id="2393" w:name="xdx_90C_eus-gaap--SharesIssuedPricePerSh"/>
      <w:bookmarkEnd w:id="2393"/>
      <w:r>
        <w:rPr>
          <w:rFonts w:ascii="Times New Roman;Times;Serif" w:hAnsi="Times New Roman;Times;Serif"/>
          <w:b w:val="false"/>
          <w:i w:val="false"/>
          <w:caps w:val="false"/>
          <w:smallCaps w:val="false"/>
          <w:sz w:val="20"/>
        </w:rPr>
        <w:t>61.60 for a total purchase price of $</w:t>
      </w:r>
      <w:bookmarkStart w:id="2394" w:name="xdx_909_eus-gaap--ProceedsFromOtherEquit"/>
      <w:bookmarkEnd w:id="2394"/>
      <w:r>
        <w:rPr>
          <w:rFonts w:ascii="Times New Roman;Times;Serif" w:hAnsi="Times New Roman;Times;Serif"/>
          <w:b w:val="false"/>
          <w:i w:val="false"/>
          <w:caps w:val="false"/>
          <w:smallCaps w:val="false"/>
          <w:sz w:val="20"/>
        </w:rPr>
        <w:t xml:space="preserve">354,074 to be applied against the outstanding Yorkville Convertible Notes. Upon settlement on October 8, 2025, the Company issued </w:t>
      </w:r>
      <w:bookmarkStart w:id="2395" w:name="xdx_903_eus-gaap--SharesIssued_iI_pid_c2"/>
      <w:bookmarkEnd w:id="2395"/>
      <w:r>
        <w:rPr>
          <w:rFonts w:ascii="Times New Roman;Times;Serif" w:hAnsi="Times New Roman;Times;Serif"/>
          <w:b w:val="false"/>
          <w:i w:val="false"/>
          <w:caps w:val="false"/>
          <w:smallCaps w:val="false"/>
          <w:sz w:val="20"/>
        </w:rPr>
        <w:t>5,750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issued an Advance Notice to Yorkville pursuant to the SEPA in which the Company requested the purchase of </w:t>
      </w:r>
      <w:bookmarkStart w:id="2396" w:name="xdx_90A_eus-gaap--StockIssuedDuringPerio"/>
      <w:bookmarkEnd w:id="2396"/>
      <w:r>
        <w:rPr>
          <w:rFonts w:ascii="Times New Roman;Times;Serif" w:hAnsi="Times New Roman;Times;Serif"/>
          <w:b w:val="false"/>
          <w:i w:val="false"/>
          <w:caps w:val="false"/>
          <w:smallCaps w:val="false"/>
          <w:sz w:val="20"/>
        </w:rPr>
        <w:t>3,250 shares of the Company’s Class A Common Stock at a purchase price of $</w:t>
      </w:r>
      <w:bookmarkStart w:id="2397" w:name="xdx_908_eus-gaap--SharesIssuedPricePerSh"/>
      <w:bookmarkEnd w:id="2397"/>
      <w:r>
        <w:rPr>
          <w:rFonts w:ascii="Times New Roman;Times;Serif" w:hAnsi="Times New Roman;Times;Serif"/>
          <w:b w:val="false"/>
          <w:i w:val="false"/>
          <w:caps w:val="false"/>
          <w:smallCaps w:val="false"/>
          <w:sz w:val="20"/>
        </w:rPr>
        <w:t>59.00 for a total purchase price of $</w:t>
      </w:r>
      <w:bookmarkStart w:id="2398" w:name="xdx_90C_eus-gaap--ProceedsFromOtherEquit"/>
      <w:bookmarkEnd w:id="2398"/>
      <w:r>
        <w:rPr>
          <w:rFonts w:ascii="Times New Roman;Times;Serif" w:hAnsi="Times New Roman;Times;Serif"/>
          <w:b w:val="false"/>
          <w:i w:val="false"/>
          <w:caps w:val="false"/>
          <w:smallCaps w:val="false"/>
          <w:sz w:val="20"/>
        </w:rPr>
        <w:t xml:space="preserve">191,477 to be applied against the outstanding Yorkville Convertible Notes. Upon settlement on October 15, 2025, the Company issued </w:t>
      </w:r>
      <w:bookmarkStart w:id="2399" w:name="xdx_904_eus-gaap--SharesIssued_iI_pid_c2"/>
      <w:bookmarkEnd w:id="2399"/>
      <w:r>
        <w:rPr>
          <w:rFonts w:ascii="Times New Roman;Times;Serif" w:hAnsi="Times New Roman;Times;Serif"/>
          <w:b w:val="false"/>
          <w:i w:val="false"/>
          <w:caps w:val="false"/>
          <w:smallCaps w:val="false"/>
          <w:sz w:val="20"/>
        </w:rPr>
        <w:t>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a loan agreement with CP BF Lending, LLC (“CP BF”) comprised of a Term Note and a Convertible Note. The Term Note bears cash interest at a rate of </w:t>
      </w:r>
      <w:bookmarkStart w:id="2400" w:name="xdx_90F_eus-gaap--DebtInstrumentInterest"/>
      <w:bookmarkEnd w:id="2400"/>
      <w:r>
        <w:rPr>
          <w:rFonts w:ascii="Times New Roman;Times;Serif" w:hAnsi="Times New Roman;Times;Serif"/>
          <w:b w:val="false"/>
          <w:i w:val="false"/>
          <w:caps w:val="false"/>
          <w:smallCaps w:val="false"/>
          <w:sz w:val="20"/>
        </w:rPr>
        <w:t xml:space="preserve">14% per annum paid monthly and accrued interest payable-in-kind (“PIK”) cumulatively at </w:t>
      </w:r>
      <w:bookmarkStart w:id="2401" w:name="xdx_901_ecustom--PaidInKindInterestPerce"/>
      <w:bookmarkEnd w:id="2401"/>
      <w:r>
        <w:rPr>
          <w:rFonts w:ascii="Times New Roman;Times;Serif" w:hAnsi="Times New Roman;Times;Serif"/>
          <w:b w:val="false"/>
          <w:i w:val="false"/>
          <w:caps w:val="false"/>
          <w:smallCaps w:val="false"/>
          <w:sz w:val="20"/>
        </w:rPr>
        <w:t xml:space="preserve">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w:t>
      </w:r>
      <w:bookmarkStart w:id="2402" w:name="xdx_900_ecustom--PaidInKindInterestPerce"/>
      <w:bookmarkEnd w:id="2402"/>
      <w:r>
        <w:rPr>
          <w:rFonts w:ascii="Times New Roman;Times;Serif" w:hAnsi="Times New Roman;Times;Serif"/>
          <w:b w:val="false"/>
          <w:i w:val="false"/>
          <w:caps w:val="false"/>
          <w:smallCaps w:val="false"/>
          <w:sz w:val="20"/>
        </w:rPr>
        <w:t>15.5% per annum, and is convertible into Class A Common Stock upon Qualified Financing (as defined in the agreement), upon a Change of Control (as defined in the agreement), upon Prepayment, or at Maturity at a fixed conversion price of $</w:t>
      </w:r>
      <w:bookmarkStart w:id="2403" w:name="xdx_909_eus-gaap--DebtInstrumentConverti"/>
      <w:bookmarkEnd w:id="2403"/>
      <w:r>
        <w:rPr>
          <w:rFonts w:ascii="Times New Roman;Times;Serif" w:hAnsi="Times New Roman;Times;Serif"/>
          <w:b w:val="false"/>
          <w:i w:val="false"/>
          <w:caps w:val="false"/>
          <w:smallCaps w:val="false"/>
          <w:sz w:val="20"/>
        </w:rPr>
        <w:t>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04" w:name="xdx_903_eus-gaap--DebtInstrumentCovenant"/>
      <w:bookmarkEnd w:id="2404"/>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w:t>
      </w:r>
      <w:bookmarkStart w:id="2405" w:name="xdx_900_eus-gaap--DebtInstrumentFaceAmou"/>
      <w:bookmarkEnd w:id="2405"/>
      <w:r>
        <w:rPr>
          <w:rFonts w:ascii="Times New Roman;Times;Serif" w:hAnsi="Times New Roman;Times;Serif"/>
          <w:b w:val="false"/>
          <w:i w:val="false"/>
          <w:caps w:val="false"/>
          <w:smallCaps w:val="false"/>
          <w:sz w:val="20"/>
        </w:rPr>
        <w:t>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w:t>
      </w:r>
      <w:bookmarkStart w:id="2406" w:name="xdx_906_eus-gaap--DebtInstrumentInterest"/>
      <w:bookmarkEnd w:id="2406"/>
      <w:r>
        <w:rPr>
          <w:rFonts w:ascii="Times New Roman;Times;Serif" w:hAnsi="Times New Roman;Times;Serif"/>
          <w:b w:val="false"/>
          <w:i w:val="false"/>
          <w:caps w:val="false"/>
          <w:smallCaps w:val="false"/>
          <w:sz w:val="20"/>
        </w:rPr>
        <w:t>16% and interest expense totaled $</w:t>
      </w:r>
      <w:bookmarkStart w:id="2407" w:name="xdx_90B_eus-gaap--InterestExpense_c20240"/>
      <w:bookmarkEnd w:id="2407"/>
      <w:r>
        <w:rPr>
          <w:rFonts w:ascii="Times New Roman;Times;Serif" w:hAnsi="Times New Roman;Times;Serif"/>
          <w:b w:val="false"/>
          <w:i w:val="false"/>
          <w:caps w:val="false"/>
          <w:smallCaps w:val="false"/>
          <w:sz w:val="20"/>
        </w:rPr>
        <w:t>851,175 for the year ended December 31, 2024, comprised of $</w:t>
      </w:r>
      <w:bookmarkStart w:id="2408" w:name="xdx_90B_eus-gaap--InterestExpenseDebt_c2"/>
      <w:bookmarkEnd w:id="2408"/>
      <w:r>
        <w:rPr>
          <w:rFonts w:ascii="Times New Roman;Times;Serif" w:hAnsi="Times New Roman;Times;Serif"/>
          <w:b w:val="false"/>
          <w:i w:val="false"/>
          <w:caps w:val="false"/>
          <w:smallCaps w:val="false"/>
          <w:sz w:val="20"/>
        </w:rPr>
        <w:t>772,550 of contractual interest and $</w:t>
      </w:r>
      <w:bookmarkStart w:id="2409" w:name="xdx_90D_eus-gaap--DebtRelatedCommitmentF"/>
      <w:bookmarkEnd w:id="2409"/>
      <w:r>
        <w:rPr>
          <w:rFonts w:ascii="Times New Roman;Times;Serif" w:hAnsi="Times New Roman;Times;Serif"/>
          <w:b w:val="false"/>
          <w:i w:val="false"/>
          <w:caps w:val="false"/>
          <w:smallCaps w:val="false"/>
          <w:sz w:val="20"/>
        </w:rPr>
        <w:t xml:space="preserve">78,625 of amortization of the discount. </w:t>
      </w:r>
      <w:r>
        <w:rPr>
          <w:rFonts w:ascii="Times New Roman;Times;Serif" w:hAnsi="Times New Roman;Times;Serif"/>
          <w:b w:val="false"/>
          <w:i w:val="false"/>
          <w:caps w:val="false"/>
          <w:smallCaps w:val="false"/>
          <w:sz w:val="20"/>
          <w:shd w:fill="FFFFFF" w:val="clear"/>
        </w:rPr>
        <w:t xml:space="preserve">The effective interest rate for the CP BF Convertible Note and First Amendment Convertible Note was </w:t>
      </w:r>
      <w:bookmarkStart w:id="2410" w:name="xdx_90A_eus-gaap--DebtInstrumentInterest"/>
      <w:bookmarkEnd w:id="2410"/>
      <w:r>
        <w:rPr>
          <w:rFonts w:ascii="Times New Roman;Times;Serif" w:hAnsi="Times New Roman;Times;Serif"/>
          <w:b w:val="false"/>
          <w:i w:val="false"/>
          <w:caps w:val="false"/>
          <w:smallCaps w:val="false"/>
          <w:sz w:val="20"/>
          <w:shd w:fill="FFFFFF" w:val="clear"/>
        </w:rPr>
        <w:t>16% for the year ended December 31, 2024. For the year ended December 31, 2024, interest expense on the Convertible Notes totaled $</w:t>
      </w:r>
      <w:bookmarkStart w:id="2411" w:name="xdx_90F_eus-gaap--InterestExpense_c20240"/>
      <w:bookmarkEnd w:id="2411"/>
      <w:r>
        <w:rPr>
          <w:rFonts w:ascii="Times New Roman;Times;Serif" w:hAnsi="Times New Roman;Times;Serif"/>
          <w:b w:val="false"/>
          <w:i w:val="false"/>
          <w:caps w:val="false"/>
          <w:smallCaps w:val="false"/>
          <w:sz w:val="20"/>
          <w:shd w:fill="FFFFFF" w:val="clear"/>
        </w:rPr>
        <w:t>350,430 comprised of $</w:t>
      </w:r>
      <w:bookmarkStart w:id="2412" w:name="xdx_901_eus-gaap--InterestExpenseDebt_c2"/>
      <w:bookmarkEnd w:id="2412"/>
      <w:r>
        <w:rPr>
          <w:rFonts w:ascii="Times New Roman;Times;Serif" w:hAnsi="Times New Roman;Times;Serif"/>
          <w:b w:val="false"/>
          <w:i w:val="false"/>
          <w:caps w:val="false"/>
          <w:smallCaps w:val="false"/>
          <w:sz w:val="20"/>
          <w:shd w:fill="FFFFFF" w:val="clear"/>
        </w:rPr>
        <w:t>325,818 of contractual interest and $</w:t>
      </w:r>
      <w:bookmarkStart w:id="2413" w:name="xdx_901_eus-gaap--DebtRelatedCommitmentF"/>
      <w:bookmarkEnd w:id="2413"/>
      <w:r>
        <w:rPr>
          <w:rFonts w:ascii="Times New Roman;Times;Serif" w:hAnsi="Times New Roman;Times;Serif"/>
          <w:b w:val="false"/>
          <w:i w:val="false"/>
          <w:caps w:val="false"/>
          <w:smallCaps w:val="false"/>
          <w:sz w:val="20"/>
          <w:shd w:fill="FFFFFF" w:val="clear"/>
        </w:rPr>
        <w:t>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14" w:name="xdx_901_eus-gaap--DebtInstrumentConverti"/>
      <w:bookmarkEnd w:id="2414"/>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w:t>
      </w:r>
      <w:bookmarkStart w:id="2415" w:name="xdx_903_eus-gaap--GainsLossesOnExtinguis"/>
      <w:bookmarkEnd w:id="2415"/>
      <w:r>
        <w:rPr>
          <w:rFonts w:ascii="Times New Roman;Times;Serif" w:hAnsi="Times New Roman;Times;Serif"/>
          <w:b w:val="false"/>
          <w:i w:val="false"/>
          <w:caps w:val="false"/>
          <w:smallCaps w:val="false"/>
          <w:sz w:val="20"/>
        </w:rPr>
        <w:t xml:space="preserve">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w:t>
      </w:r>
      <w:bookmarkStart w:id="2416" w:name="xdx_90F_ecustom--PercentageOfCommonStock"/>
      <w:bookmarkEnd w:id="2416"/>
      <w:r>
        <w:rPr>
          <w:rFonts w:ascii="Times New Roman;Times;Serif" w:hAnsi="Times New Roman;Times;Serif"/>
          <w:b w:val="false"/>
          <w:i w:val="false"/>
          <w:caps w:val="false"/>
          <w:smallCaps w:val="false"/>
          <w:sz w:val="20"/>
        </w:rPr>
        <w:t>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side letter, the Company agreed to issue to CP BF, </w:t>
      </w:r>
      <w:bookmarkStart w:id="2417" w:name="xdx_90D_eus-gaap--StockIssuedDuringPerio"/>
      <w:bookmarkEnd w:id="2417"/>
      <w:r>
        <w:rPr>
          <w:rFonts w:ascii="Times New Roman;Times;Serif" w:hAnsi="Times New Roman;Times;Serif"/>
          <w:b w:val="false"/>
          <w:i w:val="false"/>
          <w:caps w:val="false"/>
          <w:smallCaps w:val="false"/>
          <w:sz w:val="20"/>
        </w:rPr>
        <w:t>350 shares of the Company’s Class A Common Stock. On September 23, 2024 the transaction was finalized and the Company issued the 2024 CP BF Convertible Note with a principal amount of $</w:t>
      </w:r>
      <w:bookmarkStart w:id="2418" w:name="xdx_90E_eus-gaap--DebtInstrumentFaceAmou"/>
      <w:bookmarkEnd w:id="2418"/>
      <w:r>
        <w:rPr>
          <w:rFonts w:ascii="Times New Roman;Times;Serif" w:hAnsi="Times New Roman;Times;Serif"/>
          <w:b w:val="false"/>
          <w:i w:val="false"/>
          <w:caps w:val="false"/>
          <w:smallCaps w:val="false"/>
          <w:sz w:val="20"/>
        </w:rPr>
        <w:t xml:space="preserve">10,758,775. The outstanding principal balance of the 2024 CP BF Convertible Note together with accrued interest thereon, unpaid fees and expenses and any other Obligations then due, shall be paid on </w:t>
      </w:r>
      <w:bookmarkStart w:id="2419" w:name="xdx_90A_eus-gaap--DebtInstrumentMaturity"/>
      <w:bookmarkEnd w:id="2419"/>
      <w:r>
        <w:rPr>
          <w:rFonts w:ascii="Times New Roman;Times;Serif" w:hAnsi="Times New Roman;Times;Serif"/>
          <w:b w:val="false"/>
          <w:i w:val="false"/>
          <w:caps w:val="false"/>
          <w:smallCaps w:val="false"/>
          <w:sz w:val="20"/>
        </w:rPr>
        <w:t xml:space="preserve">February 19, 2027 (“2024 Loan Maturity Date”). The 2024 CP BF Convertible Note accrues interest at a rate of </w:t>
      </w:r>
      <w:bookmarkStart w:id="2420" w:name="xdx_908_eus-gaap--DebtInstrumentInterest"/>
      <w:bookmarkEnd w:id="2420"/>
      <w:r>
        <w:rPr>
          <w:rFonts w:ascii="Times New Roman;Times;Serif" w:hAnsi="Times New Roman;Times;Serif"/>
          <w:b w:val="false"/>
          <w:i w:val="false"/>
          <w:caps w:val="false"/>
          <w:smallCaps w:val="false"/>
          <w:sz w:val="20"/>
        </w:rPr>
        <w:t>15.5% which interest shall be paid in kind monthly and is convertible at the holder’s option at any time on or following the effectiveness of the first resale registration statement covering the applicable conversion shares at a fixed conversion price per share of $</w:t>
      </w:r>
      <w:bookmarkStart w:id="2421" w:name="xdx_901_eus-gaap--DebtInstrumentConverti"/>
      <w:bookmarkEnd w:id="2421"/>
      <w:r>
        <w:rPr>
          <w:rFonts w:ascii="Times New Roman;Times;Serif" w:hAnsi="Times New Roman;Times;Serif"/>
          <w:b w:val="false"/>
          <w:i w:val="false"/>
          <w:caps w:val="false"/>
          <w:smallCaps w:val="false"/>
          <w:sz w:val="20"/>
        </w:rPr>
        <w:t xml:space="preserve">778.00. Upon the occurrence, and during the continuance, of an Event of Default (as defined in the agreement), interest on the 2024 CP BF Convertible Note will bear PIK interest at a per annum rate of </w:t>
      </w:r>
      <w:bookmarkStart w:id="2422" w:name="xdx_90A_ecustom--DebtInstrumentInterestR"/>
      <w:bookmarkEnd w:id="2422"/>
      <w:r>
        <w:rPr>
          <w:rFonts w:ascii="Times New Roman;Times;Serif" w:hAnsi="Times New Roman;Times;Serif"/>
          <w:b w:val="false"/>
          <w:i w:val="false"/>
          <w:caps w:val="false"/>
          <w:smallCaps w:val="false"/>
          <w:sz w:val="20"/>
        </w:rPr>
        <w:t>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w:t>
      </w:r>
      <w:bookmarkStart w:id="2423" w:name="xdx_905_ecustom--DebtInstrumentExitFeePe"/>
      <w:bookmarkEnd w:id="2423"/>
      <w:r>
        <w:rPr>
          <w:rFonts w:ascii="Times New Roman;Times;Serif" w:hAnsi="Times New Roman;Times;Serif"/>
          <w:b w:val="false"/>
          <w:i w:val="false"/>
          <w:caps w:val="false"/>
          <w:smallCaps w:val="false"/>
          <w:sz w:val="20"/>
        </w:rPr>
        <w:t>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CP BF exercised its optional conversion option in which it received </w:t>
      </w:r>
      <w:bookmarkStart w:id="2424" w:name="xdx_90F_eus-gaap--StockIssuedDuringPerio"/>
      <w:bookmarkEnd w:id="2424"/>
      <w:r>
        <w:rPr>
          <w:rFonts w:ascii="Times New Roman;Times;Serif" w:hAnsi="Times New Roman;Times;Serif"/>
          <w:b w:val="false"/>
          <w:i w:val="false"/>
          <w:caps w:val="false"/>
          <w:smallCaps w:val="false"/>
          <w:sz w:val="20"/>
        </w:rPr>
        <w:t>5,560 Class A Common Stock at the fixed conversion price per share of $</w:t>
      </w:r>
      <w:bookmarkStart w:id="2425" w:name="xdx_908_eus-gaap--SharesIssuedPricePerSh"/>
      <w:bookmarkEnd w:id="2425"/>
      <w:r>
        <w:rPr>
          <w:rFonts w:ascii="Times New Roman;Times;Serif" w:hAnsi="Times New Roman;Times;Serif"/>
          <w:b w:val="false"/>
          <w:i w:val="false"/>
          <w:caps w:val="false"/>
          <w:smallCaps w:val="false"/>
          <w:sz w:val="20"/>
        </w:rPr>
        <w:t>778.00 in satisfaction of $</w:t>
      </w:r>
      <w:bookmarkStart w:id="2426" w:name="xdx_90A_eus-gaap--ConversionOfStockAmoun"/>
      <w:bookmarkEnd w:id="2426"/>
      <w:r>
        <w:rPr>
          <w:rFonts w:ascii="Times New Roman;Times;Serif" w:hAnsi="Times New Roman;Times;Serif"/>
          <w:b w:val="false"/>
          <w:i w:val="false"/>
          <w:caps w:val="false"/>
          <w:smallCaps w:val="false"/>
          <w:sz w:val="20"/>
        </w:rPr>
        <w:t>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w:t>
      </w:r>
      <w:bookmarkStart w:id="2427" w:name="xdx_908_eus-gaap--DebtConversionOriginal"/>
      <w:bookmarkEnd w:id="2427"/>
      <w:r>
        <w:rPr>
          <w:rFonts w:ascii="Times New Roman;Times;Serif" w:hAnsi="Times New Roman;Times;Serif"/>
          <w:b w:val="false"/>
          <w:i w:val="false"/>
          <w:caps w:val="false"/>
          <w:smallCaps w:val="false"/>
          <w:sz w:val="20"/>
        </w:rPr>
        <w:t xml:space="preserve">2,000,000 in debt into </w:t>
      </w:r>
      <w:bookmarkStart w:id="2428" w:name="xdx_90A_eus-gaap--DebtConversionConverte"/>
      <w:bookmarkEnd w:id="2428"/>
      <w:r>
        <w:rPr>
          <w:rFonts w:ascii="Times New Roman;Times;Serif" w:hAnsi="Times New Roman;Times;Serif"/>
          <w:b w:val="false"/>
          <w:i w:val="false"/>
          <w:caps w:val="false"/>
          <w:smallCaps w:val="false"/>
          <w:sz w:val="20"/>
        </w:rPr>
        <w:t xml:space="preserve">1,305 shares of Class A Common Stock, CP BF Warrants to purchase up to </w:t>
      </w:r>
      <w:bookmarkStart w:id="2429" w:name="xdx_907_eus-gaap--DebtConversionConverte"/>
      <w:bookmarkEnd w:id="2429"/>
      <w:r>
        <w:rPr>
          <w:rFonts w:ascii="Times New Roman;Times;Serif" w:hAnsi="Times New Roman;Times;Serif"/>
          <w:b w:val="false"/>
          <w:i w:val="false"/>
          <w:caps w:val="false"/>
          <w:smallCaps w:val="false"/>
          <w:sz w:val="20"/>
        </w:rPr>
        <w:t xml:space="preserve">2,828 shares of Class A Common Stock and CP BF Pre-Funded Warrants to purchase up to </w:t>
      </w:r>
      <w:bookmarkStart w:id="2430" w:name="xdx_902_eus-gaap--DebtConversionConverte"/>
      <w:bookmarkEnd w:id="2430"/>
      <w:r>
        <w:rPr>
          <w:rFonts w:ascii="Times New Roman;Times;Serif" w:hAnsi="Times New Roman;Times;Serif"/>
          <w:b w:val="false"/>
          <w:i w:val="false"/>
          <w:caps w:val="false"/>
          <w:smallCaps w:val="false"/>
          <w:sz w:val="20"/>
        </w:rPr>
        <w:t xml:space="preserve">1,524 shares of Class A Common Stock (all such securities and shares collectively referred to as the “CP BF Registrable Securities”). </w:t>
      </w:r>
      <w:bookmarkStart w:id="2431" w:name="xdx_901_ecustom--ExercisePriceDescriptio"/>
      <w:bookmarkEnd w:id="2431"/>
      <w:r>
        <w:rPr>
          <w:rFonts w:ascii="Times New Roman;Times;Serif" w:hAnsi="Times New Roman;Times;Serif"/>
          <w:b w:val="false"/>
          <w:i w:val="false"/>
          <w:caps w:val="false"/>
          <w:smallCaps w:val="false"/>
          <w:sz w:val="20"/>
        </w:rPr>
        <w:t>The CP BF Warrant can be exercised at an initial exercise price of $</w:t>
      </w:r>
      <w:bookmarkStart w:id="2432" w:name="xdx_907_eus-gaap--ClassOfWarrantOrRightE"/>
      <w:bookmarkEnd w:id="2432"/>
      <w:r>
        <w:rPr>
          <w:rFonts w:ascii="Times New Roman;Times;Serif" w:hAnsi="Times New Roman;Times;Serif"/>
          <w:b w:val="false"/>
          <w:i w:val="false"/>
          <w:caps w:val="false"/>
          <w:smallCaps w:val="false"/>
          <w:sz w:val="20"/>
        </w:rPr>
        <w:t xml:space="preserve">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w:t>
      </w:r>
      <w:bookmarkStart w:id="2433" w:name="xdx_908_eus-gaap--StockIssuedDuringPerio"/>
      <w:bookmarkEnd w:id="2433"/>
      <w:r>
        <w:rPr>
          <w:rFonts w:ascii="Times New Roman;Times;Serif" w:hAnsi="Times New Roman;Times;Serif"/>
          <w:b w:val="false"/>
          <w:i w:val="false"/>
          <w:caps w:val="false"/>
          <w:smallCaps w:val="false"/>
          <w:sz w:val="20"/>
        </w:rPr>
        <w:t>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w:t>
      </w:r>
      <w:bookmarkStart w:id="2434" w:name="xdx_903_eus-gaap--ProceedsFromIssuanceOf"/>
      <w:bookmarkEnd w:id="2434"/>
      <w:r>
        <w:rPr>
          <w:rFonts w:ascii="Times New Roman;Times;Serif" w:hAnsi="Times New Roman;Times;Serif"/>
          <w:b w:val="false"/>
          <w:i w:val="false"/>
          <w:caps w:val="false"/>
          <w:smallCaps w:val="false"/>
          <w:sz w:val="20"/>
        </w:rPr>
        <w:t xml:space="preserve">4.6 million. One of the contingent redemption features in the 2024 CP BF Convertible Note relates to the Company prepaying, either partially or in whole, the obligations upon the sale of the Company’s capital stock equal to </w:t>
      </w:r>
      <w:bookmarkStart w:id="2435" w:name="xdx_90A_ecustom--PercentageOfCapitalStoc"/>
      <w:bookmarkEnd w:id="2435"/>
      <w:r>
        <w:rPr>
          <w:rFonts w:ascii="Times New Roman;Times;Serif" w:hAnsi="Times New Roman;Times;Serif"/>
          <w:b w:val="false"/>
          <w:i w:val="false"/>
          <w:caps w:val="false"/>
          <w:smallCaps w:val="false"/>
          <w:sz w:val="20"/>
        </w:rPr>
        <w:t>20% of the cash proceeds in excess of $</w:t>
      </w:r>
      <w:bookmarkStart w:id="2436" w:name="xdx_90E_eus-gaap--ProceedsFromIssuanceOf"/>
      <w:bookmarkEnd w:id="2436"/>
      <w:r>
        <w:rPr>
          <w:rFonts w:ascii="Times New Roman;Times;Serif" w:hAnsi="Times New Roman;Times;Serif"/>
          <w:b w:val="false"/>
          <w:i w:val="false"/>
          <w:caps w:val="false"/>
          <w:smallCaps w:val="false"/>
          <w:sz w:val="20"/>
        </w:rPr>
        <w:t>3,000,000. For the year ended December 31, 2025, the Company paid a total of $</w:t>
      </w:r>
      <w:bookmarkStart w:id="2437" w:name="xdx_90F_eus-gaap--DebtInstrumentFaceAmou"/>
      <w:bookmarkEnd w:id="2437"/>
      <w:r>
        <w:rPr>
          <w:rFonts w:ascii="Times New Roman;Times;Serif" w:hAnsi="Times New Roman;Times;Serif"/>
          <w:b w:val="false"/>
          <w:i w:val="false"/>
          <w:caps w:val="false"/>
          <w:smallCaps w:val="false"/>
          <w:sz w:val="20"/>
        </w:rPr>
        <w:t>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2024 CP BF Convertible Note was approximately </w:t>
      </w:r>
      <w:bookmarkStart w:id="2438" w:name="xdx_900_eus-gaap--DebtInstrumentInterest"/>
      <w:bookmarkEnd w:id="2438"/>
      <w:r>
        <w:rPr>
          <w:rFonts w:ascii="Times New Roman;Times;Serif" w:hAnsi="Times New Roman;Times;Serif"/>
          <w:b w:val="false"/>
          <w:i w:val="false"/>
          <w:caps w:val="false"/>
          <w:smallCaps w:val="false"/>
          <w:sz w:val="20"/>
        </w:rPr>
        <w:t>15.4% for the year ended December 31, 2025 and 2024. For the year ended December 31, 2025 and 2024, interest expense on the 2024 CP BF Convertible Note totaled $</w:t>
      </w:r>
      <w:bookmarkStart w:id="2439" w:name="xdx_908_eus-gaap--InterestExpense_c20250"/>
      <w:bookmarkEnd w:id="2439"/>
      <w:r>
        <w:rPr>
          <w:rFonts w:ascii="Times New Roman;Times;Serif" w:hAnsi="Times New Roman;Times;Serif"/>
          <w:b w:val="false"/>
          <w:i w:val="false"/>
          <w:caps w:val="false"/>
          <w:smallCaps w:val="false"/>
          <w:sz w:val="20"/>
        </w:rPr>
        <w:t>1,177,033 and $</w:t>
      </w:r>
      <w:bookmarkStart w:id="2440" w:name="xdx_904_eus-gaap--InterestExpense_c20240"/>
      <w:bookmarkEnd w:id="2440"/>
      <w:r>
        <w:rPr>
          <w:rFonts w:ascii="Times New Roman;Times;Serif" w:hAnsi="Times New Roman;Times;Serif"/>
          <w:b w:val="false"/>
          <w:i w:val="false"/>
          <w:caps w:val="false"/>
          <w:smallCaps w:val="false"/>
          <w:sz w:val="20"/>
        </w:rPr>
        <w:t>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41" w:name="xdx_89C_eus-gaap--ConvertibleDebtTableTe"/>
      <w:bookmarkEnd w:id="2441"/>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42" w:name="xdx_8B3_znyGbx9aYvt4"/>
      <w:bookmarkEnd w:id="2442"/>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43" w:name="xdx_49C_20251231__us-gaap--DebtInstrumen"/>
            <w:bookmarkEnd w:id="2443"/>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44" w:name="xdx_493_20241231__us-gaap--DebtInstrumen"/>
            <w:bookmarkEnd w:id="2444"/>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445" w:name="xdx_402_eus-gaap--ConvertibleDebtFairVal"/>
            <w:bookmarkEnd w:id="2445"/>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bookmarkStart w:id="2446" w:name="xdx_403_ecustom--UnamortizedDebtPremiumO"/>
            <w:bookmarkEnd w:id="2446"/>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bookmarkStart w:id="2447" w:name="xdx_404_eus-gaap--ConvertibleNotesPayabl"/>
            <w:bookmarkEnd w:id="2447"/>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bookmarkStart w:id="2448" w:name="xdx_40A_ecustom--InterestPayableOnConver"/>
            <w:bookmarkEnd w:id="2448"/>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bookmarkStart w:id="2449" w:name="xdx_402_ecustom--PrepaymentsMadeOnConver"/>
            <w:bookmarkEnd w:id="2449"/>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50" w:name="xdx_409_ecustom--ConversionsOnConvertibl"/>
            <w:bookmarkEnd w:id="2450"/>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51" w:name="xdx_400_ecustom--ConvertibleDebtIncludin"/>
            <w:bookmarkEnd w:id="2451"/>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452" w:name="xdx_8AF_zs0jHEeSegQk"/>
      <w:bookmarkEnd w:id="24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and CP BF executed a letter agreement dated October 10, 2025, pursuant to which they amended certain terms of the Loan Agreement and Note (as amended on October 15, 2025, the “CP BF Letter Agreement”). </w:t>
      </w:r>
      <w:bookmarkStart w:id="2453" w:name="xdx_90C_eus-gaap--DebtInstrumentConverti"/>
      <w:bookmarkEnd w:id="2453"/>
      <w:r>
        <w:rPr>
          <w:rFonts w:ascii="Times New Roman;Times;Serif" w:hAnsi="Times New Roman;Times;Serif"/>
          <w:b w:val="false"/>
          <w:i w:val="false"/>
          <w:caps w:val="false"/>
          <w:smallCaps w:val="false"/>
          <w:sz w:val="20"/>
        </w:rPr>
        <w:t>The CP BF Letter Agreement amended the Conversion Price, as defined, to ninety-five percent (</w:t>
      </w:r>
      <w:bookmarkStart w:id="2454" w:name="xdx_901_eus-gaap--DebtInstrumentConverti"/>
      <w:bookmarkEnd w:id="2454"/>
      <w:r>
        <w:rPr>
          <w:rFonts w:ascii="Times New Roman;Times;Serif" w:hAnsi="Times New Roman;Times;Serif"/>
          <w:b w:val="false"/>
          <w:i w:val="false"/>
          <w:caps w:val="false"/>
          <w:smallCaps w:val="false"/>
          <w:sz w:val="20"/>
        </w:rPr>
        <w:t>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w:t>
      </w:r>
      <w:bookmarkStart w:id="2455" w:name="xdx_903_ecustom--PercentageOfAggregateDa"/>
      <w:bookmarkEnd w:id="2455"/>
      <w:r>
        <w:rPr>
          <w:rFonts w:ascii="Times New Roman;Times;Serif" w:hAnsi="Times New Roman;Times;Serif"/>
          <w:b w:val="false"/>
          <w:i w:val="false"/>
          <w:caps w:val="false"/>
          <w:smallCaps w:val="false"/>
          <w:sz w:val="20"/>
        </w:rPr>
        <w:t>5%) of the aggregate daily trading volume however the Company has the right waive or increase such limitation at its discretion. The CP BF Letter Agreement also stipulates that between the time that the Company pays down at least $</w:t>
      </w:r>
      <w:bookmarkStart w:id="2456" w:name="xdx_90C_eus-gaap--DebtInstrumentPeriodic"/>
      <w:bookmarkEnd w:id="2456"/>
      <w:r>
        <w:rPr>
          <w:rFonts w:ascii="Times New Roman;Times;Serif" w:hAnsi="Times New Roman;Times;Serif"/>
          <w:b w:val="false"/>
          <w:i w:val="false"/>
          <w:caps w:val="false"/>
          <w:smallCaps w:val="false"/>
          <w:sz w:val="20"/>
        </w:rPr>
        <w:t xml:space="preserve">2,000,000 against the Balance until the earlier of (a) </w:t>
      </w:r>
      <w:bookmarkStart w:id="2457" w:name="xdx_907_ecustom--MinimumRedemptionNotice"/>
      <w:bookmarkEnd w:id="2457"/>
      <w:r>
        <w:rPr>
          <w:rFonts w:ascii="Times New Roman;Times;Serif" w:hAnsi="Times New Roman;Times;Serif"/>
          <w:b w:val="false"/>
          <w:i w:val="false"/>
          <w:caps w:val="false"/>
          <w:smallCaps w:val="false"/>
          <w:sz w:val="20"/>
        </w:rPr>
        <w:t>60 days following the date of the CP BF Letter Agreement and (b) receipt of $</w:t>
      </w:r>
      <w:bookmarkStart w:id="2458" w:name="xdx_907_eus-gaap--ProceedsFromIssuanceOf"/>
      <w:bookmarkEnd w:id="2458"/>
      <w:r>
        <w:rPr>
          <w:rFonts w:ascii="Times New Roman;Times;Serif" w:hAnsi="Times New Roman;Times;Serif"/>
          <w:b w:val="false"/>
          <w:i w:val="false"/>
          <w:caps w:val="false"/>
          <w:smallCaps w:val="false"/>
          <w:sz w:val="20"/>
        </w:rPr>
        <w:t>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w:t>
      </w:r>
      <w:bookmarkStart w:id="2459" w:name="xdx_901_eus-gaap--DebtInstrumentConverti"/>
      <w:bookmarkEnd w:id="2459"/>
      <w:r>
        <w:rPr>
          <w:rFonts w:ascii="Times New Roman;Times;Serif" w:hAnsi="Times New Roman;Times;Serif"/>
          <w:b w:val="false"/>
          <w:i w:val="false"/>
          <w:caps w:val="false"/>
          <w:smallCaps w:val="false"/>
          <w:sz w:val="20"/>
        </w:rPr>
        <w:t xml:space="preserve">120% of the number of shares of Class A Common Stock issuable upon full conversion of the Balance at the new conversion price and to register </w:t>
      </w:r>
      <w:bookmarkStart w:id="2460" w:name="xdx_902_ecustom--PercentageOfConvertedSh"/>
      <w:bookmarkEnd w:id="2460"/>
      <w:r>
        <w:rPr>
          <w:rFonts w:ascii="Times New Roman;Times;Serif" w:hAnsi="Times New Roman;Times;Serif"/>
          <w:b w:val="false"/>
          <w:i w:val="false"/>
          <w:caps w:val="false"/>
          <w:smallCaps w:val="false"/>
          <w:sz w:val="20"/>
        </w:rPr>
        <w:t xml:space="preserve">100% of all such shares with the SEC within </w:t>
      </w:r>
      <w:bookmarkStart w:id="2461" w:name="xdx_906_eus-gaap--DebtInstrumentConverti"/>
      <w:bookmarkEnd w:id="2461"/>
      <w:r>
        <w:rPr>
          <w:rFonts w:ascii="Times New Roman;Times;Serif" w:hAnsi="Times New Roman;Times;Serif"/>
          <w:b w:val="false"/>
          <w:i w:val="false"/>
          <w:caps w:val="false"/>
          <w:smallCaps w:val="false"/>
          <w:sz w:val="20"/>
        </w:rPr>
        <w:t>60 days of the CP BF Letter Agreement. As per the CP BF Letter Agreement, subject to the receipt by CP BF of $</w:t>
      </w:r>
      <w:bookmarkStart w:id="2462" w:name="xdx_90F_eus-gaap--DebtInstrumentPeriodic"/>
      <w:bookmarkEnd w:id="2462"/>
      <w:r>
        <w:rPr>
          <w:rFonts w:ascii="Times New Roman;Times;Serif" w:hAnsi="Times New Roman;Times;Serif"/>
          <w:b w:val="false"/>
          <w:i w:val="false"/>
          <w:caps w:val="false"/>
          <w:smallCaps w:val="false"/>
          <w:sz w:val="20"/>
        </w:rPr>
        <w:t>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17, 2025 and December 31, 2025, CP BF exercised its optional conversion option multiple times and received an aggregate of </w:t>
      </w:r>
      <w:bookmarkStart w:id="2463" w:name="xdx_900_eus-gaap--StockIssuedDuringPerio"/>
      <w:bookmarkEnd w:id="2463"/>
      <w:r>
        <w:rPr>
          <w:rFonts w:ascii="Times New Roman;Times;Serif" w:hAnsi="Times New Roman;Times;Serif"/>
          <w:b w:val="false"/>
          <w:i w:val="false"/>
          <w:caps w:val="false"/>
          <w:smallCaps w:val="false"/>
          <w:sz w:val="20"/>
        </w:rPr>
        <w:t>3,135 shares of Class A Common Stock at conversion prices per share ranging from $</w:t>
      </w:r>
      <w:bookmarkStart w:id="2464" w:name="xdx_90F_eus-gaap--SharesIssuedPricePerSh"/>
      <w:bookmarkEnd w:id="2464"/>
      <w:r>
        <w:rPr>
          <w:rFonts w:ascii="Times New Roman;Times;Serif" w:hAnsi="Times New Roman;Times;Serif"/>
          <w:b w:val="false"/>
          <w:i w:val="false"/>
          <w:caps w:val="false"/>
          <w:smallCaps w:val="false"/>
          <w:sz w:val="20"/>
        </w:rPr>
        <w:t>54.20 to $</w:t>
      </w:r>
      <w:bookmarkStart w:id="2465" w:name="xdx_902_eus-gaap--SharesIssuedPricePerSh"/>
      <w:bookmarkEnd w:id="2465"/>
      <w:r>
        <w:rPr>
          <w:rFonts w:ascii="Times New Roman;Times;Serif" w:hAnsi="Times New Roman;Times;Serif"/>
          <w:b w:val="false"/>
          <w:i w:val="false"/>
          <w:caps w:val="false"/>
          <w:smallCaps w:val="false"/>
          <w:sz w:val="20"/>
        </w:rPr>
        <w:t>55.000 in satisfaction of $</w:t>
      </w:r>
      <w:bookmarkStart w:id="2466" w:name="xdx_907_eus-gaap--ConversionOfStockAmoun"/>
      <w:bookmarkEnd w:id="2466"/>
      <w:r>
        <w:rPr>
          <w:rFonts w:ascii="Times New Roman;Times;Serif" w:hAnsi="Times New Roman;Times;Serif"/>
          <w:b w:val="false"/>
          <w:i w:val="false"/>
          <w:caps w:val="false"/>
          <w:smallCaps w:val="false"/>
          <w:sz w:val="20"/>
        </w:rPr>
        <w:t>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w:t>
      </w:r>
      <w:bookmarkStart w:id="2467" w:name="xdx_905_eus-gaap--DebtInstrumentFaceAmou"/>
      <w:bookmarkEnd w:id="2467"/>
      <w:r>
        <w:rPr>
          <w:rFonts w:ascii="Times New Roman;Times;Serif" w:hAnsi="Times New Roman;Times;Serif"/>
          <w:b w:val="false"/>
          <w:i w:val="false"/>
          <w:caps w:val="false"/>
          <w:smallCaps w:val="false"/>
          <w:sz w:val="20"/>
        </w:rPr>
        <w:t>787,500 and received net proceeds of $</w:t>
      </w:r>
      <w:bookmarkStart w:id="2468" w:name="xdx_901_eus-gaap--ProceedsFromShortTermD"/>
      <w:bookmarkEnd w:id="2468"/>
      <w:r>
        <w:rPr>
          <w:rFonts w:ascii="Times New Roman;Times;Serif" w:hAnsi="Times New Roman;Times;Serif"/>
          <w:b w:val="false"/>
          <w:i w:val="false"/>
          <w:caps w:val="false"/>
          <w:smallCaps w:val="false"/>
          <w:sz w:val="20"/>
        </w:rPr>
        <w:t>750,000, after administrative agent fees of $</w:t>
      </w:r>
      <w:bookmarkStart w:id="2469" w:name="xdx_90E_ecustom--AgentFees_c20240722__20"/>
      <w:bookmarkEnd w:id="2469"/>
      <w:r>
        <w:rPr>
          <w:rFonts w:ascii="Times New Roman;Times;Serif" w:hAnsi="Times New Roman;Times;Serif"/>
          <w:b w:val="false"/>
          <w:i w:val="false"/>
          <w:caps w:val="false"/>
          <w:smallCaps w:val="false"/>
          <w:sz w:val="20"/>
        </w:rPr>
        <w:t xml:space="preserve">37,500 paid to Agile Funding, with a maturity date of February 5, 2025. The July Agile Note bears interest at a rate of </w:t>
      </w:r>
      <w:bookmarkStart w:id="2470" w:name="xdx_909_eus-gaap--DebtInstrumentInterest"/>
      <w:bookmarkEnd w:id="2470"/>
      <w:r>
        <w:rPr>
          <w:rFonts w:ascii="Times New Roman;Times;Serif" w:hAnsi="Times New Roman;Times;Serif"/>
          <w:b w:val="false"/>
          <w:i w:val="false"/>
          <w:caps w:val="false"/>
          <w:smallCaps w:val="false"/>
          <w:sz w:val="2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w:t>
      </w:r>
      <w:bookmarkStart w:id="2471" w:name="xdx_906_eus-gaap--DebtInstrumentFaceAmou"/>
      <w:bookmarkEnd w:id="2471"/>
      <w:r>
        <w:rPr>
          <w:rFonts w:ascii="Times New Roman;Times;Serif" w:hAnsi="Times New Roman;Times;Serif"/>
          <w:b w:val="false"/>
          <w:i w:val="false"/>
          <w:caps w:val="false"/>
          <w:smallCaps w:val="false"/>
          <w:sz w:val="20"/>
        </w:rPr>
        <w:t>262,500 and received net proceeds of $</w:t>
      </w:r>
      <w:bookmarkStart w:id="2472" w:name="xdx_903_eus-gaap--ProceedsFromIssuanceOf"/>
      <w:bookmarkEnd w:id="2472"/>
      <w:r>
        <w:rPr>
          <w:rFonts w:ascii="Times New Roman;Times;Serif" w:hAnsi="Times New Roman;Times;Serif"/>
          <w:b w:val="false"/>
          <w:i w:val="false"/>
          <w:caps w:val="false"/>
          <w:smallCaps w:val="false"/>
          <w:sz w:val="20"/>
        </w:rPr>
        <w:t>250,000, after administrative agent fees of $</w:t>
      </w:r>
      <w:bookmarkStart w:id="2473" w:name="xdx_901_eus-gaap--DebtInstrumentFeeAmoun"/>
      <w:bookmarkEnd w:id="2473"/>
      <w:r>
        <w:rPr>
          <w:rFonts w:ascii="Times New Roman;Times;Serif" w:hAnsi="Times New Roman;Times;Serif"/>
          <w:b w:val="false"/>
          <w:i w:val="false"/>
          <w:caps w:val="false"/>
          <w:smallCaps w:val="false"/>
          <w:sz w:val="20"/>
        </w:rPr>
        <w:t xml:space="preserve">12,500 paid to Agile Funding, with a maturity date of </w:t>
      </w:r>
      <w:bookmarkStart w:id="2474" w:name="xdx_901_eus-gaap--DebtInstrumentMaturity"/>
      <w:bookmarkEnd w:id="2474"/>
      <w:r>
        <w:rPr>
          <w:rFonts w:ascii="Times New Roman;Times;Serif" w:hAnsi="Times New Roman;Times;Serif"/>
          <w:b w:val="false"/>
          <w:i w:val="false"/>
          <w:caps w:val="false"/>
          <w:smallCaps w:val="false"/>
          <w:sz w:val="20"/>
        </w:rPr>
        <w:t>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w:t>
      </w:r>
      <w:bookmarkStart w:id="2475" w:name="xdx_90C_eus-gaap--DebtInstrumentFaceAmou"/>
      <w:bookmarkEnd w:id="2475"/>
      <w:r>
        <w:rPr>
          <w:rFonts w:ascii="Times New Roman;Times;Serif" w:hAnsi="Times New Roman;Times;Serif"/>
          <w:b w:val="false"/>
          <w:i w:val="false"/>
          <w:caps w:val="false"/>
          <w:smallCaps w:val="false"/>
          <w:sz w:val="20"/>
        </w:rPr>
        <w:t>2,400,000 and received net proceeds of $</w:t>
      </w:r>
      <w:bookmarkStart w:id="2476" w:name="xdx_907_eus-gaap--ProceedsFromIssuanceOf"/>
      <w:bookmarkEnd w:id="2476"/>
      <w:r>
        <w:rPr>
          <w:rFonts w:ascii="Times New Roman;Times;Serif" w:hAnsi="Times New Roman;Times;Serif"/>
          <w:b w:val="false"/>
          <w:i w:val="false"/>
          <w:caps w:val="false"/>
          <w:smallCaps w:val="false"/>
          <w:sz w:val="20"/>
        </w:rPr>
        <w:t>1,782,438, after administrative agent fees of $</w:t>
      </w:r>
      <w:bookmarkStart w:id="2477" w:name="xdx_90C_eus-gaap--DebtInstrumentFeeAmoun"/>
      <w:bookmarkEnd w:id="2477"/>
      <w:r>
        <w:rPr>
          <w:rFonts w:ascii="Times New Roman;Times;Serif" w:hAnsi="Times New Roman;Times;Serif"/>
          <w:b w:val="false"/>
          <w:i w:val="false"/>
          <w:caps w:val="false"/>
          <w:smallCaps w:val="false"/>
          <w:sz w:val="20"/>
        </w:rPr>
        <w:t>120,000 paid to Agile Funding, and net of payments to Agile of $</w:t>
      </w:r>
      <w:bookmarkStart w:id="2478" w:name="xdx_90C_eus-gaap--EarlyRepaymentOfSubord"/>
      <w:bookmarkEnd w:id="2478"/>
      <w:r>
        <w:rPr>
          <w:rFonts w:ascii="Times New Roman;Times;Serif" w:hAnsi="Times New Roman;Times;Serif"/>
          <w:b w:val="false"/>
          <w:i w:val="false"/>
          <w:caps w:val="false"/>
          <w:smallCaps w:val="false"/>
          <w:sz w:val="20"/>
        </w:rPr>
        <w:t>319,500 and $</w:t>
      </w:r>
      <w:bookmarkStart w:id="2479" w:name="xdx_906_eus-gaap--EarlyRepaymentOfSubord"/>
      <w:bookmarkEnd w:id="2479"/>
      <w:r>
        <w:rPr>
          <w:rFonts w:ascii="Times New Roman;Times;Serif" w:hAnsi="Times New Roman;Times;Serif"/>
          <w:b w:val="false"/>
          <w:i w:val="false"/>
          <w:caps w:val="false"/>
          <w:smallCaps w:val="false"/>
          <w:sz w:val="20"/>
        </w:rPr>
        <w:t xml:space="preserve">178,063 in respect to early prepayment of the remaining outstanding balances of the July Agile Note and September Agile Note. The December Agile Note has a maturity date of July 10, 2025 and bears interest at a rate of </w:t>
      </w:r>
      <w:bookmarkStart w:id="2480" w:name="xdx_906_eus-gaap--DebtInstrumentInterest"/>
      <w:bookmarkEnd w:id="2480"/>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w:t>
      </w:r>
      <w:bookmarkStart w:id="2481" w:name="xdx_905_eus-gaap--GainsLossesOnExtinguis"/>
      <w:bookmarkEnd w:id="2481"/>
      <w:r>
        <w:rPr>
          <w:rFonts w:ascii="Times New Roman;Times;Serif" w:hAnsi="Times New Roman;Times;Serif"/>
          <w:b w:val="false"/>
          <w:i w:val="false"/>
          <w:caps w:val="false"/>
          <w:smallCaps w:val="false"/>
          <w:sz w:val="20"/>
        </w:rPr>
        <w:t>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w:t>
      </w:r>
      <w:bookmarkStart w:id="2482" w:name="xdx_90E_eus-gaap--DebtInstrumentFaceAmou"/>
      <w:bookmarkEnd w:id="2482"/>
      <w:r>
        <w:rPr>
          <w:rFonts w:ascii="Times New Roman;Times;Serif" w:hAnsi="Times New Roman;Times;Serif"/>
          <w:b w:val="false"/>
          <w:i w:val="false"/>
          <w:caps w:val="false"/>
          <w:smallCaps w:val="false"/>
          <w:sz w:val="20"/>
        </w:rPr>
        <w:t>4,000,000 and received net proceeds of $</w:t>
      </w:r>
      <w:bookmarkStart w:id="2483" w:name="xdx_908_eus-gaap--ProceedsFromIssuanceOf"/>
      <w:bookmarkEnd w:id="2483"/>
      <w:r>
        <w:rPr>
          <w:rFonts w:ascii="Times New Roman;Times;Serif" w:hAnsi="Times New Roman;Times;Serif"/>
          <w:b w:val="false"/>
          <w:i w:val="false"/>
          <w:caps w:val="false"/>
          <w:smallCaps w:val="false"/>
          <w:sz w:val="20"/>
        </w:rPr>
        <w:t>2,044,105, after administrative agent fees of $</w:t>
      </w:r>
      <w:bookmarkStart w:id="2484" w:name="xdx_900_eus-gaap--DebtInstrumentFeeAmoun"/>
      <w:bookmarkEnd w:id="2484"/>
      <w:r>
        <w:rPr>
          <w:rFonts w:ascii="Times New Roman;Times;Serif" w:hAnsi="Times New Roman;Times;Serif"/>
          <w:b w:val="false"/>
          <w:i w:val="false"/>
          <w:caps w:val="false"/>
          <w:smallCaps w:val="false"/>
          <w:sz w:val="20"/>
        </w:rPr>
        <w:t>200,000 paid to Agile Funding, and net of payments to Agile of $</w:t>
      </w:r>
      <w:bookmarkStart w:id="2485" w:name="xdx_908_eus-gaap--RepaymentsOfDebt_c2025"/>
      <w:bookmarkEnd w:id="2485"/>
      <w:r>
        <w:rPr>
          <w:rFonts w:ascii="Times New Roman;Times;Serif" w:hAnsi="Times New Roman;Times;Serif"/>
          <w:b w:val="false"/>
          <w:i w:val="false"/>
          <w:caps w:val="false"/>
          <w:smallCaps w:val="false"/>
          <w:sz w:val="20"/>
        </w:rPr>
        <w:t xml:space="preserve">1,755,895 in respect to early prepayment of the remaining outstanding balances of the December Agile Note. The March Agile Note has a maturity date of </w:t>
      </w:r>
      <w:bookmarkStart w:id="2486" w:name="xdx_908_eus-gaap--DebtInstrumentMaturity"/>
      <w:bookmarkEnd w:id="2486"/>
      <w:r>
        <w:rPr>
          <w:rFonts w:ascii="Times New Roman;Times;Serif" w:hAnsi="Times New Roman;Times;Serif"/>
          <w:b w:val="false"/>
          <w:i w:val="false"/>
          <w:caps w:val="false"/>
          <w:smallCaps w:val="false"/>
          <w:sz w:val="20"/>
        </w:rPr>
        <w:t xml:space="preserve">November 12, 2025 and bears interest at a rate of </w:t>
      </w:r>
      <w:bookmarkStart w:id="2487" w:name="xdx_907_eus-gaap--DebtInstrumentInterest"/>
      <w:bookmarkEnd w:id="2487"/>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w:t>
      </w:r>
      <w:bookmarkStart w:id="2488" w:name="xdx_90D_eus-gaap--GainsLossesOnExtinguis"/>
      <w:bookmarkEnd w:id="2488"/>
      <w:r>
        <w:rPr>
          <w:rFonts w:ascii="Times New Roman;Times;Serif" w:hAnsi="Times New Roman;Times;Serif"/>
          <w:b w:val="false"/>
          <w:i w:val="false"/>
          <w:caps w:val="false"/>
          <w:smallCaps w:val="false"/>
          <w:sz w:val="20"/>
        </w:rPr>
        <w:t>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w:t>
      </w:r>
      <w:bookmarkStart w:id="2489" w:name="xdx_900_eus-gaap--DebtInstrumentFaceAmou"/>
      <w:bookmarkEnd w:id="2489"/>
      <w:r>
        <w:rPr>
          <w:rFonts w:ascii="Times New Roman;Times;Serif" w:hAnsi="Times New Roman;Times;Serif"/>
          <w:b w:val="false"/>
          <w:i w:val="false"/>
          <w:caps w:val="false"/>
          <w:smallCaps w:val="false"/>
          <w:sz w:val="20"/>
        </w:rPr>
        <w:t>262,500 and received net proceeds of $</w:t>
      </w:r>
      <w:bookmarkStart w:id="2490" w:name="xdx_90F_eus-gaap--ProceedsFromIssuanceOf"/>
      <w:bookmarkEnd w:id="2490"/>
      <w:r>
        <w:rPr>
          <w:rFonts w:ascii="Times New Roman;Times;Serif" w:hAnsi="Times New Roman;Times;Serif"/>
          <w:b w:val="false"/>
          <w:i w:val="false"/>
          <w:caps w:val="false"/>
          <w:smallCaps w:val="false"/>
          <w:sz w:val="20"/>
        </w:rPr>
        <w:t>250,000, after administrative agent fees $</w:t>
      </w:r>
      <w:bookmarkStart w:id="2491" w:name="xdx_905_eus-gaap--DebtInstrumentFeeAmoun"/>
      <w:bookmarkEnd w:id="2491"/>
      <w:r>
        <w:rPr>
          <w:rFonts w:ascii="Times New Roman;Times;Serif" w:hAnsi="Times New Roman;Times;Serif"/>
          <w:b w:val="false"/>
          <w:i w:val="false"/>
          <w:caps w:val="false"/>
          <w:smallCaps w:val="false"/>
          <w:sz w:val="20"/>
        </w:rPr>
        <w:t xml:space="preserve">12,500 paid to Agile Funding. The June Agile note has a maturity date of </w:t>
      </w:r>
      <w:bookmarkStart w:id="2492" w:name="xdx_90D_eus-gaap--DebtInstrumentMaturity"/>
      <w:bookmarkEnd w:id="2492"/>
      <w:r>
        <w:rPr>
          <w:rFonts w:ascii="Times New Roman;Times;Serif" w:hAnsi="Times New Roman;Times;Serif"/>
          <w:b w:val="false"/>
          <w:i w:val="false"/>
          <w:caps w:val="false"/>
          <w:smallCaps w:val="false"/>
          <w:sz w:val="20"/>
        </w:rPr>
        <w:t xml:space="preserve">December 15, 2025 and bears interest at a rate of </w:t>
      </w:r>
      <w:bookmarkStart w:id="2493" w:name="xdx_906_eus-gaap--DebtInstrumentInterest"/>
      <w:bookmarkEnd w:id="2493"/>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w:t>
      </w:r>
      <w:bookmarkStart w:id="2494" w:name="xdx_90B_ecustom--DebtInstrumentDefaultIn"/>
      <w:bookmarkEnd w:id="2494"/>
      <w:r>
        <w:rPr>
          <w:rFonts w:ascii="Times New Roman;Times;Serif" w:hAnsi="Times New Roman;Times;Serif"/>
          <w:b w:val="false"/>
          <w:i w:val="false"/>
          <w:caps w:val="false"/>
          <w:smallCaps w:val="false"/>
          <w:sz w:val="20"/>
        </w:rPr>
        <w:t>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w:t>
      </w:r>
      <w:bookmarkStart w:id="2495" w:name="xdx_902_eus-gaap--NotesPayableCurrent_iI"/>
      <w:bookmarkEnd w:id="2495"/>
      <w:r>
        <w:rPr>
          <w:rFonts w:ascii="Times New Roman;Times;Serif" w:hAnsi="Times New Roman;Times;Serif"/>
          <w:b w:val="false"/>
          <w:i w:val="false"/>
          <w:caps w:val="false"/>
          <w:smallCaps w:val="false"/>
          <w:sz w:val="20"/>
        </w:rPr>
        <w:t>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w:t>
      </w:r>
      <w:bookmarkStart w:id="2496" w:name="xdx_909_eus-gaap--LongTermNotesPayable_i"/>
      <w:bookmarkEnd w:id="2496"/>
      <w:r>
        <w:rPr>
          <w:rFonts w:ascii="Times New Roman;Times;Serif" w:hAnsi="Times New Roman;Times;Serif"/>
          <w:b w:val="false"/>
          <w:i w:val="false"/>
          <w:caps w:val="false"/>
          <w:smallCaps w:val="false"/>
          <w:sz w:val="20"/>
        </w:rPr>
        <w:t>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w:t>
      </w:r>
      <w:bookmarkStart w:id="2497" w:name="xdx_907_eus-gaap--GainsLossesOnExtinguis"/>
      <w:bookmarkEnd w:id="2497"/>
      <w:r>
        <w:rPr>
          <w:rFonts w:ascii="Times New Roman;Times;Serif" w:hAnsi="Times New Roman;Times;Serif"/>
          <w:b w:val="false"/>
          <w:i w:val="false"/>
          <w:caps w:val="false"/>
          <w:smallCaps w:val="false"/>
          <w:sz w:val="20"/>
        </w:rPr>
        <w:t>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 entered into an exchange agreement with Agile pursuant to which the Company issued </w:t>
      </w:r>
      <w:bookmarkStart w:id="2498" w:name="xdx_902_ecustom--SharesIssuedUnderPromis"/>
      <w:bookmarkEnd w:id="2498"/>
      <w:r>
        <w:rPr>
          <w:rFonts w:ascii="Times New Roman;Times;Serif" w:hAnsi="Times New Roman;Times;Serif"/>
          <w:b w:val="false"/>
          <w:i w:val="false"/>
          <w:caps w:val="false"/>
          <w:smallCaps w:val="false"/>
          <w:sz w:val="20"/>
        </w:rPr>
        <w:t>11,640 shares of its Class A common stock in exchange for a reduction of $</w:t>
      </w:r>
      <w:bookmarkStart w:id="2499" w:name="xdx_90D_ecustom--AggregateReductionsOfIn"/>
      <w:bookmarkEnd w:id="2499"/>
      <w:r>
        <w:rPr>
          <w:rFonts w:ascii="Times New Roman;Times;Serif" w:hAnsi="Times New Roman;Times;Serif"/>
          <w:b w:val="false"/>
          <w:i w:val="false"/>
          <w:caps w:val="false"/>
          <w:smallCaps w:val="false"/>
          <w:sz w:val="20"/>
        </w:rPr>
        <w:t>284,000 in the outstanding balance of the March Agile Note. Following this exchange, the outstanding balance of the March Agile Note was reduced to approximately $</w:t>
      </w:r>
      <w:bookmarkStart w:id="2500" w:name="xdx_903_eus-gaap--LongTermNotesPayable_i"/>
      <w:bookmarkEnd w:id="2500"/>
      <w:r>
        <w:rPr>
          <w:rFonts w:ascii="Times New Roman;Times;Serif" w:hAnsi="Times New Roman;Times;Serif"/>
          <w:b w:val="false"/>
          <w:i w:val="false"/>
          <w:caps w:val="false"/>
          <w:smallCaps w:val="false"/>
          <w:sz w:val="20"/>
        </w:rPr>
        <w:t>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w:t>
      </w:r>
      <w:bookmarkStart w:id="2501" w:name="xdx_904_eus-gaap--InterestExpense_c20250"/>
      <w:bookmarkEnd w:id="2501"/>
      <w:r>
        <w:rPr>
          <w:rFonts w:ascii="Times New Roman;Times;Serif" w:hAnsi="Times New Roman;Times;Serif"/>
          <w:b w:val="false"/>
          <w:i w:val="false"/>
          <w:caps w:val="false"/>
          <w:smallCaps w:val="false"/>
          <w:sz w:val="20"/>
        </w:rPr>
        <w:t>2,727,280 and $</w:t>
      </w:r>
      <w:bookmarkStart w:id="2502" w:name="xdx_900_eus-gaap--InterestExpense_c20240"/>
      <w:bookmarkEnd w:id="2502"/>
      <w:r>
        <w:rPr>
          <w:rFonts w:ascii="Times New Roman;Times;Serif" w:hAnsi="Times New Roman;Times;Serif"/>
          <w:b w:val="false"/>
          <w:i w:val="false"/>
          <w:caps w:val="false"/>
          <w:smallCaps w:val="false"/>
          <w:sz w:val="20"/>
        </w:rPr>
        <w:t>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03" w:name="xdx_892_eus-gaap--ScheduleOfDebtInstrume"/>
      <w:bookmarkEnd w:id="2503"/>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bookmarkStart w:id="2504" w:name="xdx_8B2_ztbzN7YWyRY6"/>
      <w:bookmarkEnd w:id="2504"/>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505" w:name="xdx_30F_134_zhriNNhgrpzl"/>
      <w:bookmarkStart w:id="2506" w:name="xdx_30F_134_zhriNNhgrpzl"/>
      <w:bookmarkEnd w:id="2506"/>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07" w:name="xdx_4BA_us-gaap--LongtermDebtTypeAxis_cu"/>
            <w:bookmarkEnd w:id="2507"/>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bookmarkStart w:id="2508" w:name="xdx_434_c20250101__20251231_eus-gaap--No"/>
            <w:bookmarkEnd w:id="250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bookmarkStart w:id="2509" w:name="xdx_40F_ecustom--IssuanceOfLongTermDebt_"/>
            <w:bookmarkEnd w:id="250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bookmarkStart w:id="2510" w:name="xdx_406_ecustom--GainsLossesOnDebtIssuan"/>
            <w:bookmarkEnd w:id="251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bookmarkStart w:id="2511" w:name="xdx_406_eus-gaap--GainsLossesOnExtinguis"/>
            <w:bookmarkEnd w:id="251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bookmarkStart w:id="2512" w:name="xdx_406_eus-gaap--RepaymentsOfLongTermDe"/>
            <w:bookmarkEnd w:id="251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3" w:name="xdx_40C_ecustom--ConversionsOfLongTermDe"/>
            <w:bookmarkEnd w:id="2513"/>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4" w:name="xdx_402_ecustom--ChangeInFairValueOfLong"/>
            <w:bookmarkEnd w:id="2514"/>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bookmarkStart w:id="2515" w:name="xdx_430_c20250101__20251231_eus-gaap--No"/>
            <w:bookmarkEnd w:id="2515"/>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6" w:name="xdx_980_eus-gaap--LongTermNotesPayable_i"/>
            <w:bookmarkEnd w:id="2516"/>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7" w:name="xdx_986_ecustom--InterestPayableOnLongTe"/>
            <w:bookmarkEnd w:id="2517"/>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518" w:name="xdx_8A0_zIfDwbKr8GVb"/>
      <w:bookmarkEnd w:id="251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w:t>
      </w:r>
      <w:bookmarkStart w:id="2519" w:name="xdx_904_eus-gaap--DebtInstrumentFaceAmou"/>
      <w:bookmarkEnd w:id="2519"/>
      <w:r>
        <w:rPr>
          <w:rFonts w:ascii="Times New Roman;Times;Serif" w:hAnsi="Times New Roman;Times;Serif"/>
          <w:b w:val="false"/>
          <w:i w:val="false"/>
          <w:caps w:val="false"/>
          <w:smallCaps w:val="false"/>
          <w:sz w:val="20"/>
        </w:rPr>
        <w:t>184,000 and received net proceeds of $</w:t>
      </w:r>
      <w:bookmarkStart w:id="2520" w:name="xdx_901_eus-gaap--ProceedsFromIssuanceOf"/>
      <w:bookmarkEnd w:id="2520"/>
      <w:r>
        <w:rPr>
          <w:rFonts w:ascii="Times New Roman;Times;Serif" w:hAnsi="Times New Roman;Times;Serif"/>
          <w:b w:val="false"/>
          <w:i w:val="false"/>
          <w:caps w:val="false"/>
          <w:smallCaps w:val="false"/>
          <w:sz w:val="20"/>
        </w:rPr>
        <w:t>152,000, after an original issue discount of $</w:t>
      </w:r>
      <w:bookmarkStart w:id="2521" w:name="xdx_905_eus-gaap--DebtInstrumentUnamorti"/>
      <w:bookmarkEnd w:id="2521"/>
      <w:r>
        <w:rPr>
          <w:rFonts w:ascii="Times New Roman;Times;Serif" w:hAnsi="Times New Roman;Times;Serif"/>
          <w:b w:val="false"/>
          <w:i w:val="false"/>
          <w:caps w:val="false"/>
          <w:smallCaps w:val="false"/>
          <w:sz w:val="20"/>
        </w:rPr>
        <w:t>24,000 and issuance costs of $</w:t>
      </w:r>
      <w:bookmarkStart w:id="2522" w:name="xdx_90A_ecustom--DebtInstrumentUnamortiz"/>
      <w:bookmarkEnd w:id="2522"/>
      <w:r>
        <w:rPr>
          <w:rFonts w:ascii="Times New Roman;Times;Serif" w:hAnsi="Times New Roman;Times;Serif"/>
          <w:b w:val="false"/>
          <w:i w:val="false"/>
          <w:caps w:val="false"/>
          <w:smallCaps w:val="false"/>
          <w:sz w:val="20"/>
        </w:rPr>
        <w:t xml:space="preserve">8,000 for due diligence and legal fees. The August 1800 Diagonal Note has a maturity date of </w:t>
      </w:r>
      <w:bookmarkStart w:id="2523" w:name="xdx_909_eus-gaap--DebtInstrumentMaturity"/>
      <w:bookmarkEnd w:id="2523"/>
      <w:r>
        <w:rPr>
          <w:rFonts w:ascii="Times New Roman;Times;Serif" w:hAnsi="Times New Roman;Times;Serif"/>
          <w:b w:val="false"/>
          <w:i w:val="false"/>
          <w:caps w:val="false"/>
          <w:smallCaps w:val="false"/>
          <w:sz w:val="20"/>
        </w:rPr>
        <w:t xml:space="preserve">June 15, 2025 and bears interest at </w:t>
      </w:r>
      <w:bookmarkStart w:id="2524" w:name="xdx_90B_eus-gaap--DebtInstrumentInterest"/>
      <w:bookmarkEnd w:id="2524"/>
      <w:r>
        <w:rPr>
          <w:rFonts w:ascii="Times New Roman;Times;Serif" w:hAnsi="Times New Roman;Times;Serif"/>
          <w:b w:val="false"/>
          <w:i w:val="false"/>
          <w:caps w:val="false"/>
          <w:smallCaps w:val="false"/>
          <w:sz w:val="20"/>
        </w:rPr>
        <w:t>12% per annum. The August Securities Purchase Agreement stipulates that the Company and Lender may mutually agree to enter into additional tranches of promissory notes over the 12 month period commencing on August 16, 2024, up to an aggregate total of $</w:t>
      </w:r>
      <w:bookmarkStart w:id="2525" w:name="xdx_905_eus-gaap--DebtInstrumentFaceAmou"/>
      <w:bookmarkEnd w:id="2525"/>
      <w:r>
        <w:rPr>
          <w:rFonts w:ascii="Times New Roman;Times;Serif" w:hAnsi="Times New Roman;Times;Serif"/>
          <w:b w:val="false"/>
          <w:i w:val="false"/>
          <w:caps w:val="false"/>
          <w:smallCaps w:val="false"/>
          <w:sz w:val="20"/>
        </w:rPr>
        <w:t>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w:t>
      </w:r>
      <w:bookmarkStart w:id="2526" w:name="xdx_908_eus-gaap--DebtInstrumentFaceAmou"/>
      <w:bookmarkEnd w:id="2526"/>
      <w:r>
        <w:rPr>
          <w:rFonts w:ascii="Times New Roman;Times;Serif" w:hAnsi="Times New Roman;Times;Serif"/>
          <w:b w:val="false"/>
          <w:i w:val="false"/>
          <w:caps w:val="false"/>
          <w:smallCaps w:val="false"/>
          <w:sz w:val="20"/>
        </w:rPr>
        <w:t>124,200 and received net proceeds of $</w:t>
      </w:r>
      <w:bookmarkStart w:id="2527" w:name="xdx_90D_eus-gaap--ProceedsFromIssuanceOf"/>
      <w:bookmarkEnd w:id="2527"/>
      <w:r>
        <w:rPr>
          <w:rFonts w:ascii="Times New Roman;Times;Serif" w:hAnsi="Times New Roman;Times;Serif"/>
          <w:b w:val="false"/>
          <w:i w:val="false"/>
          <w:caps w:val="false"/>
          <w:smallCaps w:val="false"/>
          <w:sz w:val="20"/>
        </w:rPr>
        <w:t>100,000, after an original discount of $</w:t>
      </w:r>
      <w:bookmarkStart w:id="2528" w:name="xdx_901_eus-gaap--DebtInstrumentUnamorti"/>
      <w:bookmarkEnd w:id="2528"/>
      <w:r>
        <w:rPr>
          <w:rFonts w:ascii="Times New Roman;Times;Serif" w:hAnsi="Times New Roman;Times;Serif"/>
          <w:b w:val="false"/>
          <w:i w:val="false"/>
          <w:caps w:val="false"/>
          <w:smallCaps w:val="false"/>
          <w:sz w:val="20"/>
        </w:rPr>
        <w:t>16,200 and issuance costs of $</w:t>
      </w:r>
      <w:bookmarkStart w:id="2529" w:name="xdx_903_ecustom--DebtInstrumentUnamortiz"/>
      <w:bookmarkEnd w:id="2529"/>
      <w:r>
        <w:rPr>
          <w:rFonts w:ascii="Times New Roman;Times;Serif" w:hAnsi="Times New Roman;Times;Serif"/>
          <w:b w:val="false"/>
          <w:i w:val="false"/>
          <w:caps w:val="false"/>
          <w:smallCaps w:val="false"/>
          <w:sz w:val="20"/>
        </w:rPr>
        <w:t xml:space="preserve">8,000 for due diligence and legal fees. The September 1800 Diagonal Note has a maturity date of </w:t>
      </w:r>
      <w:bookmarkStart w:id="2530" w:name="xdx_902_eus-gaap--DebtInstrumentMaturity"/>
      <w:bookmarkEnd w:id="2530"/>
      <w:r>
        <w:rPr>
          <w:rFonts w:ascii="Times New Roman;Times;Serif" w:hAnsi="Times New Roman;Times;Serif"/>
          <w:b w:val="false"/>
          <w:i w:val="false"/>
          <w:caps w:val="false"/>
          <w:smallCaps w:val="false"/>
          <w:sz w:val="20"/>
        </w:rPr>
        <w:t xml:space="preserve">July 30, 2025 and bears interest at </w:t>
      </w:r>
      <w:bookmarkStart w:id="2531" w:name="xdx_90E_eus-gaap--DebtInstrumentInterest"/>
      <w:bookmarkEnd w:id="2531"/>
      <w:r>
        <w:rPr>
          <w:rFonts w:ascii="Times New Roman;Times;Serif" w:hAnsi="Times New Roman;Times;Serif"/>
          <w:b w:val="false"/>
          <w:i w:val="false"/>
          <w:caps w:val="false"/>
          <w:smallCaps w:val="false"/>
          <w:sz w:val="20"/>
        </w:rPr>
        <w:t>12% per annum. On July 23, 2025, the Company exercised its conversion option under the September 1800 Diagonal Note. On the conversion date, the September 1800 Diagonal Note had a fair value of $</w:t>
      </w:r>
      <w:bookmarkStart w:id="2532" w:name="xdx_904_eus-gaap--DebtInstrumentFairValu"/>
      <w:bookmarkEnd w:id="2532"/>
      <w:r>
        <w:rPr>
          <w:rFonts w:ascii="Times New Roman;Times;Serif" w:hAnsi="Times New Roman;Times;Serif"/>
          <w:b w:val="false"/>
          <w:i w:val="false"/>
          <w:caps w:val="false"/>
          <w:smallCaps w:val="false"/>
          <w:sz w:val="20"/>
        </w:rPr>
        <w:t xml:space="preserve">17,000 and converted into </w:t>
      </w:r>
      <w:bookmarkStart w:id="2533" w:name="xdx_905_eus-gaap--ConversionOfStockShare"/>
      <w:bookmarkEnd w:id="2533"/>
      <w:r>
        <w:rPr>
          <w:rFonts w:ascii="Times New Roman;Times;Serif" w:hAnsi="Times New Roman;Times;Serif"/>
          <w:b w:val="false"/>
          <w:i w:val="false"/>
          <w:caps w:val="false"/>
          <w:smallCaps w:val="false"/>
          <w:sz w:val="20"/>
        </w:rPr>
        <w:t>352 shares of the Company’s Class A Common Stock in satisfaction of $</w:t>
      </w:r>
      <w:bookmarkStart w:id="2534" w:name="xdx_900_eus-gaap--ConversionOfStockAmoun"/>
      <w:bookmarkEnd w:id="2534"/>
      <w:r>
        <w:rPr>
          <w:rFonts w:ascii="Times New Roman;Times;Serif" w:hAnsi="Times New Roman;Times;Serif"/>
          <w:b w:val="false"/>
          <w:i w:val="false"/>
          <w:caps w:val="false"/>
          <w:smallCaps w:val="false"/>
          <w:sz w:val="20"/>
        </w:rPr>
        <w:t>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w:t>
      </w:r>
      <w:bookmarkStart w:id="2535" w:name="xdx_903_eus-gaap--DebtInstrumentFaceAmou"/>
      <w:bookmarkEnd w:id="2535"/>
      <w:r>
        <w:rPr>
          <w:rFonts w:ascii="Times New Roman;Times;Serif" w:hAnsi="Times New Roman;Times;Serif"/>
          <w:b w:val="false"/>
          <w:i w:val="false"/>
          <w:caps w:val="false"/>
          <w:smallCaps w:val="false"/>
          <w:sz w:val="20"/>
        </w:rPr>
        <w:t>124,200 and received net proceeds of $</w:t>
      </w:r>
      <w:bookmarkStart w:id="2536" w:name="xdx_90D_eus-gaap--ProceedsFromIssuanceOf"/>
      <w:bookmarkEnd w:id="2536"/>
      <w:r>
        <w:rPr>
          <w:rFonts w:ascii="Times New Roman;Times;Serif" w:hAnsi="Times New Roman;Times;Serif"/>
          <w:b w:val="false"/>
          <w:i w:val="false"/>
          <w:caps w:val="false"/>
          <w:smallCaps w:val="false"/>
          <w:sz w:val="20"/>
        </w:rPr>
        <w:t>100,000, after an original discount of $</w:t>
      </w:r>
      <w:bookmarkStart w:id="2537" w:name="xdx_902_eus-gaap--DebtInstrumentUnamorti"/>
      <w:bookmarkEnd w:id="2537"/>
      <w:r>
        <w:rPr>
          <w:rFonts w:ascii="Times New Roman;Times;Serif" w:hAnsi="Times New Roman;Times;Serif"/>
          <w:b w:val="false"/>
          <w:i w:val="false"/>
          <w:caps w:val="false"/>
          <w:smallCaps w:val="false"/>
          <w:sz w:val="20"/>
        </w:rPr>
        <w:t>16,200 and issuance costs of $</w:t>
      </w:r>
      <w:bookmarkStart w:id="2538" w:name="xdx_904_ecustom--DebtInstrumentUnamortiz"/>
      <w:bookmarkEnd w:id="2538"/>
      <w:r>
        <w:rPr>
          <w:rFonts w:ascii="Times New Roman;Times;Serif" w:hAnsi="Times New Roman;Times;Serif"/>
          <w:b w:val="false"/>
          <w:i w:val="false"/>
          <w:caps w:val="false"/>
          <w:smallCaps w:val="false"/>
          <w:sz w:val="20"/>
        </w:rPr>
        <w:t xml:space="preserve">8,000 for due diligence and legal fees. The December 1800 Diagonal Note has a maturity date of </w:t>
      </w:r>
      <w:bookmarkStart w:id="2539" w:name="xdx_905_eus-gaap--DebtInstrumentMaturity"/>
      <w:bookmarkEnd w:id="2539"/>
      <w:r>
        <w:rPr>
          <w:rFonts w:ascii="Times New Roman;Times;Serif" w:hAnsi="Times New Roman;Times;Serif"/>
          <w:b w:val="false"/>
          <w:i w:val="false"/>
          <w:caps w:val="false"/>
          <w:smallCaps w:val="false"/>
          <w:sz w:val="20"/>
        </w:rPr>
        <w:t xml:space="preserve">October 15, 2025 and bears interest at </w:t>
      </w:r>
      <w:bookmarkStart w:id="2540" w:name="xdx_901_eus-gaap--DebtInstrumentInterest"/>
      <w:bookmarkEnd w:id="2540"/>
      <w:r>
        <w:rPr>
          <w:rFonts w:ascii="Times New Roman;Times;Serif" w:hAnsi="Times New Roman;Times;Serif"/>
          <w:b w:val="false"/>
          <w:i w:val="false"/>
          <w:caps w:val="false"/>
          <w:smallCaps w:val="false"/>
          <w:sz w:val="20"/>
        </w:rPr>
        <w:t>12% per annum. On July 22, 2025, the Company exercised its conversion option under the December 1800 Diagonal Note. On the conversion date, the December 1800 Diagonal Note had a fair value of $</w:t>
      </w:r>
      <w:bookmarkStart w:id="2541" w:name="xdx_904_eus-gaap--DebtInstrumentFairValu"/>
      <w:bookmarkEnd w:id="2541"/>
      <w:r>
        <w:rPr>
          <w:rFonts w:ascii="Times New Roman;Times;Serif" w:hAnsi="Times New Roman;Times;Serif"/>
          <w:b w:val="false"/>
          <w:i w:val="false"/>
          <w:caps w:val="false"/>
          <w:smallCaps w:val="false"/>
          <w:sz w:val="20"/>
        </w:rPr>
        <w:t xml:space="preserve">58,000 and converted into </w:t>
      </w:r>
      <w:bookmarkStart w:id="2542" w:name="xdx_90B_eus-gaap--ConversionOfStockShare"/>
      <w:bookmarkEnd w:id="2542"/>
      <w:r>
        <w:rPr>
          <w:rFonts w:ascii="Times New Roman;Times;Serif" w:hAnsi="Times New Roman;Times;Serif"/>
          <w:b w:val="false"/>
          <w:i w:val="false"/>
          <w:caps w:val="false"/>
          <w:smallCaps w:val="false"/>
          <w:sz w:val="20"/>
        </w:rPr>
        <w:t>999 shares of the Company’s Class A Common Stock in satisfaction of $</w:t>
      </w:r>
      <w:bookmarkStart w:id="2543" w:name="xdx_90C_eus-gaap--ConversionOfStockAmoun"/>
      <w:bookmarkEnd w:id="2543"/>
      <w:r>
        <w:rPr>
          <w:rFonts w:ascii="Times New Roman;Times;Serif" w:hAnsi="Times New Roman;Times;Serif"/>
          <w:b w:val="false"/>
          <w:i w:val="false"/>
          <w:caps w:val="false"/>
          <w:smallCaps w:val="false"/>
          <w:sz w:val="20"/>
        </w:rPr>
        <w:t>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w:t>
      </w:r>
      <w:bookmarkStart w:id="2544" w:name="xdx_906_eus-gaap--DebtInstrumentFaceAmou"/>
      <w:bookmarkEnd w:id="2544"/>
      <w:r>
        <w:rPr>
          <w:rFonts w:ascii="Times New Roman;Times;Serif" w:hAnsi="Times New Roman;Times;Serif"/>
          <w:b w:val="false"/>
          <w:i w:val="false"/>
          <w:caps w:val="false"/>
          <w:smallCaps w:val="false"/>
          <w:sz w:val="20"/>
        </w:rPr>
        <w:t>124,200 and received net proceeds of $</w:t>
      </w:r>
      <w:bookmarkStart w:id="2545" w:name="xdx_906_eus-gaap--ProceedsFromIssuanceOf"/>
      <w:bookmarkEnd w:id="2545"/>
      <w:r>
        <w:rPr>
          <w:rFonts w:ascii="Times New Roman;Times;Serif" w:hAnsi="Times New Roman;Times;Serif"/>
          <w:b w:val="false"/>
          <w:i w:val="false"/>
          <w:caps w:val="false"/>
          <w:smallCaps w:val="false"/>
          <w:sz w:val="20"/>
        </w:rPr>
        <w:t>100,000, after an original discount of $</w:t>
      </w:r>
      <w:bookmarkStart w:id="2546" w:name="xdx_90B_eus-gaap--DebtInstrumentUnamorti"/>
      <w:bookmarkEnd w:id="2546"/>
      <w:r>
        <w:rPr>
          <w:rFonts w:ascii="Times New Roman;Times;Serif" w:hAnsi="Times New Roman;Times;Serif"/>
          <w:b w:val="false"/>
          <w:i w:val="false"/>
          <w:caps w:val="false"/>
          <w:smallCaps w:val="false"/>
          <w:sz w:val="20"/>
        </w:rPr>
        <w:t>16,200 and issuance costs of $</w:t>
      </w:r>
      <w:bookmarkStart w:id="2547" w:name="xdx_90C_ecustom--DebtInstrumentUnamortiz"/>
      <w:bookmarkEnd w:id="2547"/>
      <w:r>
        <w:rPr>
          <w:rFonts w:ascii="Times New Roman;Times;Serif" w:hAnsi="Times New Roman;Times;Serif"/>
          <w:b w:val="false"/>
          <w:i w:val="false"/>
          <w:caps w:val="false"/>
          <w:smallCaps w:val="false"/>
          <w:sz w:val="20"/>
        </w:rPr>
        <w:t xml:space="preserve">8,000 for due diligence and legal fees. The February 1800 Diagonal Note has a maturity date of </w:t>
      </w:r>
      <w:bookmarkStart w:id="2548" w:name="xdx_906_eus-gaap--DebtInstrumentMaturity"/>
      <w:bookmarkEnd w:id="2548"/>
      <w:r>
        <w:rPr>
          <w:rFonts w:ascii="Times New Roman;Times;Serif" w:hAnsi="Times New Roman;Times;Serif"/>
          <w:b w:val="false"/>
          <w:i w:val="false"/>
          <w:caps w:val="false"/>
          <w:smallCaps w:val="false"/>
          <w:sz w:val="20"/>
        </w:rPr>
        <w:t xml:space="preserve">December 15, 2025 and bears interest at </w:t>
      </w:r>
      <w:bookmarkStart w:id="2549" w:name="xdx_904_eus-gaap--DebtInstrumentInterest"/>
      <w:bookmarkEnd w:id="2549"/>
      <w:r>
        <w:rPr>
          <w:rFonts w:ascii="Times New Roman;Times;Serif" w:hAnsi="Times New Roman;Times;Serif"/>
          <w:b w:val="false"/>
          <w:i w:val="false"/>
          <w:caps w:val="false"/>
          <w:smallCaps w:val="false"/>
          <w:sz w:val="20"/>
        </w:rPr>
        <w:t>12% per annum. On August 11, 2025, the Company exercised its conversion option under the February 1800 Diagonal Note. On the conversion date, the February 1800 Diagonal Note had a fair value of $</w:t>
      </w:r>
      <w:bookmarkStart w:id="2550" w:name="xdx_90F_eus-gaap--DebtInstrumentFairValu"/>
      <w:bookmarkEnd w:id="2550"/>
      <w:r>
        <w:rPr>
          <w:rFonts w:ascii="Times New Roman;Times;Serif" w:hAnsi="Times New Roman;Times;Serif"/>
          <w:b w:val="false"/>
          <w:i w:val="false"/>
          <w:caps w:val="false"/>
          <w:smallCaps w:val="false"/>
          <w:sz w:val="20"/>
        </w:rPr>
        <w:t xml:space="preserve">80,700 and converted into </w:t>
      </w:r>
      <w:bookmarkStart w:id="2551" w:name="xdx_900_eus-gaap--ConversionOfStockShare"/>
      <w:bookmarkEnd w:id="2551"/>
      <w:r>
        <w:rPr>
          <w:rFonts w:ascii="Times New Roman;Times;Serif" w:hAnsi="Times New Roman;Times;Serif"/>
          <w:b w:val="false"/>
          <w:i w:val="false"/>
          <w:caps w:val="false"/>
          <w:smallCaps w:val="false"/>
          <w:sz w:val="20"/>
        </w:rPr>
        <w:t>1,639 shares of the Company’s Class A Common Stock in satisfaction of $</w:t>
      </w:r>
      <w:bookmarkStart w:id="2552" w:name="xdx_90C_eus-gaap--ConversionOfStockAmoun"/>
      <w:bookmarkEnd w:id="2552"/>
      <w:r>
        <w:rPr>
          <w:rFonts w:ascii="Times New Roman;Times;Serif" w:hAnsi="Times New Roman;Times;Serif"/>
          <w:b w:val="false"/>
          <w:i w:val="false"/>
          <w:caps w:val="false"/>
          <w:smallCaps w:val="false"/>
          <w:sz w:val="20"/>
        </w:rPr>
        <w:t>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w:t>
      </w:r>
      <w:bookmarkStart w:id="2553" w:name="xdx_90C_eus-gaap--DebtInstrumentFaceAmou"/>
      <w:bookmarkEnd w:id="2553"/>
      <w:r>
        <w:rPr>
          <w:rFonts w:ascii="Times New Roman;Times;Serif" w:hAnsi="Times New Roman;Times;Serif"/>
          <w:b w:val="false"/>
          <w:i w:val="false"/>
          <w:caps w:val="false"/>
          <w:smallCaps w:val="false"/>
          <w:sz w:val="20"/>
        </w:rPr>
        <w:t>230,000 and received net proceeds of $</w:t>
      </w:r>
      <w:bookmarkStart w:id="2554" w:name="xdx_905_eus-gaap--ProceedsFromIssuanceOf"/>
      <w:bookmarkEnd w:id="2554"/>
      <w:r>
        <w:rPr>
          <w:rFonts w:ascii="Times New Roman;Times;Serif" w:hAnsi="Times New Roman;Times;Serif"/>
          <w:b w:val="false"/>
          <w:i w:val="false"/>
          <w:caps w:val="false"/>
          <w:smallCaps w:val="false"/>
          <w:sz w:val="20"/>
        </w:rPr>
        <w:t>192,000, after an original discount of $</w:t>
      </w:r>
      <w:bookmarkStart w:id="2555" w:name="xdx_902_eus-gaap--DebtInstrumentUnamorti"/>
      <w:bookmarkEnd w:id="2555"/>
      <w:r>
        <w:rPr>
          <w:rFonts w:ascii="Times New Roman;Times;Serif" w:hAnsi="Times New Roman;Times;Serif"/>
          <w:b w:val="false"/>
          <w:i w:val="false"/>
          <w:caps w:val="false"/>
          <w:smallCaps w:val="false"/>
          <w:sz w:val="20"/>
        </w:rPr>
        <w:t>30,000 and issuance costs of $</w:t>
      </w:r>
      <w:bookmarkStart w:id="2556" w:name="xdx_904_ecustom--DebtInstrumentUnamortiz"/>
      <w:bookmarkEnd w:id="2556"/>
      <w:r>
        <w:rPr>
          <w:rFonts w:ascii="Times New Roman;Times;Serif" w:hAnsi="Times New Roman;Times;Serif"/>
          <w:b w:val="false"/>
          <w:i w:val="false"/>
          <w:caps w:val="false"/>
          <w:smallCaps w:val="false"/>
          <w:sz w:val="20"/>
        </w:rPr>
        <w:t xml:space="preserve">8,000 for due diligence and legal fees. The April 1800 Diagonal Note has a maturity date of </w:t>
      </w:r>
      <w:bookmarkStart w:id="2557" w:name="xdx_906_eus-gaap--DebtInstrumentMaturity"/>
      <w:bookmarkEnd w:id="2557"/>
      <w:r>
        <w:rPr>
          <w:rFonts w:ascii="Times New Roman;Times;Serif" w:hAnsi="Times New Roman;Times;Serif"/>
          <w:b w:val="false"/>
          <w:i w:val="false"/>
          <w:caps w:val="false"/>
          <w:smallCaps w:val="false"/>
          <w:sz w:val="20"/>
        </w:rPr>
        <w:t xml:space="preserve">February 15, 2026 and bears interest at </w:t>
      </w:r>
      <w:bookmarkStart w:id="2558" w:name="xdx_90A_eus-gaap--DebtInstrumentInterest"/>
      <w:bookmarkEnd w:id="2558"/>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21, 2025 and October 27, 2025, the Lender exercised its conversion option multiple times under the April 1800 Diagonal Note and received an aggregate of </w:t>
      </w:r>
      <w:bookmarkStart w:id="2559" w:name="xdx_90E_eus-gaap--StockIssuedDuringPerio"/>
      <w:bookmarkEnd w:id="2559"/>
      <w:r>
        <w:rPr>
          <w:rFonts w:ascii="Times New Roman;Times;Serif" w:hAnsi="Times New Roman;Times;Serif"/>
          <w:b w:val="false"/>
          <w:i w:val="false"/>
          <w:caps w:val="false"/>
          <w:smallCaps w:val="false"/>
          <w:sz w:val="20"/>
        </w:rPr>
        <w:t>7,015 shares of Class A Common Stock at conversion prices per share ranging from $</w:t>
      </w:r>
      <w:bookmarkStart w:id="2560" w:name="xdx_902_eus-gaap--SharesIssuedPricePerSh"/>
      <w:bookmarkEnd w:id="2560"/>
      <w:r>
        <w:rPr>
          <w:rFonts w:ascii="Times New Roman;Times;Serif" w:hAnsi="Times New Roman;Times;Serif"/>
          <w:b w:val="false"/>
          <w:i w:val="false"/>
          <w:caps w:val="false"/>
          <w:smallCaps w:val="false"/>
          <w:sz w:val="20"/>
        </w:rPr>
        <w:t>33.80 to $</w:t>
      </w:r>
      <w:bookmarkStart w:id="2561" w:name="xdx_907_eus-gaap--SharesIssuedPricePerSh"/>
      <w:bookmarkEnd w:id="2561"/>
      <w:r>
        <w:rPr>
          <w:rFonts w:ascii="Times New Roman;Times;Serif" w:hAnsi="Times New Roman;Times;Serif"/>
          <w:b w:val="false"/>
          <w:i w:val="false"/>
          <w:caps w:val="false"/>
          <w:smallCaps w:val="false"/>
          <w:sz w:val="20"/>
        </w:rPr>
        <w:t>41.20 in full satisfaction of the Company’s remaining obligations under the April 1800 Diagonal Note totaling $</w:t>
      </w:r>
      <w:bookmarkStart w:id="2562" w:name="xdx_90E_eus-gaap--ConversionOfStockAmoun"/>
      <w:bookmarkEnd w:id="2562"/>
      <w:r>
        <w:rPr>
          <w:rFonts w:ascii="Times New Roman;Times;Serif" w:hAnsi="Times New Roman;Times;Serif"/>
          <w:b w:val="false"/>
          <w:i w:val="false"/>
          <w:caps w:val="false"/>
          <w:smallCaps w:val="false"/>
          <w:sz w:val="20"/>
        </w:rPr>
        <w:t>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w:t>
      </w:r>
      <w:bookmarkStart w:id="2563" w:name="xdx_90C_eus-gaap--DebtInstrumentFaceAmou"/>
      <w:bookmarkEnd w:id="2563"/>
      <w:r>
        <w:rPr>
          <w:rFonts w:ascii="Times New Roman;Times;Serif" w:hAnsi="Times New Roman;Times;Serif"/>
          <w:b w:val="false"/>
          <w:i w:val="false"/>
          <w:caps w:val="false"/>
          <w:smallCaps w:val="false"/>
          <w:sz w:val="20"/>
        </w:rPr>
        <w:t>163,300 and received net proceeds of $</w:t>
      </w:r>
      <w:bookmarkStart w:id="2564" w:name="xdx_904_eus-gaap--ProceedsFromIssuanceOf"/>
      <w:bookmarkEnd w:id="2564"/>
      <w:r>
        <w:rPr>
          <w:rFonts w:ascii="Times New Roman;Times;Serif" w:hAnsi="Times New Roman;Times;Serif"/>
          <w:b w:val="false"/>
          <w:i w:val="false"/>
          <w:caps w:val="false"/>
          <w:smallCaps w:val="false"/>
          <w:sz w:val="20"/>
        </w:rPr>
        <w:t>135,000, after an original discount of $</w:t>
      </w:r>
      <w:bookmarkStart w:id="2565" w:name="xdx_907_eus-gaap--DebtInstrumentUnamorti"/>
      <w:bookmarkEnd w:id="2565"/>
      <w:r>
        <w:rPr>
          <w:rFonts w:ascii="Times New Roman;Times;Serif" w:hAnsi="Times New Roman;Times;Serif"/>
          <w:b w:val="false"/>
          <w:i w:val="false"/>
          <w:caps w:val="false"/>
          <w:smallCaps w:val="false"/>
          <w:sz w:val="20"/>
        </w:rPr>
        <w:t>21,300 and issuance costs of $</w:t>
      </w:r>
      <w:bookmarkStart w:id="2566" w:name="xdx_905_ecustom--DebtInstrumentUnamortiz"/>
      <w:bookmarkEnd w:id="2566"/>
      <w:r>
        <w:rPr>
          <w:rFonts w:ascii="Times New Roman;Times;Serif" w:hAnsi="Times New Roman;Times;Serif"/>
          <w:b w:val="false"/>
          <w:i w:val="false"/>
          <w:caps w:val="false"/>
          <w:smallCaps w:val="false"/>
          <w:sz w:val="20"/>
        </w:rPr>
        <w:t xml:space="preserve">7,000 for due diligence and legal fees. The May 1800 Diagonal Note has a maturity date of </w:t>
      </w:r>
      <w:bookmarkStart w:id="2567" w:name="xdx_900_eus-gaap--DebtInstrumentMaturity"/>
      <w:bookmarkEnd w:id="2567"/>
      <w:r>
        <w:rPr>
          <w:rFonts w:ascii="Times New Roman;Times;Serif" w:hAnsi="Times New Roman;Times;Serif"/>
          <w:b w:val="false"/>
          <w:i w:val="false"/>
          <w:caps w:val="false"/>
          <w:smallCaps w:val="false"/>
          <w:sz w:val="20"/>
        </w:rPr>
        <w:t xml:space="preserve">February 15, 2026 and bears interest at </w:t>
      </w:r>
      <w:bookmarkStart w:id="2568" w:name="xdx_90C_eus-gaap--DebtInstrumentInterest"/>
      <w:bookmarkEnd w:id="2568"/>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w:t>
      </w:r>
      <w:bookmarkStart w:id="2569" w:name="xdx_90F_eus-gaap--DebtInstrumentFaceAmou"/>
      <w:bookmarkEnd w:id="2569"/>
      <w:r>
        <w:rPr>
          <w:rFonts w:ascii="Times New Roman;Times;Serif" w:hAnsi="Times New Roman;Times;Serif"/>
          <w:b w:val="false"/>
          <w:i w:val="false"/>
          <w:caps w:val="false"/>
          <w:smallCaps w:val="false"/>
          <w:sz w:val="20"/>
        </w:rPr>
        <w:t>295,550 and received net proceeds of $</w:t>
      </w:r>
      <w:bookmarkStart w:id="2570" w:name="xdx_90C_eus-gaap--ProceedsFromIssuanceOf"/>
      <w:bookmarkEnd w:id="2570"/>
      <w:r>
        <w:rPr>
          <w:rFonts w:ascii="Times New Roman;Times;Serif" w:hAnsi="Times New Roman;Times;Serif"/>
          <w:b w:val="false"/>
          <w:i w:val="false"/>
          <w:caps w:val="false"/>
          <w:smallCaps w:val="false"/>
          <w:sz w:val="20"/>
        </w:rPr>
        <w:t>250,000, after an original discount of $</w:t>
      </w:r>
      <w:bookmarkStart w:id="2571" w:name="xdx_90E_eus-gaap--DebtInstrumentUnamorti"/>
      <w:bookmarkEnd w:id="2571"/>
      <w:r>
        <w:rPr>
          <w:rFonts w:ascii="Times New Roman;Times;Serif" w:hAnsi="Times New Roman;Times;Serif"/>
          <w:b w:val="false"/>
          <w:i w:val="false"/>
          <w:caps w:val="false"/>
          <w:smallCaps w:val="false"/>
          <w:sz w:val="20"/>
        </w:rPr>
        <w:t>38,550 and issuance costs of $</w:t>
      </w:r>
      <w:bookmarkStart w:id="2572" w:name="xdx_903_ecustom--DebtInstrumentUnamortiz"/>
      <w:bookmarkEnd w:id="2572"/>
      <w:r>
        <w:rPr>
          <w:rFonts w:ascii="Times New Roman;Times;Serif" w:hAnsi="Times New Roman;Times;Serif"/>
          <w:b w:val="false"/>
          <w:i w:val="false"/>
          <w:caps w:val="false"/>
          <w:smallCaps w:val="false"/>
          <w:sz w:val="20"/>
        </w:rPr>
        <w:t xml:space="preserve">7,000 for due diligence and legal fees. The July 1800 Diagonal Note has a maturity date of </w:t>
      </w:r>
      <w:bookmarkStart w:id="2573" w:name="xdx_904_eus-gaap--DebtInstrumentMaturity"/>
      <w:bookmarkEnd w:id="2573"/>
      <w:r>
        <w:rPr>
          <w:rFonts w:ascii="Times New Roman;Times;Serif" w:hAnsi="Times New Roman;Times;Serif"/>
          <w:b w:val="false"/>
          <w:i w:val="false"/>
          <w:caps w:val="false"/>
          <w:smallCaps w:val="false"/>
          <w:sz w:val="20"/>
        </w:rPr>
        <w:t xml:space="preserve">May 30, 2026 and bears interest at </w:t>
      </w:r>
      <w:bookmarkStart w:id="2574" w:name="xdx_902_eus-gaap--DebtInstrumentInterest"/>
      <w:bookmarkEnd w:id="2574"/>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w:t>
      </w:r>
      <w:bookmarkStart w:id="2575" w:name="xdx_90A_eus-gaap--DebtInstrumentFaceAmou"/>
      <w:bookmarkEnd w:id="2575"/>
      <w:r>
        <w:rPr>
          <w:rFonts w:ascii="Times New Roman;Times;Serif" w:hAnsi="Times New Roman;Times;Serif"/>
          <w:b w:val="false"/>
          <w:i w:val="false"/>
          <w:caps w:val="false"/>
          <w:smallCaps w:val="false"/>
          <w:sz w:val="20"/>
        </w:rPr>
        <w:t>151,800 and received net proceeds of $</w:t>
      </w:r>
      <w:bookmarkStart w:id="2576" w:name="xdx_908_eus-gaap--ProceedsFromIssuanceOf"/>
      <w:bookmarkEnd w:id="2576"/>
      <w:r>
        <w:rPr>
          <w:rFonts w:ascii="Times New Roman;Times;Serif" w:hAnsi="Times New Roman;Times;Serif"/>
          <w:b w:val="false"/>
          <w:i w:val="false"/>
          <w:caps w:val="false"/>
          <w:smallCaps w:val="false"/>
          <w:sz w:val="20"/>
        </w:rPr>
        <w:t>125,000, after an original discount of $</w:t>
      </w:r>
      <w:bookmarkStart w:id="2577" w:name="xdx_902_eus-gaap--DebtInstrumentUnamorti"/>
      <w:bookmarkEnd w:id="2577"/>
      <w:r>
        <w:rPr>
          <w:rFonts w:ascii="Times New Roman;Times;Serif" w:hAnsi="Times New Roman;Times;Serif"/>
          <w:b w:val="false"/>
          <w:i w:val="false"/>
          <w:caps w:val="false"/>
          <w:smallCaps w:val="false"/>
          <w:sz w:val="20"/>
        </w:rPr>
        <w:t>19,800 and issuance costs of $</w:t>
      </w:r>
      <w:bookmarkStart w:id="2578" w:name="xdx_906_ecustom--DebtInstrumentUnamortiz"/>
      <w:bookmarkEnd w:id="2578"/>
      <w:r>
        <w:rPr>
          <w:rFonts w:ascii="Times New Roman;Times;Serif" w:hAnsi="Times New Roman;Times;Serif"/>
          <w:b w:val="false"/>
          <w:i w:val="false"/>
          <w:caps w:val="false"/>
          <w:smallCaps w:val="false"/>
          <w:sz w:val="20"/>
        </w:rPr>
        <w:t xml:space="preserve">7,000 for due diligence and legal fees. The September 2025 1800 Diagonal Note has a maturity date of </w:t>
      </w:r>
      <w:bookmarkStart w:id="2579" w:name="xdx_90E_eus-gaap--DebtInstrumentMaturity"/>
      <w:bookmarkEnd w:id="2579"/>
      <w:r>
        <w:rPr>
          <w:rFonts w:ascii="Times New Roman;Times;Serif" w:hAnsi="Times New Roman;Times;Serif"/>
          <w:b w:val="false"/>
          <w:i w:val="false"/>
          <w:caps w:val="false"/>
          <w:smallCaps w:val="false"/>
          <w:sz w:val="20"/>
        </w:rPr>
        <w:t xml:space="preserve">June 15, 2026 and bears interest at </w:t>
      </w:r>
      <w:bookmarkStart w:id="2580" w:name="xdx_90D_eus-gaap--DebtInstrumentInterest"/>
      <w:bookmarkEnd w:id="2580"/>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w:t>
      </w:r>
      <w:bookmarkStart w:id="2581" w:name="xdx_90C_eus-gaap--DebtInstrumentFaceAmou"/>
      <w:bookmarkEnd w:id="2581"/>
      <w:r>
        <w:rPr>
          <w:rFonts w:ascii="Times New Roman;Times;Serif" w:hAnsi="Times New Roman;Times;Serif"/>
          <w:b w:val="false"/>
          <w:i w:val="false"/>
          <w:caps w:val="false"/>
          <w:smallCaps w:val="false"/>
          <w:sz w:val="20"/>
        </w:rPr>
        <w:t>238,050 and received net proceeds of $</w:t>
      </w:r>
      <w:bookmarkStart w:id="2582" w:name="xdx_90A_eus-gaap--ProceedsFromIssuanceOf"/>
      <w:bookmarkEnd w:id="2582"/>
      <w:r>
        <w:rPr>
          <w:rFonts w:ascii="Times New Roman;Times;Serif" w:hAnsi="Times New Roman;Times;Serif"/>
          <w:b w:val="false"/>
          <w:i w:val="false"/>
          <w:caps w:val="false"/>
          <w:smallCaps w:val="false"/>
          <w:sz w:val="20"/>
        </w:rPr>
        <w:t>200,000, after an original discount of $</w:t>
      </w:r>
      <w:bookmarkStart w:id="2583" w:name="xdx_901_eus-gaap--DebtInstrumentUnamorti"/>
      <w:bookmarkEnd w:id="2583"/>
      <w:r>
        <w:rPr>
          <w:rFonts w:ascii="Times New Roman;Times;Serif" w:hAnsi="Times New Roman;Times;Serif"/>
          <w:b w:val="false"/>
          <w:i w:val="false"/>
          <w:caps w:val="false"/>
          <w:smallCaps w:val="false"/>
          <w:sz w:val="20"/>
        </w:rPr>
        <w:t>31,050 and issuance costs of $</w:t>
      </w:r>
      <w:bookmarkStart w:id="2584" w:name="xdx_90B_ecustom--DebtInstrumentUnamortiz"/>
      <w:bookmarkEnd w:id="2584"/>
      <w:r>
        <w:rPr>
          <w:rFonts w:ascii="Times New Roman;Times;Serif" w:hAnsi="Times New Roman;Times;Serif"/>
          <w:b w:val="false"/>
          <w:i w:val="false"/>
          <w:caps w:val="false"/>
          <w:smallCaps w:val="false"/>
          <w:sz w:val="20"/>
        </w:rPr>
        <w:t xml:space="preserve">7,000 for due diligence and legal fees. The November 1800 Diagonal Note has a maturity date of </w:t>
      </w:r>
      <w:bookmarkStart w:id="2585" w:name="xdx_905_eus-gaap--DebtInstrumentMaturity"/>
      <w:bookmarkEnd w:id="2585"/>
      <w:r>
        <w:rPr>
          <w:rFonts w:ascii="Times New Roman;Times;Serif" w:hAnsi="Times New Roman;Times;Serif"/>
          <w:b w:val="false"/>
          <w:i w:val="false"/>
          <w:caps w:val="false"/>
          <w:smallCaps w:val="false"/>
          <w:sz w:val="20"/>
        </w:rPr>
        <w:t xml:space="preserve">July 30, 2026 and bears interest at </w:t>
      </w:r>
      <w:bookmarkStart w:id="2586" w:name="xdx_90B_eus-gaap--DebtInstrumentInterest"/>
      <w:bookmarkEnd w:id="2586"/>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w:t>
      </w:r>
      <w:bookmarkStart w:id="2587" w:name="xdx_90D_ecustom--PercentageOfCommonStock"/>
      <w:bookmarkEnd w:id="2587"/>
      <w:r>
        <w:rPr>
          <w:rFonts w:ascii="Times New Roman;Times;Serif" w:hAnsi="Times New Roman;Times;Serif"/>
          <w:b w:val="false"/>
          <w:i w:val="false"/>
          <w:caps w:val="false"/>
          <w:smallCaps w:val="false"/>
          <w:sz w:val="20"/>
        </w:rPr>
        <w:t xml:space="preserve">4.99% of the Company’s outstanding shares of Common Stock. </w:t>
      </w:r>
      <w:bookmarkStart w:id="2588" w:name="xdx_90C_eus-gaap--DebtInstrumentConverti"/>
      <w:bookmarkEnd w:id="2588"/>
      <w:r>
        <w:rPr>
          <w:rFonts w:ascii="Times New Roman;Times;Serif" w:hAnsi="Times New Roman;Times;Serif"/>
          <w:b w:val="false"/>
          <w:i w:val="false"/>
          <w:caps w:val="false"/>
          <w:smallCaps w:val="false"/>
          <w:sz w:val="20"/>
        </w:rPr>
        <w:t>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w:t>
      </w:r>
      <w:bookmarkStart w:id="2589" w:name="xdx_901_eus-gaap--InterestExpense_c20250"/>
      <w:bookmarkEnd w:id="2589"/>
      <w:r>
        <w:rPr>
          <w:rFonts w:ascii="Times New Roman;Times;Serif" w:hAnsi="Times New Roman;Times;Serif"/>
          <w:b w:val="false"/>
          <w:i w:val="false"/>
          <w:caps w:val="false"/>
          <w:smallCaps w:val="false"/>
          <w:sz w:val="20"/>
        </w:rPr>
        <w:t>306,696 and $</w:t>
      </w:r>
      <w:bookmarkStart w:id="2590" w:name="xdx_90F_eus-gaap--InterestExpense_c20240"/>
      <w:bookmarkEnd w:id="2590"/>
      <w:r>
        <w:rPr>
          <w:rFonts w:ascii="Times New Roman;Times;Serif" w:hAnsi="Times New Roman;Times;Serif"/>
          <w:b w:val="false"/>
          <w:i w:val="false"/>
          <w:caps w:val="false"/>
          <w:smallCaps w:val="false"/>
          <w:sz w:val="20"/>
        </w:rPr>
        <w:t>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91" w:name="xdx_892_eus-gaap--ScheduleOfDebtInstrume"/>
      <w:bookmarkEnd w:id="2591"/>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bookmarkStart w:id="2592" w:name="xdx_8BB_zrc0rWjqDEQc"/>
      <w:bookmarkEnd w:id="2592"/>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593" w:name="xdx_307_134_z0eqY2ElZrl1"/>
      <w:bookmarkStart w:id="2594" w:name="xdx_307_134_z0eqY2ElZrl1"/>
      <w:bookmarkEnd w:id="2594"/>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95" w:name="xdx_4BF_us-gaap--LongtermDebtTypeAxis_cu"/>
            <w:bookmarkEnd w:id="2595"/>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bookmarkStart w:id="2596" w:name="xdx_438_c20250101__20251231_eus-gaap--No"/>
            <w:bookmarkEnd w:id="2596"/>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bookmarkStart w:id="2597" w:name="xdx_403_ecustom--IssuanceOfLongTermDebt_"/>
            <w:bookmarkEnd w:id="259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bookmarkStart w:id="2598" w:name="xdx_409_ecustom--GainsLossesOnDebtIssuan"/>
            <w:bookmarkEnd w:id="259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bookmarkStart w:id="2599" w:name="xdx_409_eus-gaap--RepaymentsOfLongTermDe"/>
            <w:bookmarkEnd w:id="259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0" w:name="xdx_406_ecustom--ChangeInFairValueOfLong"/>
            <w:bookmarkEnd w:id="260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1" w:name="xdx_407_ecustom--ConversionsOfLongTermDe"/>
            <w:bookmarkEnd w:id="260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2" w:name="xdx_435_c20250101__20251231_eus-gaap--No"/>
            <w:bookmarkEnd w:id="260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3" w:name="xdx_980_eus-gaap--LongTermNotesPayable_i"/>
            <w:bookmarkEnd w:id="2603"/>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04" w:name="xdx_98F_ecustom--InterestPayableOnLongTe"/>
            <w:bookmarkEnd w:id="2604"/>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05" w:name="xdx_8AA_zvBhc3suDfU8"/>
      <w:bookmarkEnd w:id="2605"/>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w:t>
      </w:r>
      <w:bookmarkStart w:id="2606" w:name="xdx_902_eus-gaap--DebtInstrumentFaceAmou"/>
      <w:bookmarkEnd w:id="2606"/>
      <w:r>
        <w:rPr>
          <w:rFonts w:ascii="Times New Roman;Times;Serif" w:hAnsi="Times New Roman;Times;Serif"/>
          <w:b w:val="false"/>
          <w:i w:val="false"/>
          <w:caps w:val="false"/>
          <w:smallCaps w:val="false"/>
          <w:sz w:val="20"/>
        </w:rPr>
        <w:t>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w:t>
      </w:r>
      <w:bookmarkStart w:id="2607" w:name="xdx_901_ecustom--WarrantsIssued_pid_c202"/>
      <w:bookmarkEnd w:id="2607"/>
      <w:r>
        <w:rPr>
          <w:rFonts w:ascii="Times New Roman;Times;Serif" w:hAnsi="Times New Roman;Times;Serif"/>
          <w:b w:val="false"/>
          <w:i w:val="false"/>
          <w:caps w:val="false"/>
          <w:smallCaps w:val="false"/>
          <w:sz w:val="20"/>
        </w:rPr>
        <w:t xml:space="preserve">1,061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bookmarkStart w:id="2608" w:name="xdx_89A_ecustom--ScheduleOfPrivatePlacem"/>
      <w:bookmarkEnd w:id="2608"/>
      <w:r>
        <w:rPr>
          <w:caps w:val="false"/>
          <w:smallCaps w:val="false"/>
        </w:rPr>
        <w:t> </w:t>
      </w:r>
      <w:bookmarkStart w:id="2609" w:name="xdx_8BF_zTVhdXLt3n51"/>
      <w:bookmarkEnd w:id="2609"/>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38"/>
        <w:gridCol w:w="952"/>
        <w:gridCol w:w="60"/>
        <w:gridCol w:w="60"/>
        <w:gridCol w:w="238"/>
        <w:gridCol w:w="952"/>
        <w:gridCol w:w="60"/>
        <w:gridCol w:w="60"/>
        <w:gridCol w:w="1025"/>
        <w:gridCol w:w="60"/>
        <w:gridCol w:w="71"/>
        <w:gridCol w:w="954"/>
        <w:gridCol w:w="60"/>
        <w:gridCol w:w="60"/>
        <w:gridCol w:w="184"/>
        <w:gridCol w:w="736"/>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bookmarkStart w:id="2610" w:name="xdx_909_eus-gaap--DebtInstrumentMaturity"/>
            <w:bookmarkEnd w:id="2610"/>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1" w:name="xdx_98F_eus-gaap--DebtInstrumentFaceAmou"/>
            <w:bookmarkEnd w:id="261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2" w:name="xdx_985_eus-gaap--ProceedsFromIssuanceOf"/>
            <w:bookmarkEnd w:id="261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3" w:name="xdx_985_eus-gaap--DebtInstrumentConverti"/>
            <w:bookmarkEnd w:id="2613"/>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4" w:name="xdx_98D_ecustom--DebtInstrumentConversio"/>
            <w:bookmarkEnd w:id="2614"/>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2615" w:name="xdx_98A_ecustom--WarrantsIssued_pid_c202"/>
            <w:bookmarkEnd w:id="2615"/>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6" w:name="xdx_986_eus-gaap--ClassOfWarrantOrRightE"/>
            <w:bookmarkEnd w:id="2616"/>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bookmarkStart w:id="2617" w:name="xdx_90F_eus-gaap--DebtInstrumentMaturity"/>
            <w:bookmarkEnd w:id="2617"/>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8" w:name="xdx_988_eus-gaap--DebtInstrumentFaceAmou"/>
            <w:bookmarkEnd w:id="261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19" w:name="xdx_982_eus-gaap--ProceedsFromIssuanceOf"/>
            <w:bookmarkEnd w:id="261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0" w:name="xdx_989_eus-gaap--DebtInstrumentConverti"/>
            <w:bookmarkEnd w:id="2620"/>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1" w:name="xdx_983_ecustom--DebtInstrumentConversio"/>
            <w:bookmarkEnd w:id="2621"/>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2622" w:name="xdx_98A_ecustom--WarrantsIssued_pid_c202"/>
            <w:bookmarkEnd w:id="2622"/>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3" w:name="xdx_984_eus-gaap--ClassOfWarrantOrRightE"/>
            <w:bookmarkEnd w:id="2623"/>
          </w:p>
        </w:tc>
        <w:tc>
          <w:tcPr>
            <w:tcW w:w="7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bookmarkStart w:id="2624" w:name="xdx_905_eus-gaap--DebtInstrumentMaturity"/>
            <w:bookmarkEnd w:id="2624"/>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5" w:name="xdx_989_eus-gaap--DebtInstrumentFaceAmou"/>
            <w:bookmarkEnd w:id="262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6" w:name="xdx_983_eus-gaap--ProceedsFromIssuanceOf"/>
            <w:bookmarkEnd w:id="262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7" w:name="xdx_98C_eus-gaap--DebtInstrumentConverti"/>
            <w:bookmarkEnd w:id="2627"/>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8" w:name="xdx_985_ecustom--DebtInstrumentConversio"/>
            <w:bookmarkEnd w:id="2628"/>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629" w:name="xdx_98A_ecustom--WarrantsIssued_pid_c202"/>
            <w:bookmarkEnd w:id="2629"/>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0" w:name="xdx_983_eus-gaap--ClassOfWarrantOrRightE"/>
            <w:bookmarkEnd w:id="2630"/>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631" w:name="xdx_982_eus-gaap--DebtInstrumentFaceAmou"/>
            <w:bookmarkEnd w:id="263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632" w:name="xdx_98E_eus-gaap--ProceedsFromIssuanceOf"/>
            <w:bookmarkEnd w:id="263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33" w:name="xdx_98E_ecustom--WarrantsIssued_pid_c202"/>
            <w:bookmarkEnd w:id="2633"/>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34" w:name="xdx_8AE_zHSw8S8f3EW7"/>
      <w:bookmarkEnd w:id="26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Notes were issued with an original issue discount of </w:t>
      </w:r>
      <w:bookmarkStart w:id="2635" w:name="xdx_905_ecustom--DebtInstrumentInterestR"/>
      <w:bookmarkEnd w:id="2635"/>
      <w:r>
        <w:rPr>
          <w:rFonts w:ascii="Times New Roman;Times;Serif" w:hAnsi="Times New Roman;Times;Serif"/>
          <w:b w:val="false"/>
          <w:i w:val="false"/>
          <w:caps w:val="false"/>
          <w:smallCaps w:val="false"/>
          <w:sz w:val="20"/>
        </w:rPr>
        <w:t xml:space="preserve">10.0% and accrue interest at a rate of </w:t>
      </w:r>
      <w:bookmarkStart w:id="2636" w:name="xdx_90C_eus-gaap--DebtInstrumentInterest"/>
      <w:bookmarkEnd w:id="2636"/>
      <w:r>
        <w:rPr>
          <w:rFonts w:ascii="Times New Roman;Times;Serif" w:hAnsi="Times New Roman;Times;Serif"/>
          <w:b w:val="false"/>
          <w:i w:val="false"/>
          <w:caps w:val="false"/>
          <w:smallCaps w:val="false"/>
          <w:sz w:val="20"/>
        </w:rPr>
        <w:t>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w:t>
      </w:r>
      <w:bookmarkStart w:id="2637" w:name="xdx_900_ecustom--DebtInstrumentMaturityF"/>
      <w:bookmarkEnd w:id="2637"/>
      <w:r>
        <w:rPr>
          <w:rFonts w:ascii="Times New Roman;Times;Serif" w:hAnsi="Times New Roman;Times;Serif"/>
          <w:b w:val="false"/>
          <w:i w:val="false"/>
          <w:caps w:val="false"/>
          <w:smallCaps w:val="false"/>
          <w:sz w:val="20"/>
        </w:rPr>
        <w:t xml:space="preserve">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2638" w:name="xdx_90C_ecustom--MinimumPercentageOfOuts"/>
      <w:bookmarkEnd w:id="2638"/>
      <w:r>
        <w:rPr>
          <w:rFonts w:ascii="Times New Roman;Times;Serif" w:hAnsi="Times New Roman;Times;Serif"/>
          <w:b w:val="false"/>
          <w:i w:val="false"/>
          <w:caps w:val="false"/>
          <w:smallCaps w:val="false"/>
          <w:sz w:val="20"/>
        </w:rPr>
        <w:t xml:space="preserve">4.99% (or up to </w:t>
      </w:r>
      <w:bookmarkStart w:id="2639" w:name="xdx_904_ecustom--MaximumPercentageOfOuts"/>
      <w:bookmarkEnd w:id="2639"/>
      <w:r>
        <w:rPr>
          <w:rFonts w:ascii="Times New Roman;Times;Serif" w:hAnsi="Times New Roman;Times;Serif"/>
          <w:b w:val="false"/>
          <w:i w:val="false"/>
          <w:caps w:val="false"/>
          <w:smallCaps w:val="false"/>
          <w:sz w:val="20"/>
        </w:rPr>
        <w:t>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as per the terms of the Notes and Warrants, the conversion price and exercise price was adjusted to $</w:t>
      </w:r>
      <w:bookmarkStart w:id="2640" w:name="xdx_909_ecustom--ExercisePriceAdjustment"/>
      <w:bookmarkEnd w:id="2640"/>
      <w:r>
        <w:rPr>
          <w:rFonts w:ascii="Times New Roman;Times;Serif" w:hAnsi="Times New Roman;Times;Serif"/>
          <w:b w:val="false"/>
          <w:i w:val="false"/>
          <w:caps w:val="false"/>
          <w:smallCaps w:val="false"/>
          <w:sz w:val="20"/>
        </w:rPr>
        <w:t xml:space="preserve">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w:t>
      </w:r>
      <w:bookmarkStart w:id="2641" w:name="xdx_905_ecustom--PercentageOfPremiumBuye"/>
      <w:bookmarkEnd w:id="2641"/>
      <w:r>
        <w:rPr>
          <w:rFonts w:ascii="Times New Roman;Times;Serif" w:hAnsi="Times New Roman;Times;Serif"/>
          <w:b w:val="false"/>
          <w:i w:val="false"/>
          <w:caps w:val="false"/>
          <w:smallCaps w:val="false"/>
          <w:sz w:val="20"/>
        </w:rPr>
        <w:t>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w:t>
      </w:r>
      <w:bookmarkStart w:id="2642" w:name="xdx_905_eus-gaap--RepaymentsOfConvertibl"/>
      <w:bookmarkEnd w:id="2642"/>
      <w:r>
        <w:rPr>
          <w:rFonts w:ascii="Times New Roman;Times;Serif" w:hAnsi="Times New Roman;Times;Serif"/>
          <w:b w:val="false"/>
          <w:i w:val="false"/>
          <w:caps w:val="false"/>
          <w:smallCaps w:val="false"/>
          <w:sz w:val="20"/>
        </w:rPr>
        <w:t>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August 12, 2025 and October 22, 2025, the Buyer exercised its contractual conversion options multiple times under the June 3i Note and received an aggregate of </w:t>
      </w:r>
      <w:bookmarkStart w:id="2643" w:name="xdx_905_eus-gaap--DebtConversionConverte"/>
      <w:bookmarkEnd w:id="2643"/>
      <w:r>
        <w:rPr>
          <w:rFonts w:ascii="Times New Roman;Times;Serif" w:hAnsi="Times New Roman;Times;Serif"/>
          <w:b w:val="false"/>
          <w:i w:val="false"/>
          <w:caps w:val="false"/>
          <w:smallCaps w:val="false"/>
          <w:sz w:val="20"/>
        </w:rPr>
        <w:t>30,823 shares of Class A Common Stock at conversion prices per share ranging from $</w:t>
      </w:r>
      <w:bookmarkStart w:id="2644" w:name="xdx_90E_eus-gaap--DebtInstrumentConverti"/>
      <w:bookmarkEnd w:id="2644"/>
      <w:r>
        <w:rPr>
          <w:rFonts w:ascii="Times New Roman;Times;Serif" w:hAnsi="Times New Roman;Times;Serif"/>
          <w:b w:val="false"/>
          <w:i w:val="false"/>
          <w:caps w:val="false"/>
          <w:smallCaps w:val="false"/>
          <w:sz w:val="20"/>
        </w:rPr>
        <w:t>38.20 to $</w:t>
      </w:r>
      <w:bookmarkStart w:id="2645" w:name="xdx_908_eus-gaap--DebtInstrumentConverti"/>
      <w:bookmarkEnd w:id="2645"/>
      <w:r>
        <w:rPr>
          <w:rFonts w:ascii="Times New Roman;Times;Serif" w:hAnsi="Times New Roman;Times;Serif"/>
          <w:b w:val="false"/>
          <w:i w:val="false"/>
          <w:caps w:val="false"/>
          <w:smallCaps w:val="false"/>
          <w:sz w:val="20"/>
        </w:rPr>
        <w:t>51.60 in full satisfaction of the Company’s remaining obligations under the June 3i Note totaling $</w:t>
      </w:r>
      <w:bookmarkStart w:id="2646" w:name="xdx_904_eus-gaap--DebtInstrumentCarrying"/>
      <w:bookmarkEnd w:id="2646"/>
      <w:r>
        <w:rPr>
          <w:rFonts w:ascii="Times New Roman;Times;Serif" w:hAnsi="Times New Roman;Times;Serif"/>
          <w:b w:val="false"/>
          <w:i w:val="false"/>
          <w:caps w:val="false"/>
          <w:smallCaps w:val="false"/>
          <w:sz w:val="20"/>
        </w:rPr>
        <w:t>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September 10, 2025 and October 14, 2025, the Buyer exercised its contractual conversion option multiple times under the August 3i Note and received an aggregate of </w:t>
      </w:r>
      <w:bookmarkStart w:id="2647" w:name="xdx_90F_eus-gaap--DebtConversionConverte"/>
      <w:bookmarkEnd w:id="2647"/>
      <w:r>
        <w:rPr>
          <w:rFonts w:ascii="Times New Roman;Times;Serif" w:hAnsi="Times New Roman;Times;Serif"/>
          <w:b w:val="false"/>
          <w:i w:val="false"/>
          <w:caps w:val="false"/>
          <w:smallCaps w:val="false"/>
          <w:sz w:val="20"/>
        </w:rPr>
        <w:t>30,883 shares of Class A Common Stock at conversion prices per share ranging from $</w:t>
      </w:r>
      <w:bookmarkStart w:id="2648" w:name="xdx_907_eus-gaap--DebtInstrumentConverti"/>
      <w:bookmarkEnd w:id="2648"/>
      <w:r>
        <w:rPr>
          <w:rFonts w:ascii="Times New Roman;Times;Serif" w:hAnsi="Times New Roman;Times;Serif"/>
          <w:b w:val="false"/>
          <w:i w:val="false"/>
          <w:caps w:val="false"/>
          <w:smallCaps w:val="false"/>
          <w:sz w:val="20"/>
        </w:rPr>
        <w:t>38.20 to $</w:t>
      </w:r>
      <w:bookmarkStart w:id="2649" w:name="xdx_90C_eus-gaap--DebtInstrumentConverti"/>
      <w:bookmarkEnd w:id="2649"/>
      <w:r>
        <w:rPr>
          <w:rFonts w:ascii="Times New Roman;Times;Serif" w:hAnsi="Times New Roman;Times;Serif"/>
          <w:b w:val="false"/>
          <w:i w:val="false"/>
          <w:caps w:val="false"/>
          <w:smallCaps w:val="false"/>
          <w:sz w:val="20"/>
        </w:rPr>
        <w:t>48.40 in satisfaction of $</w:t>
      </w:r>
      <w:bookmarkStart w:id="2650" w:name="xdx_906_eus-gaap--DebtInstrumentCarrying"/>
      <w:bookmarkEnd w:id="2650"/>
      <w:r>
        <w:rPr>
          <w:rFonts w:ascii="Times New Roman;Times;Serif" w:hAnsi="Times New Roman;Times;Serif"/>
          <w:b w:val="false"/>
          <w:i w:val="false"/>
          <w:caps w:val="false"/>
          <w:smallCaps w:val="false"/>
          <w:sz w:val="20"/>
        </w:rPr>
        <w:t>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16, 2025 and December 11, 2025, the Buyer exercised its contractual conversion option multiple times under the October 3i Note and received an aggregate of </w:t>
      </w:r>
      <w:bookmarkStart w:id="2651" w:name="xdx_908_eus-gaap--DebtConversionConverte"/>
      <w:bookmarkEnd w:id="2651"/>
      <w:r>
        <w:rPr>
          <w:rFonts w:ascii="Times New Roman;Times;Serif" w:hAnsi="Times New Roman;Times;Serif"/>
          <w:b w:val="false"/>
          <w:i w:val="false"/>
          <w:caps w:val="false"/>
          <w:smallCaps w:val="false"/>
          <w:sz w:val="20"/>
        </w:rPr>
        <w:t>66,584 shares of Class A Common Stock at conversion prices per share ranging from $</w:t>
      </w:r>
      <w:bookmarkStart w:id="2652" w:name="xdx_90B_eus-gaap--DebtInstrumentConverti"/>
      <w:bookmarkEnd w:id="2652"/>
      <w:r>
        <w:rPr>
          <w:rFonts w:ascii="Times New Roman;Times;Serif" w:hAnsi="Times New Roman;Times;Serif"/>
          <w:b w:val="false"/>
          <w:i w:val="false"/>
          <w:caps w:val="false"/>
          <w:smallCaps w:val="false"/>
          <w:sz w:val="20"/>
        </w:rPr>
        <w:t>20.60 to $</w:t>
      </w:r>
      <w:bookmarkStart w:id="2653" w:name="xdx_902_eus-gaap--DebtInstrumentConverti"/>
      <w:bookmarkEnd w:id="2653"/>
      <w:r>
        <w:rPr>
          <w:rFonts w:ascii="Times New Roman;Times;Serif" w:hAnsi="Times New Roman;Times;Serif"/>
          <w:b w:val="false"/>
          <w:i w:val="false"/>
          <w:caps w:val="false"/>
          <w:smallCaps w:val="false"/>
          <w:sz w:val="20"/>
        </w:rPr>
        <w:t>50.00 in satisfaction of $</w:t>
      </w:r>
      <w:bookmarkStart w:id="2654" w:name="xdx_908_eus-gaap--DebtInstrumentCarrying"/>
      <w:bookmarkEnd w:id="2654"/>
      <w:r>
        <w:rPr>
          <w:rFonts w:ascii="Times New Roman;Times;Serif" w:hAnsi="Times New Roman;Times;Serif"/>
          <w:b w:val="false"/>
          <w:i w:val="false"/>
          <w:caps w:val="false"/>
          <w:smallCaps w:val="false"/>
          <w:sz w:val="20"/>
        </w:rPr>
        <w:t>1,676,667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w:t>
      </w:r>
      <w:bookmarkStart w:id="2655" w:name="xdx_90D_eus-gaap--InterestExpense_c20250"/>
      <w:bookmarkEnd w:id="2655"/>
      <w:r>
        <w:rPr>
          <w:rFonts w:ascii="Times New Roman;Times;Serif" w:hAnsi="Times New Roman;Times;Serif"/>
          <w:b w:val="false"/>
          <w:i w:val="false"/>
          <w:caps w:val="false"/>
          <w:smallCaps w:val="false"/>
          <w:sz w:val="20"/>
        </w:rPr>
        <w:t>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56" w:name="xdx_891_eus-gaap--ScheduleOfDebtInstrume"/>
      <w:bookmarkEnd w:id="2656"/>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57" w:name="xdx_8B2_zzyWzAo1qYef"/>
      <w:bookmarkEnd w:id="2657"/>
      <w:r>
        <w:rPr>
          <w:rFonts w:ascii="Times New Roman;Times;Serif" w:hAnsi="Times New Roman;Times;Serif"/>
          <w:b w:val="false"/>
          <w:i w:val="false"/>
          <w:caps w:val="false"/>
          <w:smallCaps w:val="false"/>
          <w:sz w:val="20"/>
        </w:rPr>
        <w:t>Schedule of Notes </w:t>
      </w:r>
    </w:p>
    <w:p>
      <w:pPr>
        <w:pStyle w:val="Normal"/>
        <w:bidi w:val="0"/>
        <w:spacing w:before="0" w:after="0"/>
        <w:jc w:val="left"/>
        <w:rPr>
          <w:sz w:val="4"/>
          <w:szCs w:val="4"/>
        </w:rPr>
      </w:pPr>
      <w:r>
        <w:rPr>
          <w:sz w:val="4"/>
          <w:szCs w:val="4"/>
        </w:rPr>
      </w:r>
      <w:bookmarkStart w:id="2658" w:name="xdx_302_134_zTvRX25oYq0b"/>
      <w:bookmarkStart w:id="2659" w:name="xdx_302_134_zTvRX25oYq0b"/>
      <w:bookmarkEnd w:id="2659"/>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60" w:name="xdx_4B2_us-gaap--LongtermDebtTypeAxis_cu"/>
            <w:bookmarkEnd w:id="2660"/>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bookmarkStart w:id="2661" w:name="xdx_433_c20250101__20251231_eus-gaap--No"/>
            <w:bookmarkEnd w:id="2661"/>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62" w:name="xdx_40F_ecustom--IssuanceOfLongTermDebt_"/>
            <w:bookmarkEnd w:id="266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bookmarkStart w:id="2663" w:name="xdx_40D_ecustom--GainsLossesOnDebtIssuan"/>
            <w:bookmarkEnd w:id="2663"/>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bookmarkStart w:id="2664" w:name="xdx_408_eus-gaap--RepaymentsOfLongTermDe"/>
            <w:bookmarkEnd w:id="2664"/>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5" w:name="xdx_40C_ecustom--ChangeInFairValueOfLong"/>
            <w:bookmarkEnd w:id="2665"/>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6" w:name="xdx_400_ecustom--ConversionsOfLongTermDe"/>
            <w:bookmarkEnd w:id="2666"/>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7" w:name="xdx_43B_c20250101__20251231_eus-gaap--No"/>
            <w:bookmarkEnd w:id="266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8" w:name="xdx_98B_eus-gaap--LongTermNotesPayable_i"/>
            <w:bookmarkEnd w:id="2668"/>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9" w:name="xdx_986_ecustom--InterestPayableOnLongTe"/>
            <w:bookmarkEnd w:id="2669"/>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70" w:name="xdx_8AA_zNwkCuEIrC2i"/>
      <w:bookmarkEnd w:id="2670"/>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w:t>
      </w:r>
      <w:bookmarkStart w:id="2671" w:name="xdx_90E_eus-gaap--DebtInstrumentFaceAmou"/>
      <w:bookmarkEnd w:id="2671"/>
      <w:r>
        <w:rPr>
          <w:rFonts w:ascii="Times New Roman;Times;Serif" w:hAnsi="Times New Roman;Times;Serif"/>
          <w:b w:val="false"/>
          <w:i w:val="false"/>
          <w:caps w:val="false"/>
          <w:smallCaps w:val="false"/>
          <w:sz w:val="20"/>
        </w:rPr>
        <w:t>115,000 and received $</w:t>
      </w:r>
      <w:bookmarkStart w:id="2672" w:name="xdx_90F_eus-gaap--ProceedsFromIssuanceOf"/>
      <w:bookmarkEnd w:id="2672"/>
      <w:r>
        <w:rPr>
          <w:rFonts w:ascii="Times New Roman;Times;Serif" w:hAnsi="Times New Roman;Times;Serif"/>
          <w:b w:val="false"/>
          <w:i w:val="false"/>
          <w:caps w:val="false"/>
          <w:smallCaps w:val="false"/>
          <w:sz w:val="20"/>
        </w:rPr>
        <w:t>100,000 of proceeds, net of an original discount of $</w:t>
      </w:r>
      <w:bookmarkStart w:id="2673" w:name="xdx_902_eus-gaap--DebtInstrumentUnamorti"/>
      <w:bookmarkEnd w:id="2673"/>
      <w:r>
        <w:rPr>
          <w:rFonts w:ascii="Times New Roman;Times;Serif" w:hAnsi="Times New Roman;Times;Serif"/>
          <w:b w:val="false"/>
          <w:i w:val="false"/>
          <w:caps w:val="false"/>
          <w:smallCaps w:val="false"/>
          <w:sz w:val="20"/>
        </w:rPr>
        <w:t xml:space="preserve">15,000, with a maturity date of </w:t>
      </w:r>
      <w:bookmarkStart w:id="2674" w:name="xdx_908_eus-gaap--DebtInstrumentMaturity"/>
      <w:bookmarkEnd w:id="2674"/>
      <w:r>
        <w:rPr>
          <w:rFonts w:ascii="Times New Roman;Times;Serif" w:hAnsi="Times New Roman;Times;Serif"/>
          <w:b w:val="false"/>
          <w:i w:val="false"/>
          <w:caps w:val="false"/>
          <w:smallCaps w:val="false"/>
          <w:sz w:val="20"/>
        </w:rPr>
        <w:t xml:space="preserve">August 30, 2026. The stated interest rate on the Boot Capital Note is </w:t>
      </w:r>
      <w:bookmarkStart w:id="2675" w:name="xdx_90D_eus-gaap--DebtInstrumentInterest"/>
      <w:bookmarkEnd w:id="2675"/>
      <w:r>
        <w:rPr>
          <w:rFonts w:ascii="Times New Roman;Times;Serif" w:hAnsi="Times New Roman;Times;Serif"/>
          <w:b w:val="false"/>
          <w:i w:val="false"/>
          <w:caps w:val="false"/>
          <w:smallCaps w:val="false"/>
          <w:sz w:val="20"/>
        </w:rPr>
        <w:t>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w:t>
      </w:r>
      <w:bookmarkStart w:id="2676" w:name="xdx_90B_ecustom--PercentageOfCommonStock"/>
      <w:bookmarkEnd w:id="2676"/>
      <w:r>
        <w:rPr>
          <w:rFonts w:ascii="Times New Roman;Times;Serif" w:hAnsi="Times New Roman;Times;Serif"/>
          <w:b w:val="false"/>
          <w:i w:val="false"/>
          <w:caps w:val="false"/>
          <w:smallCaps w:val="false"/>
          <w:sz w:val="20"/>
        </w:rPr>
        <w:t xml:space="preserve">4.99% of the Company’s outstanding shares of Common Stock. </w:t>
      </w:r>
      <w:bookmarkStart w:id="2677" w:name="xdx_905_eus-gaap--DebtInstrumentConverti"/>
      <w:bookmarkEnd w:id="2677"/>
      <w:r>
        <w:rPr>
          <w:rFonts w:ascii="Times New Roman;Times;Serif" w:hAnsi="Times New Roman;Times;Serif"/>
          <w:b w:val="false"/>
          <w:i w:val="false"/>
          <w:caps w:val="false"/>
          <w:smallCaps w:val="false"/>
          <w:sz w:val="20"/>
        </w:rPr>
        <w:t>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78" w:name="xdx_892_eus-gaap--ScheduleOfDebtInstrume"/>
      <w:bookmarkEnd w:id="2678"/>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bookmarkStart w:id="2679" w:name="xdx_8B1_zju7AzOjPzMi"/>
      <w:bookmarkEnd w:id="2679"/>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680" w:name="xdx_301_134_ziqXgaajO2L5"/>
      <w:bookmarkStart w:id="2681" w:name="xdx_301_134_ziqXgaajO2L5"/>
      <w:bookmarkEnd w:id="2681"/>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82" w:name="xdx_4BF_us-gaap--LongtermDebtTypeAxis_cu"/>
            <w:bookmarkEnd w:id="2682"/>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bookmarkStart w:id="2683" w:name="xdx_431_c20250101__20251231_eus-gaap--No"/>
            <w:bookmarkEnd w:id="2683"/>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684" w:name="xdx_404_ecustom--IssuanceOfLongTermDebt_"/>
            <w:bookmarkEnd w:id="2684"/>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bookmarkStart w:id="2685" w:name="xdx_40D_ecustom--GainsLossesOnDebtIssuan"/>
            <w:bookmarkEnd w:id="2685"/>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bookmarkStart w:id="2686" w:name="xdx_408_eus-gaap--RepaymentsOfLongTermDe"/>
            <w:bookmarkEnd w:id="2686"/>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87" w:name="xdx_40C_ecustom--ChangeInFairValueOfLong"/>
            <w:bookmarkEnd w:id="2687"/>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bookmarkStart w:id="2688" w:name="xdx_40B_ecustom--ConversionsOfLongTermDe"/>
            <w:bookmarkEnd w:id="2688"/>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89" w:name="xdx_43C_c20250101__20251231_eus-gaap--No"/>
            <w:bookmarkEnd w:id="2689"/>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90" w:name="xdx_983_eus-gaap--LongTermNotesPayable_i"/>
            <w:bookmarkEnd w:id="2690"/>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91" w:name="xdx_98A_ecustom--InterestPayableOnLongTe"/>
            <w:bookmarkEnd w:id="2691"/>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92" w:name="xdx_8AC_z9BYC1ZhWf3g"/>
      <w:bookmarkEnd w:id="269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93" w:name="xdx_801_eus-gaap--DerivativeInstrumentsA"/>
      <w:bookmarkEnd w:id="2693"/>
      <w:r>
        <w:rPr>
          <w:rFonts w:ascii="Times New Roman;Times;Serif" w:hAnsi="Times New Roman;Times;Serif"/>
          <w:b/>
          <w:i w:val="false"/>
          <w:caps w:val="false"/>
          <w:smallCaps w:val="false"/>
          <w:sz w:val="20"/>
        </w:rPr>
        <w:t xml:space="preserve">13. </w:t>
      </w:r>
      <w:bookmarkStart w:id="2694" w:name="xdx_825_zDXGWQN3BBs2"/>
      <w:bookmarkEnd w:id="2694"/>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Public Warrants in the Merger, exercisable into </w:t>
      </w:r>
      <w:bookmarkStart w:id="2695" w:name="xdx_908_eus-gaap--ClassOfWarrantOrRightO"/>
      <w:bookmarkEnd w:id="2695"/>
      <w:r>
        <w:rPr>
          <w:rFonts w:ascii="Times New Roman;Times;Serif" w:hAnsi="Times New Roman;Times;Serif"/>
          <w:b w:val="false"/>
          <w:i w:val="false"/>
          <w:caps w:val="false"/>
          <w:smallCaps w:val="false"/>
          <w:sz w:val="20"/>
        </w:rPr>
        <w:t xml:space="preserve">1,150 shares of Common Stock of the Company, and which remained outstanding as of December 31, 2025. </w:t>
      </w:r>
      <w:bookmarkStart w:id="2696" w:name="xdx_901_ecustom--WarrantsExercisePriceDe"/>
      <w:bookmarkEnd w:id="2696"/>
      <w:r>
        <w:rPr>
          <w:rFonts w:ascii="Times New Roman;Times;Serif" w:hAnsi="Times New Roman;Times;Serif"/>
          <w:b w:val="false"/>
          <w:i w:val="false"/>
          <w:caps w:val="false"/>
          <w:smallCaps w:val="false"/>
          <w:sz w:val="20"/>
        </w:rPr>
        <w:t>The Public Warrants have an exercise price of $</w:t>
      </w:r>
      <w:bookmarkStart w:id="2697" w:name="xdx_909_eus-gaap--ClassOfWarrantOrRightE"/>
      <w:bookmarkEnd w:id="2697"/>
      <w:r>
        <w:rPr>
          <w:rFonts w:ascii="Times New Roman;Times;Serif" w:hAnsi="Times New Roman;Times;Serif"/>
          <w:b w:val="false"/>
          <w:i w:val="false"/>
          <w:caps w:val="false"/>
          <w:smallCaps w:val="false"/>
          <w:sz w:val="20"/>
        </w:rPr>
        <w:t>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w:t>
      </w:r>
      <w:bookmarkStart w:id="2698" w:name="xdx_909_ecustom--WarrantsExercisable_iI_"/>
      <w:bookmarkEnd w:id="2698"/>
      <w:r>
        <w:rPr>
          <w:rFonts w:ascii="Times New Roman;Times;Serif" w:hAnsi="Times New Roman;Times;Serif"/>
          <w:b w:val="false"/>
          <w:i w:val="false"/>
          <w:caps w:val="false"/>
          <w:smallCaps w:val="false"/>
          <w:sz w:val="20"/>
        </w:rPr>
        <w:t xml:space="preserve">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w:t>
      </w:r>
      <w:bookmarkStart w:id="2699" w:name="xdx_900_ecustom--ContractualTerm_dtD_c20"/>
      <w:bookmarkEnd w:id="2699"/>
      <w:r>
        <w:rPr>
          <w:rFonts w:ascii="Times New Roman;Times;Serif" w:hAnsi="Times New Roman;Times;Serif"/>
          <w:b w:val="false"/>
          <w:i w:val="false"/>
          <w:caps w:val="false"/>
          <w:smallCaps w:val="false"/>
          <w:sz w:val="20"/>
        </w:rPr>
        <w:t>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w:t>
      </w:r>
      <w:bookmarkStart w:id="2700" w:name="xdx_90D_ecustom--ClassOfWarrantOrRightRe"/>
      <w:bookmarkEnd w:id="2700"/>
      <w:r>
        <w:rPr>
          <w:rFonts w:ascii="Times New Roman;Times;Serif" w:hAnsi="Times New Roman;Times;Serif"/>
          <w:b w:val="false"/>
          <w:i/>
          <w:caps w:val="false"/>
          <w:smallCaps w:val="false"/>
          <w:sz w:val="20"/>
        </w:rPr>
        <w:t>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01" w:name="xdx_903_ecustom--WarrantsExercisableDesc"/>
      <w:bookmarkEnd w:id="2701"/>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w:t>
            </w:r>
            <w:bookmarkStart w:id="2702" w:name="xdx_90D_eus-gaap--ClassOfWarrantOrRightE"/>
            <w:bookmarkEnd w:id="2702"/>
            <w:r>
              <w:rPr>
                <w:rFonts w:ascii="Times New Roman;Times;Serif" w:hAnsi="Times New Roman;Times;Serif"/>
                <w:b w:val="false"/>
                <w:i w:val="false"/>
                <w:caps w:val="false"/>
                <w:smallCaps w:val="false"/>
                <w:sz w:val="20"/>
              </w:rPr>
              <w:t>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w:t>
            </w:r>
            <w:bookmarkStart w:id="2703" w:name="xdx_903_ecustom--ClassOfWarrantOrRightRe"/>
            <w:bookmarkEnd w:id="2703"/>
            <w:r>
              <w:rPr>
                <w:rFonts w:ascii="Times New Roman;Times;Serif" w:hAnsi="Times New Roman;Times;Serif"/>
                <w:b w:val="false"/>
                <w:i w:val="false"/>
                <w:caps w:val="false"/>
                <w:smallCaps w:val="false"/>
                <w:sz w:val="20"/>
              </w:rPr>
              <w:t>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w:t>
      </w:r>
      <w:bookmarkStart w:id="2704" w:name="xdx_90D_ecustom--ClassOfWarrantOrRightRe"/>
      <w:bookmarkEnd w:id="2704"/>
      <w:r>
        <w:rPr>
          <w:rFonts w:ascii="Times New Roman;Times;Serif" w:hAnsi="Times New Roman;Times;Serif"/>
          <w:b w:val="false"/>
          <w:i w:val="false"/>
          <w:caps w:val="false"/>
          <w:smallCaps w:val="false"/>
          <w:sz w:val="20"/>
        </w:rPr>
        <w:t>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w:t>
      </w:r>
      <w:bookmarkStart w:id="2705" w:name="xdx_903_ecustom--ClassOfWarrantOrRightRe"/>
      <w:bookmarkEnd w:id="2705"/>
      <w:r>
        <w:rPr>
          <w:rFonts w:ascii="Times New Roman;Times;Serif" w:hAnsi="Times New Roman;Times;Serif"/>
          <w:b w:val="false"/>
          <w:i w:val="false"/>
          <w:caps w:val="false"/>
          <w:smallCaps w:val="false"/>
          <w:sz w:val="20"/>
        </w:rPr>
        <w:t>115,000.00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06" w:name="xdx_902_ecustom--FractionalSharesIssuedU"/>
      <w:bookmarkEnd w:id="2706"/>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w:t>
      </w:r>
      <w:bookmarkStart w:id="2707" w:name="xdx_904_eus-gaap--ClassOfWarrantOrRightE"/>
      <w:bookmarkEnd w:id="2707"/>
      <w:r>
        <w:rPr>
          <w:rFonts w:ascii="Times New Roman;Times;Serif" w:hAnsi="Times New Roman;Times;Serif"/>
          <w:b w:val="false"/>
          <w:i w:val="false"/>
          <w:caps w:val="false"/>
          <w:smallCaps w:val="false"/>
          <w:sz w:val="20"/>
        </w:rPr>
        <w:t xml:space="preserve">64,900.00 per share. </w:t>
      </w:r>
      <w:bookmarkStart w:id="2708" w:name="xdx_90D_ecustom--WarrantsExercisePriceDe"/>
      <w:bookmarkEnd w:id="2708"/>
      <w:r>
        <w:rPr>
          <w:rFonts w:ascii="Times New Roman;Times;Serif" w:hAnsi="Times New Roman;Times;Serif"/>
          <w:b w:val="false"/>
          <w:i w:val="false"/>
          <w:caps w:val="false"/>
          <w:smallCaps w:val="false"/>
          <w:sz w:val="20"/>
        </w:rPr>
        <w:t>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w:t>
      </w:r>
      <w:bookmarkStart w:id="2709" w:name="xdx_906_ecustom--ClassOfWarrantOrRightSt"/>
      <w:bookmarkEnd w:id="2709"/>
      <w:r>
        <w:rPr>
          <w:rFonts w:ascii="Times New Roman;Times;Serif" w:hAnsi="Times New Roman;Times;Serif"/>
          <w:b w:val="false"/>
          <w:i w:val="false"/>
          <w:caps w:val="false"/>
          <w:smallCaps w:val="false"/>
          <w:sz w:val="20"/>
        </w:rPr>
        <w:t>366.00. The effect of the change in strike price feature being triggered resulted in a change of value of approximately $</w:t>
      </w:r>
      <w:bookmarkStart w:id="2710" w:name="xdx_90D_ecustom--ChangeInValueOfWarrants"/>
      <w:bookmarkEnd w:id="2710"/>
      <w:r>
        <w:rPr>
          <w:rFonts w:ascii="Times New Roman;Times;Serif" w:hAnsi="Times New Roman;Times;Serif"/>
          <w:b w:val="false"/>
          <w:i w:val="false"/>
          <w:caps w:val="false"/>
          <w:smallCaps w:val="false"/>
          <w:sz w:val="20"/>
        </w:rPr>
        <w:t>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may not be exercised if such exercise would result in the beneficial ownership of the holder and its affiliates in excess of </w:t>
      </w:r>
      <w:bookmarkStart w:id="2711" w:name="xdx_904_ecustom--ClassOfWarrantsOrRights"/>
      <w:bookmarkEnd w:id="2711"/>
      <w:r>
        <w:rPr>
          <w:rFonts w:ascii="Times New Roman;Times;Serif" w:hAnsi="Times New Roman;Times;Serif"/>
          <w:b w:val="false"/>
          <w:i w:val="false"/>
          <w:caps w:val="false"/>
          <w:smallCaps w:val="false"/>
          <w:sz w:val="20"/>
        </w:rPr>
        <w:t>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12" w:name="xdx_808_eus-gaap--CommitmentsAndContinge"/>
      <w:bookmarkEnd w:id="2712"/>
      <w:r>
        <w:rPr>
          <w:rFonts w:ascii="Times New Roman;Times;Serif" w:hAnsi="Times New Roman;Times;Serif"/>
          <w:b/>
          <w:i w:val="false"/>
          <w:caps w:val="false"/>
          <w:smallCaps w:val="false"/>
          <w:sz w:val="20"/>
        </w:rPr>
        <w:t xml:space="preserve">14. </w:t>
      </w:r>
      <w:bookmarkStart w:id="2713" w:name="xdx_824_zwN07Uew1PY4"/>
      <w:bookmarkEnd w:id="271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14" w:name="xdx_890_eus-gaap--LeaseCostTableTextBloc"/>
      <w:bookmarkEnd w:id="2714"/>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2715" w:name="xdx_8BA_zZUCTiuPhfUj"/>
      <w:bookmarkEnd w:id="2715"/>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bookmarkStart w:id="2716" w:name="xdx_49E_20250101__20251231_zizflCUBmH8b"/>
            <w:bookmarkEnd w:id="2716"/>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bookmarkStart w:id="2717" w:name="xdx_491_20240101__20241231_z77mprKITNQ7"/>
            <w:bookmarkEnd w:id="2717"/>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bookmarkStart w:id="2718" w:name="xdx_400_eus-gaap--OperatingLeaseCost_i01"/>
            <w:bookmarkEnd w:id="2718"/>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bookmarkStart w:id="2719" w:name="xdx_40A_eus-gaap--SubleaseIncome_i01N_di"/>
            <w:bookmarkEnd w:id="2719"/>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20" w:name="xdx_40D_eus-gaap--LeaseCost_i01T_zOqWxOd"/>
            <w:bookmarkEnd w:id="2720"/>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21" w:name="xdx_8A2_zA5Zq4Z35FDj"/>
      <w:bookmarkEnd w:id="27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22" w:name="xdx_89E_ecustom--ScheduleOfSupplementalC"/>
      <w:bookmarkEnd w:id="2722"/>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bookmarkStart w:id="2723" w:name="xdx_8BF_zyUxxNHIAZpe"/>
      <w:bookmarkEnd w:id="2723"/>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bookmarkStart w:id="2724" w:name="xdx_49C_20250101__20251231_zLDIXbrI2Znj"/>
            <w:bookmarkEnd w:id="2724"/>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bookmarkStart w:id="2725" w:name="xdx_49C_20240101__20241231_zOcNQG4QrYd"/>
            <w:bookmarkEnd w:id="2725"/>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2726" w:name="xdx_404_ecustom--NoncashLeaseExpenseInOp"/>
            <w:bookmarkEnd w:id="2726"/>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bookmarkStart w:id="2727" w:name="xdx_406_ecustom--IncreaseDecreaseInLease"/>
            <w:bookmarkEnd w:id="2727"/>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bookmarkStart w:id="2728" w:name="xdx_401_ecustom--RightOfUseAssetsObtaine"/>
            <w:bookmarkEnd w:id="2728"/>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29" w:name="xdx_8A8_z7gKLTcG20I6"/>
      <w:bookmarkEnd w:id="27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30" w:name="xdx_897_ecustom--ScheduleOfSupplementalB"/>
      <w:bookmarkEnd w:id="2730"/>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bookmarkStart w:id="2731" w:name="xdx_8BB_zoatphxWa6k5"/>
      <w:bookmarkEnd w:id="2731"/>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bookmarkStart w:id="2732" w:name="xdx_490_20251231_zEfLnB6a6E0d"/>
            <w:bookmarkEnd w:id="2732"/>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bookmarkStart w:id="2733" w:name="xdx_499_20241231_zmWosteiTa4c"/>
            <w:bookmarkEnd w:id="2733"/>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bookmarkStart w:id="2734" w:name="xdx_407_eus-gaap--OperatingLeaseRightOfU"/>
            <w:bookmarkEnd w:id="2734"/>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bookmarkStart w:id="2735" w:name="xdx_40E_eus-gaap--OperatingLeaseLiabilit"/>
            <w:bookmarkEnd w:id="2735"/>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bookmarkStart w:id="2736" w:name="xdx_40D_eus-gaap--OperatingLeaseLiabilit"/>
            <w:bookmarkEnd w:id="2736"/>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bookmarkStart w:id="2737" w:name="xdx_409_eus-gaap--OperatingLeaseLiabilit"/>
            <w:bookmarkEnd w:id="2737"/>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bookmarkStart w:id="2738" w:name="xdx_90D_eus-gaap--OperatingLeaseWeighted"/>
            <w:bookmarkEnd w:id="2738"/>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bookmarkStart w:id="2739" w:name="xdx_90F_eus-gaap--OperatingLeaseWeighted"/>
            <w:bookmarkEnd w:id="2739"/>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740" w:name="xdx_98A_eus-gaap--OperatingLeaseWeighted"/>
            <w:bookmarkEnd w:id="2740"/>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741" w:name="xdx_980_eus-gaap--OperatingLeaseWeighted"/>
            <w:bookmarkEnd w:id="2741"/>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742" w:name="xdx_8AA_zG2KZF8YAP6"/>
      <w:bookmarkEnd w:id="274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43" w:name="xdx_891_eus-gaap--LesseeOperatingLeaseLi"/>
      <w:bookmarkEnd w:id="2743"/>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bookmarkStart w:id="2744" w:name="xdx_8B2_zAWNxheMtyq3"/>
      <w:bookmarkEnd w:id="2744"/>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bookmarkStart w:id="2745" w:name="xdx_499_20251231_zvLJUJlA6K2k"/>
            <w:bookmarkEnd w:id="2745"/>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746" w:name="xdx_40A_eus-gaap--LesseeOperatingLeaseLi"/>
            <w:bookmarkEnd w:id="2746"/>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bookmarkStart w:id="2747" w:name="xdx_40E_eus-gaap--LesseeOperatingLeaseLi"/>
            <w:bookmarkEnd w:id="2747"/>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bookmarkStart w:id="2748" w:name="xdx_40B_eus-gaap--LesseeOperatingLeaseLi"/>
            <w:bookmarkEnd w:id="2748"/>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2749" w:name="xdx_40B_eus-gaap--LesseeOperatingLeaseLi"/>
            <w:bookmarkEnd w:id="2749"/>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2750" w:name="xdx_409_ecustom--LesseeOperatingLeaseLia"/>
            <w:bookmarkEnd w:id="2750"/>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2751" w:name="xdx_40B_eus-gaap--LesseeOperatingLeaseLi"/>
            <w:bookmarkEnd w:id="2751"/>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bookmarkStart w:id="2752" w:name="xdx_407_eus-gaap--LesseeOperatingLeaseLi"/>
            <w:bookmarkEnd w:id="2752"/>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53" w:name="xdx_402_eus-gaap--OperatingLeaseLiabilit"/>
            <w:bookmarkEnd w:id="2753"/>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54" w:name="xdx_8A0_zoCyw6Gvq3q4"/>
      <w:bookmarkEnd w:id="275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entered into an Investor Relations Consulting Agreement (the “Consulting Agreement”) with MZHCI, LLC, a MZ Group Company (“MZHCI”), pursuant to which the Company agreed to issue </w:t>
      </w:r>
      <w:bookmarkStart w:id="2755" w:name="xdx_90C_eus-gaap--RestrictedStockSharesI"/>
      <w:bookmarkEnd w:id="2755"/>
      <w:r>
        <w:rPr>
          <w:rFonts w:ascii="Times New Roman;Times;Serif" w:hAnsi="Times New Roman;Times;Serif"/>
          <w:b w:val="false"/>
          <w:i w:val="false"/>
          <w:caps w:val="false"/>
          <w:smallCaps w:val="false"/>
          <w:sz w:val="20"/>
        </w:rPr>
        <w:t>2,400 restricted shares, partially in exchange for the various investor relations services outlined in the Consulting Agreement. The Company will also pay MZHCI $</w:t>
      </w:r>
      <w:bookmarkStart w:id="2756" w:name="xdx_90F_ecustom--InvestorRelationsServic"/>
      <w:bookmarkEnd w:id="2756"/>
      <w:r>
        <w:rPr>
          <w:rFonts w:ascii="Times New Roman;Times;Serif" w:hAnsi="Times New Roman;Times;Serif"/>
          <w:b w:val="false"/>
          <w:i w:val="false"/>
          <w:caps w:val="false"/>
          <w:smallCaps w:val="false"/>
          <w:sz w:val="20"/>
        </w:rPr>
        <w:t xml:space="preserve">12,500 per month for their investor relations services with an annual </w:t>
      </w:r>
      <w:bookmarkStart w:id="2757" w:name="xdx_90B_ecustom--CostOfLivingAdjustmentP"/>
      <w:bookmarkEnd w:id="2757"/>
      <w:r>
        <w:rPr>
          <w:rFonts w:ascii="Times New Roman;Times;Serif" w:hAnsi="Times New Roman;Times;Serif"/>
          <w:b w:val="false"/>
          <w:i w:val="false"/>
          <w:caps w:val="false"/>
          <w:smallCaps w:val="false"/>
          <w:sz w:val="20"/>
        </w:rPr>
        <w:t>5% cost of living adjustment. This agreement becomes effective upon the execution of the Consulting Agreement and shall remain effective for a period of six (</w:t>
      </w:r>
      <w:bookmarkStart w:id="2758" w:name="xdx_906_ecustom--EffectiveAgreementPerio"/>
      <w:bookmarkEnd w:id="2758"/>
      <w:r>
        <w:rPr>
          <w:rFonts w:ascii="Times New Roman;Times;Serif" w:hAnsi="Times New Roman;Times;Serif"/>
          <w:b w:val="false"/>
          <w:i w:val="false"/>
          <w:caps w:val="false"/>
          <w:smallCaps w:val="false"/>
          <w:sz w:val="20"/>
        </w:rPr>
        <w:t>6) months, unless terminated earlier. The Consulting Agreement shall automatically renew every six (</w:t>
      </w:r>
      <w:bookmarkStart w:id="2759" w:name="xdx_90D_ecustom--AgreementRenewalPeriod_"/>
      <w:bookmarkEnd w:id="2759"/>
      <w:r>
        <w:rPr>
          <w:rFonts w:ascii="Times New Roman;Times;Serif" w:hAnsi="Times New Roman;Times;Serif"/>
          <w:b w:val="false"/>
          <w:i w:val="false"/>
          <w:caps w:val="false"/>
          <w:smallCaps w:val="false"/>
          <w:sz w:val="20"/>
        </w:rPr>
        <w:t>6) months thereafter unless either party delivers to the other sixty (</w:t>
      </w:r>
      <w:bookmarkStart w:id="2760" w:name="xdx_900_ecustom--ServicesAgreementPeriod"/>
      <w:bookmarkEnd w:id="2760"/>
      <w:r>
        <w:rPr>
          <w:rFonts w:ascii="Times New Roman;Times;Serif" w:hAnsi="Times New Roman;Times;Serif"/>
          <w:b w:val="false"/>
          <w:i w:val="false"/>
          <w:caps w:val="false"/>
          <w:smallCaps w:val="false"/>
          <w:sz w:val="20"/>
        </w:rPr>
        <w:t xml:space="preserve">60) days written notice of termination prior to the end of the then-current term. On September 9, 2024, the Company issued </w:t>
      </w:r>
      <w:bookmarkStart w:id="2761" w:name="xdx_90D_eus-gaap--StockIssuedDuringPerio"/>
      <w:bookmarkEnd w:id="2761"/>
      <w:r>
        <w:rPr>
          <w:rFonts w:ascii="Times New Roman;Times;Serif" w:hAnsi="Times New Roman;Times;Serif"/>
          <w:b w:val="false"/>
          <w:i w:val="false"/>
          <w:caps w:val="false"/>
          <w:smallCaps w:val="false"/>
          <w:sz w:val="20"/>
        </w:rPr>
        <w:t>1,200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w:t>
      </w:r>
      <w:bookmarkStart w:id="2762" w:name="xdx_90B_eus-gaap--StockIssuedDuringPerio"/>
      <w:bookmarkEnd w:id="2762"/>
      <w:r>
        <w:rPr>
          <w:rFonts w:ascii="Times New Roman;Times;Serif" w:hAnsi="Times New Roman;Times;Serif"/>
          <w:b w:val="false"/>
          <w:i w:val="false"/>
          <w:caps w:val="false"/>
          <w:smallCaps w:val="false"/>
          <w:sz w:val="20"/>
        </w:rPr>
        <w:t xml:space="preserve">1,385,000 worth of shares, which the Company shall register no fewer than </w:t>
      </w:r>
      <w:bookmarkStart w:id="2763" w:name="xdx_901_eus-gaap--StockIssuedDuringPerio"/>
      <w:bookmarkEnd w:id="2763"/>
      <w:r>
        <w:rPr>
          <w:rFonts w:ascii="Times New Roman;Times;Serif" w:hAnsi="Times New Roman;Times;Serif"/>
          <w:b w:val="false"/>
          <w:i w:val="false"/>
          <w:caps w:val="false"/>
          <w:smallCaps w:val="false"/>
          <w:sz w:val="20"/>
        </w:rPr>
        <w:t xml:space="preserve">46,000 shares, subject to adjustment, in a registration statement on Form S-1 within </w:t>
      </w:r>
      <w:bookmarkStart w:id="2764" w:name="xdx_90C_ecustom--RegistrationRightsAgree"/>
      <w:bookmarkEnd w:id="2764"/>
      <w:r>
        <w:rPr>
          <w:rFonts w:ascii="Times New Roman;Times;Serif" w:hAnsi="Times New Roman;Times;Serif"/>
          <w:b w:val="false"/>
          <w:i w:val="false"/>
          <w:caps w:val="false"/>
          <w:smallCaps w:val="false"/>
          <w:sz w:val="20"/>
        </w:rPr>
        <w:t xml:space="preserve">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w:t>
      </w:r>
      <w:bookmarkStart w:id="2765" w:name="xdx_902_eus-gaap--StockIssuedDuringPerio"/>
      <w:bookmarkEnd w:id="2765"/>
      <w:r>
        <w:rPr>
          <w:rFonts w:ascii="Times New Roman;Times;Serif" w:hAnsi="Times New Roman;Times;Serif"/>
          <w:b w:val="false"/>
          <w:i w:val="false"/>
          <w:caps w:val="false"/>
          <w:smallCaps w:val="false"/>
          <w:sz w:val="20"/>
        </w:rPr>
        <w:t xml:space="preserve">3,000 shares to Perkins to settle part of the outstanding liability balance. During the year ended December 31, 2025, the Company issued </w:t>
      </w:r>
      <w:bookmarkStart w:id="2766" w:name="xdx_90C_eus-gaap--CommonStockSharesAutho"/>
      <w:bookmarkEnd w:id="2766"/>
      <w:r>
        <w:rPr>
          <w:rFonts w:ascii="Times New Roman;Times;Serif" w:hAnsi="Times New Roman;Times;Serif"/>
          <w:b w:val="false"/>
          <w:i w:val="false"/>
          <w:caps w:val="false"/>
          <w:smallCaps w:val="false"/>
          <w:sz w:val="20"/>
        </w:rPr>
        <w:t>6,500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Cooley LLP (“Cooley”) for previously provided legal services (the “Cooley Repayment Agreement”). Under the Cooley Repayment Agreement, the Company’s outstanding fees have been lowered from $</w:t>
      </w:r>
      <w:bookmarkStart w:id="2767" w:name="xdx_907_eus-gaap--DebtInstrumentFeeAmoun"/>
      <w:bookmarkEnd w:id="2767"/>
      <w:r>
        <w:rPr>
          <w:rFonts w:ascii="Times New Roman;Times;Serif" w:hAnsi="Times New Roman;Times;Serif"/>
          <w:b w:val="false"/>
          <w:i w:val="false"/>
          <w:caps w:val="false"/>
          <w:smallCaps w:val="false"/>
          <w:sz w:val="20"/>
        </w:rPr>
        <w:t>1,523,029 to $</w:t>
      </w:r>
      <w:bookmarkStart w:id="2768" w:name="xdx_902_eus-gaap--DebtInstrumentFeeAmoun"/>
      <w:bookmarkEnd w:id="2768"/>
      <w:r>
        <w:rPr>
          <w:rFonts w:ascii="Times New Roman;Times;Serif" w:hAnsi="Times New Roman;Times;Serif"/>
          <w:b w:val="false"/>
          <w:i w:val="false"/>
          <w:caps w:val="false"/>
          <w:smallCaps w:val="false"/>
          <w:sz w:val="20"/>
        </w:rPr>
        <w:t xml:space="preserve">400,000 (the “Cooley Unpaid Fee”) in exchange for </w:t>
      </w:r>
      <w:bookmarkStart w:id="2769" w:name="xdx_905_eus-gaap--DebtInstrumentFrequenc"/>
      <w:bookmarkEnd w:id="2769"/>
      <w:r>
        <w:rPr>
          <w:rFonts w:ascii="Times New Roman;Times;Serif" w:hAnsi="Times New Roman;Times;Serif"/>
          <w:b w:val="false"/>
          <w:i w:val="false"/>
          <w:caps w:val="false"/>
          <w:smallCaps w:val="false"/>
          <w:sz w:val="20"/>
        </w:rPr>
        <w:t>11 monthly installments of $</w:t>
      </w:r>
      <w:bookmarkStart w:id="2770" w:name="xdx_908_eus-gaap--DebtInstrumentPeriodic"/>
      <w:bookmarkEnd w:id="2770"/>
      <w:r>
        <w:rPr>
          <w:rFonts w:ascii="Times New Roman;Times;Serif" w:hAnsi="Times New Roman;Times;Serif"/>
          <w:b w:val="false"/>
          <w:i w:val="false"/>
          <w:caps w:val="false"/>
          <w:smallCaps w:val="false"/>
          <w:sz w:val="20"/>
        </w:rPr>
        <w:t xml:space="preserve">36,300, with the first payment to be made on </w:t>
      </w:r>
      <w:bookmarkStart w:id="2771" w:name="xdx_902_eus-gaap--DebtInstrumentDateOfFi"/>
      <w:bookmarkEnd w:id="2771"/>
      <w:r>
        <w:rPr>
          <w:rFonts w:ascii="Times New Roman;Times;Serif" w:hAnsi="Times New Roman;Times;Serif"/>
          <w:b w:val="false"/>
          <w:i w:val="false"/>
          <w:caps w:val="false"/>
          <w:smallCaps w:val="false"/>
          <w:sz w:val="20"/>
        </w:rPr>
        <w:t>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w:t>
      </w:r>
      <w:bookmarkStart w:id="2772" w:name="xdx_909_eus-gaap--GainsLossesOnExtinguis"/>
      <w:bookmarkEnd w:id="2772"/>
      <w:r>
        <w:rPr>
          <w:rFonts w:ascii="Times New Roman;Times;Serif" w:hAnsi="Times New Roman;Times;Serif"/>
          <w:b w:val="false"/>
          <w:i w:val="false"/>
          <w:caps w:val="false"/>
          <w:smallCaps w:val="false"/>
          <w:sz w:val="20"/>
        </w:rPr>
        <w:t xml:space="preserve">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Settlement Letter with CohnReznick LLP (“CohnReznick”) regarding the Company’s unpaid balance totaling $</w:t>
      </w:r>
      <w:bookmarkStart w:id="2773" w:name="xdx_90B_eus-gaap--DebtInstrumentFaceAmou"/>
      <w:bookmarkEnd w:id="2773"/>
      <w:r>
        <w:rPr>
          <w:rFonts w:ascii="Times New Roman;Times;Serif" w:hAnsi="Times New Roman;Times;Serif"/>
          <w:b w:val="false"/>
          <w:i w:val="false"/>
          <w:caps w:val="false"/>
          <w:smallCaps w:val="false"/>
          <w:sz w:val="20"/>
        </w:rPr>
        <w:t>817,400 for services rendered in connection with the 7GC business combination with the Company (the “Settlement Letter”). Under the Settlement Letter, the Company and CohnReznick agreed to settle the total unpaid balance due, upon CohnReznick’s receipt of $</w:t>
      </w:r>
      <w:bookmarkStart w:id="2774" w:name="xdx_908_eus-gaap--ObligationWithJointAnd"/>
      <w:bookmarkEnd w:id="2774"/>
      <w:r>
        <w:rPr>
          <w:rFonts w:ascii="Times New Roman;Times;Serif" w:hAnsi="Times New Roman;Times;Serif"/>
          <w:b w:val="false"/>
          <w:i w:val="false"/>
          <w:caps w:val="false"/>
          <w:smallCaps w:val="false"/>
          <w:sz w:val="20"/>
        </w:rPr>
        <w:t xml:space="preserve">450,000 (the “Settlement Amount”), which will be paid in </w:t>
      </w:r>
      <w:bookmarkStart w:id="2775" w:name="xdx_90F_eus-gaap--DebtInstrumentFrequenc"/>
      <w:bookmarkEnd w:id="2775"/>
      <w:r>
        <w:rPr>
          <w:rFonts w:ascii="Times New Roman;Times;Serif" w:hAnsi="Times New Roman;Times;Serif"/>
          <w:b w:val="false"/>
          <w:i w:val="false"/>
          <w:caps w:val="false"/>
          <w:smallCaps w:val="false"/>
          <w:sz w:val="20"/>
        </w:rPr>
        <w:t>15 equal monthly installments of $</w:t>
      </w:r>
      <w:bookmarkStart w:id="2776" w:name="xdx_90B_eus-gaap--DebtInstrumentPeriodic"/>
      <w:bookmarkEnd w:id="2776"/>
      <w:r>
        <w:rPr>
          <w:rFonts w:ascii="Times New Roman;Times;Serif" w:hAnsi="Times New Roman;Times;Serif"/>
          <w:b w:val="false"/>
          <w:i w:val="false"/>
          <w:caps w:val="false"/>
          <w:smallCaps w:val="false"/>
          <w:sz w:val="20"/>
        </w:rPr>
        <w:t xml:space="preserve">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w:t>
      </w:r>
      <w:bookmarkStart w:id="2777" w:name="xdx_909_eus-gaap--DebtInstrumentFaceAmou"/>
      <w:bookmarkEnd w:id="2777"/>
      <w:r>
        <w:rPr>
          <w:rFonts w:ascii="Times New Roman;Times;Serif" w:hAnsi="Times New Roman;Times;Serif"/>
          <w:b w:val="false"/>
          <w:i w:val="false"/>
          <w:caps w:val="false"/>
          <w:smallCaps w:val="false"/>
          <w:sz w:val="20"/>
          <w:shd w:fill="FFFFFF" w:val="clear"/>
        </w:rPr>
        <w:t>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Sidley Austin LLP (“Sidley”) for previously provided legal services (the “Sidley Repayment Agreement”). Under the Sidley Repayment Agreement, the Company’s outstanding fees have been lowered from $</w:t>
      </w:r>
      <w:bookmarkStart w:id="2778" w:name="xdx_903_eus-gaap--DebtInstrumentFeeAmoun"/>
      <w:bookmarkEnd w:id="2778"/>
      <w:r>
        <w:rPr>
          <w:rFonts w:ascii="Times New Roman;Times;Serif" w:hAnsi="Times New Roman;Times;Serif"/>
          <w:b w:val="false"/>
          <w:i w:val="false"/>
          <w:caps w:val="false"/>
          <w:smallCaps w:val="false"/>
          <w:sz w:val="20"/>
        </w:rPr>
        <w:t>4,815,979 to $</w:t>
      </w:r>
      <w:bookmarkStart w:id="2779" w:name="xdx_90A_eus-gaap--DebtInstrumentFeeAmoun"/>
      <w:bookmarkEnd w:id="2779"/>
      <w:r>
        <w:rPr>
          <w:rFonts w:ascii="Times New Roman;Times;Serif" w:hAnsi="Times New Roman;Times;Serif"/>
          <w:b w:val="false"/>
          <w:i w:val="false"/>
          <w:caps w:val="false"/>
          <w:smallCaps w:val="false"/>
          <w:sz w:val="20"/>
        </w:rPr>
        <w:t xml:space="preserve">1,605,326 (the “Sidley Unpaid Fee”). Under the Sidley Repayment Agreement, the Company agrees to </w:t>
      </w:r>
      <w:bookmarkStart w:id="2780" w:name="xdx_901_eus-gaap--DebtInstrumentFrequenc"/>
      <w:bookmarkEnd w:id="2780"/>
      <w:r>
        <w:rPr>
          <w:rFonts w:ascii="Times New Roman;Times;Serif" w:hAnsi="Times New Roman;Times;Serif"/>
          <w:b w:val="false"/>
          <w:i w:val="false"/>
          <w:caps w:val="false"/>
          <w:smallCaps w:val="false"/>
          <w:sz w:val="20"/>
        </w:rPr>
        <w:t xml:space="preserve">12 monthly payments that Sidley applies to the balance of the Sidley </w:t>
      </w:r>
      <w:bookmarkStart w:id="2781" w:name="xdx_904_ecustom--UnpaidFeeDescription_c2"/>
      <w:bookmarkEnd w:id="2781"/>
      <w:r>
        <w:rPr>
          <w:rFonts w:ascii="Times New Roman;Times;Serif" w:hAnsi="Times New Roman;Times;Serif"/>
          <w:b w:val="false"/>
          <w:i w:val="false"/>
          <w:caps w:val="false"/>
          <w:smallCaps w:val="false"/>
          <w:sz w:val="20"/>
        </w:rPr>
        <w:t xml:space="preserve">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w:t>
      </w:r>
      <w:bookmarkStart w:id="2782" w:name="xdx_905_ecustom--ShortfallAccrueInterest"/>
      <w:bookmarkEnd w:id="2782"/>
      <w:r>
        <w:rPr>
          <w:rFonts w:ascii="Times New Roman;Times;Serif" w:hAnsi="Times New Roman;Times;Serif"/>
          <w:b w:val="false"/>
          <w:i w:val="false"/>
          <w:caps w:val="false"/>
          <w:smallCaps w:val="false"/>
          <w:sz w:val="20"/>
        </w:rPr>
        <w:t xml:space="preserve">12% per annum, compounded daily, until such payment is made. As such, in accordance with ASC 470-60, </w:t>
      </w:r>
      <w:bookmarkStart w:id="2783" w:name="xdx_903_eus-gaap--GainsLossesOnExtinguis"/>
      <w:bookmarkEnd w:id="2783"/>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w:t>
      </w:r>
      <w:bookmarkStart w:id="2784" w:name="xdx_906_eus-gaap--GainsLossesOnExtinguis"/>
      <w:bookmarkEnd w:id="2784"/>
      <w:r>
        <w:rPr>
          <w:rFonts w:ascii="Times New Roman;Times;Serif" w:hAnsi="Times New Roman;Times;Serif"/>
          <w:b w:val="false"/>
          <w:i w:val="false"/>
          <w:caps w:val="false"/>
          <w:smallCaps w:val="false"/>
          <w:sz w:val="20"/>
        </w:rPr>
        <w:t xml:space="preserve">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w:t>
      </w:r>
      <w:bookmarkStart w:id="2785" w:name="xdx_903_eus-gaap--DebtInstrumentFeeAmoun"/>
      <w:bookmarkEnd w:id="2785"/>
      <w:r>
        <w:rPr>
          <w:rFonts w:ascii="Times New Roman;Times;Serif" w:hAnsi="Times New Roman;Times;Serif"/>
          <w:b w:val="false"/>
          <w:i w:val="false"/>
          <w:caps w:val="false"/>
          <w:smallCaps w:val="false"/>
          <w:sz w:val="20"/>
        </w:rPr>
        <w:t>1,072,148 to $</w:t>
      </w:r>
      <w:bookmarkStart w:id="2786" w:name="xdx_903_eus-gaap--DebtInstrumentFeeAmoun"/>
      <w:bookmarkEnd w:id="2786"/>
      <w:r>
        <w:rPr>
          <w:rFonts w:ascii="Times New Roman;Times;Serif" w:hAnsi="Times New Roman;Times;Serif"/>
          <w:b w:val="false"/>
          <w:i w:val="false"/>
          <w:caps w:val="false"/>
          <w:smallCaps w:val="false"/>
          <w:sz w:val="20"/>
        </w:rPr>
        <w:t xml:space="preserve">357,025 (the “Donnelley Unpaid Fee”). The Donnelley Unpaid Fee will be paid in </w:t>
      </w:r>
      <w:bookmarkStart w:id="2787" w:name="xdx_906_eus-gaap--DebtInstrumentFrequenc"/>
      <w:bookmarkEnd w:id="2787"/>
      <w:r>
        <w:rPr>
          <w:rFonts w:ascii="Times New Roman;Times;Serif" w:hAnsi="Times New Roman;Times;Serif"/>
          <w:b w:val="false"/>
          <w:i w:val="false"/>
          <w:caps w:val="false"/>
          <w:smallCaps w:val="false"/>
          <w:sz w:val="20"/>
        </w:rPr>
        <w:t>12 monthly installments, with the first monthly payment of $</w:t>
      </w:r>
      <w:bookmarkStart w:id="2788" w:name="xdx_90E_eus-gaap--DebtInstrumentPeriodic"/>
      <w:bookmarkEnd w:id="2788"/>
      <w:r>
        <w:rPr>
          <w:rFonts w:ascii="Times New Roman;Times;Serif" w:hAnsi="Times New Roman;Times;Serif"/>
          <w:b w:val="false"/>
          <w:i w:val="false"/>
          <w:caps w:val="false"/>
          <w:smallCaps w:val="false"/>
          <w:sz w:val="20"/>
        </w:rPr>
        <w:t xml:space="preserve">45,000 due on October 1, 2024; the remaining </w:t>
      </w:r>
      <w:bookmarkStart w:id="2789" w:name="xdx_907_ecustom--NumberOfInstallmentsRem"/>
      <w:bookmarkEnd w:id="2789"/>
      <w:r>
        <w:rPr>
          <w:rFonts w:ascii="Times New Roman;Times;Serif" w:hAnsi="Times New Roman;Times;Serif"/>
          <w:b w:val="false"/>
          <w:i w:val="false"/>
          <w:caps w:val="false"/>
          <w:smallCaps w:val="false"/>
          <w:sz w:val="20"/>
        </w:rPr>
        <w:t>11 payments shall each be in the amount of $</w:t>
      </w:r>
      <w:bookmarkStart w:id="2790" w:name="xdx_90F_ecustom--RemainingMonthlyInstall"/>
      <w:bookmarkEnd w:id="2790"/>
      <w:r>
        <w:rPr>
          <w:rFonts w:ascii="Times New Roman;Times;Serif" w:hAnsi="Times New Roman;Times;Serif"/>
          <w:b w:val="false"/>
          <w:i w:val="false"/>
          <w:caps w:val="false"/>
          <w:smallCaps w:val="false"/>
          <w:sz w:val="20"/>
        </w:rPr>
        <w:t xml:space="preserve">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w:t>
      </w:r>
      <w:bookmarkStart w:id="2791" w:name="xdx_90B_eus-gaap--GainsLossesOnExtinguis"/>
      <w:bookmarkEnd w:id="2791"/>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remaining unpaid balance of $</w:t>
      </w:r>
      <w:bookmarkStart w:id="2792" w:name="xdx_905_eus-gaap--DebtInstrumentFeeAmoun"/>
      <w:bookmarkEnd w:id="2792"/>
      <w:r>
        <w:rPr>
          <w:rFonts w:ascii="Times New Roman;Times;Serif" w:hAnsi="Times New Roman;Times;Serif"/>
          <w:b w:val="false"/>
          <w:i w:val="false"/>
          <w:caps w:val="false"/>
          <w:smallCaps w:val="false"/>
          <w:sz w:val="20"/>
        </w:rPr>
        <w:t>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w:t>
      </w:r>
      <w:bookmarkStart w:id="2793" w:name="xdx_90D_eus-gaap--DebtInstrumentFeeAmoun"/>
      <w:bookmarkEnd w:id="2793"/>
      <w:r>
        <w:rPr>
          <w:rFonts w:ascii="Times New Roman;Times;Serif" w:hAnsi="Times New Roman;Times;Serif"/>
          <w:b w:val="false"/>
          <w:i w:val="false"/>
          <w:caps w:val="false"/>
          <w:smallCaps w:val="false"/>
          <w:sz w:val="20"/>
        </w:rPr>
        <w:t>196,666 (the “Verista Unpaid Fee”). The Company and Verista have agreed that the Verista Unpaid Fee will be repaid with $</w:t>
      </w:r>
      <w:bookmarkStart w:id="2794" w:name="xdx_90B_eus-gaap--StockIssuedDuringPerio"/>
      <w:bookmarkEnd w:id="2794"/>
      <w:r>
        <w:rPr>
          <w:rFonts w:ascii="Times New Roman;Times;Serif" w:hAnsi="Times New Roman;Times;Serif"/>
          <w:b w:val="false"/>
          <w:i w:val="false"/>
          <w:caps w:val="false"/>
          <w:smallCaps w:val="false"/>
          <w:sz w:val="20"/>
        </w:rPr>
        <w:t>66,666 worth of shares of the Company, and $</w:t>
      </w:r>
      <w:bookmarkStart w:id="2795" w:name="xdx_902_ecustom--DebtInstrumentFeeRemain"/>
      <w:bookmarkEnd w:id="2795"/>
      <w:r>
        <w:rPr>
          <w:rFonts w:ascii="Times New Roman;Times;Serif" w:hAnsi="Times New Roman;Times;Serif"/>
          <w:b w:val="false"/>
          <w:i w:val="false"/>
          <w:caps w:val="false"/>
          <w:smallCaps w:val="false"/>
          <w:sz w:val="20"/>
        </w:rPr>
        <w:t xml:space="preserve">130,000 in </w:t>
      </w:r>
      <w:bookmarkStart w:id="2796" w:name="xdx_909_eus-gaap--DebtInstrumentFrequenc"/>
      <w:bookmarkEnd w:id="2796"/>
      <w:r>
        <w:rPr>
          <w:rFonts w:ascii="Times New Roman;Times;Serif" w:hAnsi="Times New Roman;Times;Serif"/>
          <w:b w:val="false"/>
          <w:i w:val="false"/>
          <w:caps w:val="false"/>
          <w:smallCaps w:val="false"/>
          <w:sz w:val="20"/>
        </w:rPr>
        <w:t>16 equal cash installment payments of $</w:t>
      </w:r>
      <w:bookmarkStart w:id="2797" w:name="xdx_90C_ecustom--RemainingMonthlyInstall"/>
      <w:bookmarkEnd w:id="2797"/>
      <w:r>
        <w:rPr>
          <w:rFonts w:ascii="Times New Roman;Times;Serif" w:hAnsi="Times New Roman;Times;Serif"/>
          <w:b w:val="false"/>
          <w:i w:val="false"/>
          <w:caps w:val="false"/>
          <w:smallCaps w:val="false"/>
          <w:sz w:val="20"/>
        </w:rPr>
        <w:t xml:space="preserve">8,125, beginning on October 1, 2024, and on the first day of each month thereafter through January 1, 2026. As of December 31, 2025, the Company had issued </w:t>
      </w:r>
      <w:bookmarkStart w:id="2798" w:name="xdx_90A_eus-gaap--StockIssuedDuringPerio"/>
      <w:bookmarkEnd w:id="2798"/>
      <w:r>
        <w:rPr>
          <w:rFonts w:ascii="Times New Roman;Times;Serif" w:hAnsi="Times New Roman;Times;Serif"/>
          <w:b w:val="false"/>
          <w:i w:val="false"/>
          <w:caps w:val="false"/>
          <w:smallCaps w:val="false"/>
          <w:sz w:val="20"/>
        </w:rPr>
        <w:t>150 shares and made aggregate installment payments of $</w:t>
      </w:r>
      <w:bookmarkStart w:id="2799" w:name="xdx_908_eus-gaap--DebtInstrumentPeriodic"/>
      <w:bookmarkEnd w:id="2799"/>
      <w:r>
        <w:rPr>
          <w:rFonts w:ascii="Times New Roman;Times;Serif" w:hAnsi="Times New Roman;Times;Serif"/>
          <w:b w:val="false"/>
          <w:i w:val="false"/>
          <w:caps w:val="false"/>
          <w:smallCaps w:val="false"/>
          <w:sz w:val="20"/>
        </w:rPr>
        <w:t>78,437 to Verista. The remaining unpaid balance of $</w:t>
      </w:r>
      <w:bookmarkStart w:id="2800" w:name="xdx_907_eus-gaap--DebtInstrumentFeeAmoun"/>
      <w:bookmarkEnd w:id="2800"/>
      <w:r>
        <w:rPr>
          <w:rFonts w:ascii="Times New Roman;Times;Serif" w:hAnsi="Times New Roman;Times;Serif"/>
          <w:b w:val="false"/>
          <w:i w:val="false"/>
          <w:caps w:val="false"/>
          <w:smallCaps w:val="false"/>
          <w:sz w:val="20"/>
        </w:rPr>
        <w:t>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w:t>
      </w:r>
      <w:bookmarkStart w:id="2801" w:name="xdx_906_ecustom--LiquidatedDamagesToBePa"/>
      <w:bookmarkEnd w:id="2801"/>
      <w:r>
        <w:rPr>
          <w:rFonts w:ascii="Times New Roman;Times;Serif" w:hAnsi="Times New Roman;Times;Serif"/>
          <w:b w:val="false"/>
          <w:i w:val="false"/>
          <w:caps w:val="false"/>
          <w:smallCaps w:val="false"/>
          <w:sz w:val="20"/>
        </w:rPr>
        <w:t>500,000 in liquidated damages to cover certain transaction expenses that Act-On incurred in connection with the merger contemplated by the Merger Agreement and $</w:t>
      </w:r>
      <w:bookmarkStart w:id="2802" w:name="xdx_90A_ecustom--AdditionalInterestAndEx"/>
      <w:bookmarkEnd w:id="2802"/>
      <w:r>
        <w:rPr>
          <w:rFonts w:ascii="Times New Roman;Times;Serif" w:hAnsi="Times New Roman;Times;Serif"/>
          <w:b w:val="false"/>
          <w:i w:val="false"/>
          <w:caps w:val="false"/>
          <w:smallCaps w:val="false"/>
          <w:sz w:val="20"/>
        </w:rPr>
        <w:t>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w:t>
      </w:r>
      <w:bookmarkStart w:id="2803" w:name="xdx_901_ecustom--AmountOwed_iI_c20251231"/>
      <w:bookmarkEnd w:id="2803"/>
      <w:r>
        <w:rPr>
          <w:rFonts w:ascii="Times New Roman;Times;Serif" w:hAnsi="Times New Roman;Times;Serif"/>
          <w:b w:val="false"/>
          <w:i w:val="false"/>
          <w:caps w:val="false"/>
          <w:smallCaps w:val="false"/>
          <w:sz w:val="20"/>
        </w:rPr>
        <w:t>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2804" w:name="xdx_804_eus-gaap--StockholdersEquityNote"/>
      <w:bookmarkEnd w:id="2804"/>
      <w:r>
        <w:rPr>
          <w:rFonts w:ascii="Times New Roman;Times;Serif" w:hAnsi="Times New Roman;Times;Serif"/>
          <w:b/>
          <w:i w:val="false"/>
          <w:caps w:val="false"/>
          <w:smallCaps w:val="false"/>
          <w:sz w:val="20"/>
          <w:shd w:fill="FFFFFF" w:val="clear"/>
        </w:rPr>
        <w:t xml:space="preserve">15. </w:t>
      </w:r>
      <w:bookmarkStart w:id="2805" w:name="xdx_820_zyKB5B9AiMnj"/>
      <w:bookmarkEnd w:id="2805"/>
      <w:r>
        <w:rPr>
          <w:rFonts w:ascii="Times New Roman;Times;Serif" w:hAnsi="Times New Roman;Times;Serif"/>
          <w:b/>
          <w:i w:val="false"/>
          <w:caps w:val="false"/>
          <w:smallCaps w:val="false"/>
          <w:sz w:val="20"/>
          <w:shd w:fill="FFFFFF" w:val="clear"/>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w:t>
      </w:r>
      <w:bookmarkStart w:id="2806" w:name="xdx_903_eus-gaap--PreferredStockParOrSta"/>
      <w:bookmarkEnd w:id="2806"/>
      <w:r>
        <w:rPr>
          <w:rFonts w:ascii="Times New Roman;Times;Serif" w:hAnsi="Times New Roman;Times;Serif"/>
          <w:b w:val="false"/>
          <w:i w:val="false"/>
          <w:caps w:val="false"/>
          <w:smallCaps w:val="false"/>
          <w:sz w:val="20"/>
          <w:shd w:fill="FFFFFF" w:val="clear"/>
        </w:rPr>
        <w:t xml:space="preserve">0.0001 per share. The table below sets forth information about the Company’s equity, as of December 31, 2025: </w:t>
      </w:r>
    </w:p>
    <w:p>
      <w:pPr>
        <w:pStyle w:val="TextBody"/>
        <w:bidi w:val="0"/>
        <w:spacing w:before="0" w:after="0"/>
        <w:ind w:left="0" w:right="0" w:hanging="0"/>
        <w:jc w:val="both"/>
        <w:rPr>
          <w:caps w:val="false"/>
          <w:smallCaps w:val="false"/>
        </w:rPr>
      </w:pPr>
      <w:bookmarkStart w:id="2807" w:name="xdx_890_eus-gaap--ScheduleOfStockByClass"/>
      <w:bookmarkEnd w:id="2807"/>
      <w:r>
        <w:rPr>
          <w:caps w:val="false"/>
          <w:smallCaps w:val="false"/>
        </w:rPr>
        <w:t> </w:t>
      </w:r>
      <w:bookmarkStart w:id="2808" w:name="xdx_8B2_zfSVNBEGOx8f"/>
      <w:bookmarkEnd w:id="2808"/>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09" w:name="xdx_987_eus-gaap--PreferredStockSharesAu"/>
            <w:bookmarkEnd w:id="2809"/>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10" w:name="xdx_980_eus-gaap--PreferredStockSharesIs"/>
            <w:bookmarkEnd w:id="2810"/>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811" w:name="xdx_98E_eus-gaap--PreferredStockSharesOu"/>
            <w:bookmarkEnd w:id="2811"/>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12" w:name="xdx_98D_eus-gaap--PreferredStockSharesAu"/>
            <w:bookmarkEnd w:id="2812"/>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813" w:name="xdx_98F_eus-gaap--PreferredStockSharesIs"/>
            <w:bookmarkEnd w:id="2813"/>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2814" w:name="xdx_981_eus-gaap--PreferredStockSharesOu"/>
            <w:bookmarkEnd w:id="2814"/>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15" w:name="xdx_98D_eus-gaap--CommonStockSharesAutho"/>
            <w:bookmarkEnd w:id="2815"/>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16" w:name="xdx_98B_eus-gaap--CommonStockSharesIssue"/>
            <w:bookmarkEnd w:id="2816"/>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817" w:name="xdx_984_eus-gaap--CommonStockSharesOutst"/>
            <w:bookmarkEnd w:id="2817"/>
          </w:p>
        </w:tc>
        <w:tc>
          <w:tcPr>
            <w:tcW w:w="11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18" w:name="xdx_98A_eus-gaap--CommonStockSharesAutho"/>
            <w:bookmarkEnd w:id="2818"/>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19" w:name="xdx_980_eus-gaap--CommonStockSharesIssue"/>
            <w:bookmarkEnd w:id="2819"/>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20" w:name="xdx_98A_eus-gaap--CommonStockSharesOutst"/>
            <w:bookmarkEnd w:id="2820"/>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21" w:name="xdx_985_ecustom--SharesAuthorized_iI_pid"/>
            <w:bookmarkEnd w:id="2821"/>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22" w:name="xdx_98C_eus-gaap--SharesIssued_iI_pid_c2"/>
            <w:bookmarkEnd w:id="2822"/>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23" w:name="xdx_98E_eus-gaap--SharesOutstanding_iI_p"/>
            <w:bookmarkEnd w:id="2823"/>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24" w:name="xdx_8AB_zXLIBZfgFTI6"/>
      <w:bookmarkEnd w:id="282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25" w:name="xdx_90E_eus-gaap--CommonStockVotingRight"/>
      <w:bookmarkEnd w:id="2825"/>
      <w:r>
        <w:rPr>
          <w:rFonts w:ascii="Times New Roman;Times;Serif" w:hAnsi="Times New Roman;Times;Serif"/>
          <w:b w:val="false"/>
          <w:i w:val="false"/>
          <w:caps w:val="false"/>
          <w:smallCaps w:val="false"/>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w:t>
      </w:r>
      <w:bookmarkStart w:id="2826" w:name="xdx_900_eus-gaap--PreferredStockSharesIs"/>
      <w:bookmarkEnd w:id="2826"/>
      <w:r>
        <w:rPr>
          <w:rFonts w:ascii="Times New Roman;Times;Serif" w:hAnsi="Times New Roman;Times;Serif"/>
          <w:b w:val="false"/>
          <w:i w:val="false"/>
          <w:caps w:val="false"/>
          <w:smallCaps w:val="false"/>
          <w:sz w:val="20"/>
        </w:rPr>
        <w:t>1) share of series FE preferred stock (the “Series FE Preferred Stock”), to one of the OpenReel Stockholders, FE IV OR Aggregator, LLC. The Series FE Preferred Stock has a two (</w:t>
      </w:r>
      <w:bookmarkStart w:id="2827" w:name="xdx_907_eus-gaap--PreferredStockContract"/>
      <w:bookmarkEnd w:id="2827"/>
      <w:r>
        <w:rPr>
          <w:rFonts w:ascii="Times New Roman;Times;Serif" w:hAnsi="Times New Roman;Times;Serif"/>
          <w:b w:val="false"/>
          <w:i w:val="false"/>
          <w:caps w:val="false"/>
          <w:smallCaps w:val="false"/>
          <w:sz w:val="20"/>
        </w:rPr>
        <w:t>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w:t>
      </w:r>
      <w:bookmarkStart w:id="2828" w:name="xdx_90C_eus-gaap--AssetAcquisitionConsid"/>
      <w:bookmarkEnd w:id="2828"/>
      <w:r>
        <w:rPr>
          <w:rFonts w:ascii="Times New Roman;Times;Serif" w:hAnsi="Times New Roman;Times;Serif"/>
          <w:b w:val="false"/>
          <w:i w:val="false"/>
          <w:caps w:val="false"/>
          <w:smallCaps w:val="false"/>
          <w:sz w:val="20"/>
        </w:rPr>
        <w:t>100,000,000 of the Company’s shares of Class A common stock, par value $</w:t>
      </w:r>
      <w:bookmarkStart w:id="2829" w:name="xdx_90D_eus-gaap--CommonStockParOrStated"/>
      <w:bookmarkEnd w:id="2829"/>
      <w:r>
        <w:rPr>
          <w:rFonts w:ascii="Times New Roman;Times;Serif" w:hAnsi="Times New Roman;Times;Serif"/>
          <w:b w:val="false"/>
          <w:i w:val="false"/>
          <w:caps w:val="false"/>
          <w:smallCaps w:val="false"/>
          <w:sz w:val="20"/>
        </w:rPr>
        <w:t>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an “Advance”) the Company requests under the SEPA (notice of such request, an “Advance Notice”) may be for a number of shares of Class A common stock up to the greater of (i) </w:t>
      </w:r>
      <w:bookmarkStart w:id="2830" w:name="xdx_906_eus-gaap--InvestmentCompanyExpen"/>
      <w:bookmarkEnd w:id="2830"/>
      <w:r>
        <w:rPr>
          <w:rFonts w:ascii="Times New Roman;Times;Serif" w:hAnsi="Times New Roman;Times;Serif"/>
          <w:b w:val="false"/>
          <w:i w:val="false"/>
          <w:caps w:val="false"/>
          <w:smallCaps w:val="false"/>
          <w:sz w:val="20"/>
        </w:rPr>
        <w:t xml:space="preserve">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w:t>
      </w:r>
      <w:bookmarkStart w:id="2831" w:name="xdx_902_ecustom--PercentageOfSharesOutst"/>
      <w:bookmarkEnd w:id="2831"/>
      <w:r>
        <w:rPr>
          <w:rFonts w:ascii="Times New Roman;Times;Serif" w:hAnsi="Times New Roman;Times;Serif"/>
          <w:b w:val="false"/>
          <w:i w:val="false"/>
          <w:caps w:val="false"/>
          <w:smallCaps w:val="false"/>
          <w:sz w:val="20"/>
        </w:rPr>
        <w:t>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32" w:name="xdx_90C_ecustom--PercentageOfAverageDail"/>
            <w:bookmarkEnd w:id="2832"/>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33" w:name="xdx_904_ecustom--PercentageOfLowestDaily"/>
            <w:bookmarkEnd w:id="2833"/>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purchase under an Advance would be subject to certain limitations, including that Yorkville shall not purchase or acquire any shares that would result in it and its affiliates beneficially owning more than </w:t>
      </w:r>
      <w:bookmarkStart w:id="2834" w:name="xdx_902_ecustom--PurchaseOfStockPercenta"/>
      <w:bookmarkStart w:id="2835" w:name="xdx_90D_ecustom--PurchaseOfStockPercenta"/>
      <w:bookmarkEnd w:id="2834"/>
      <w:bookmarkEnd w:id="2835"/>
      <w:r>
        <w:rPr>
          <w:rFonts w:ascii="Times New Roman;Times;Serif" w:hAnsi="Times New Roman;Times;Serif"/>
          <w:b w:val="false"/>
          <w:i w:val="false"/>
          <w:caps w:val="false"/>
          <w:smallCaps w:val="false"/>
          <w:sz w:val="20"/>
        </w:rPr>
        <w:t xml:space="preserve">9.99% of the then outstanding voting power or number of shares of Class A common stock or any shares that, aggregated with shares issued under all other earlier Advances, would exceed </w:t>
      </w:r>
      <w:bookmarkStart w:id="2836" w:name="xdx_906_ecustom--PurchaseOfStockPercenta"/>
      <w:bookmarkStart w:id="2837" w:name="xdx_904_ecustom--PurchaseOfStockPercenta"/>
      <w:bookmarkEnd w:id="2836"/>
      <w:bookmarkEnd w:id="2837"/>
      <w:r>
        <w:rPr>
          <w:rFonts w:ascii="Times New Roman;Times;Serif" w:hAnsi="Times New Roman;Times;Serif"/>
          <w:b w:val="false"/>
          <w:i w:val="false"/>
          <w:caps w:val="false"/>
          <w:smallCaps w:val="false"/>
          <w:sz w:val="20"/>
        </w:rPr>
        <w:t>19.99% of all shares of Class A common stock and Class B common stock of the Company, par value $</w:t>
      </w:r>
      <w:bookmarkStart w:id="2838" w:name="xdx_906_eus-gaap--CommonStockParOrStated"/>
      <w:bookmarkStart w:id="2839" w:name="xdx_900_eus-gaap--CommonStockParOrStated"/>
      <w:bookmarkEnd w:id="2838"/>
      <w:bookmarkEnd w:id="2839"/>
      <w:r>
        <w:rPr>
          <w:rFonts w:ascii="Times New Roman;Times;Serif" w:hAnsi="Times New Roman;Times;Serif"/>
          <w:b w:val="false"/>
          <w:i w:val="false"/>
          <w:caps w:val="false"/>
          <w:smallCaps w:val="false"/>
          <w:sz w:val="20"/>
        </w:rPr>
        <w:t>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w:t>
      </w:r>
      <w:bookmarkStart w:id="2840" w:name="xdx_907_ecustom--CommitmentFeePayable_iI"/>
      <w:bookmarkEnd w:id="2840"/>
      <w:r>
        <w:rPr>
          <w:rFonts w:ascii="Times New Roman;Times;Serif" w:hAnsi="Times New Roman;Times;Serif"/>
          <w:b w:val="false"/>
          <w:i w:val="false"/>
          <w:caps w:val="false"/>
          <w:smallCaps w:val="false"/>
          <w:sz w:val="20"/>
        </w:rPr>
        <w:t xml:space="preserve">500,000 to Yorkville at the earlier of (i) March 14, 2024 or (ii) the termination of the SEPA, which will be payable, at the option of the Company, in cash or shares of Class A common stock through an Advance (the “Deferred Fee”). In March 2024 the Company issued </w:t>
      </w:r>
      <w:bookmarkStart w:id="2841" w:name="xdx_906_ecustom--SharesIssuedAsPaymentOf"/>
      <w:bookmarkEnd w:id="2841"/>
      <w:r>
        <w:rPr>
          <w:rFonts w:ascii="Times New Roman;Times;Serif" w:hAnsi="Times New Roman;Times;Serif"/>
          <w:b w:val="false"/>
          <w:i w:val="false"/>
          <w:caps w:val="false"/>
          <w:smallCaps w:val="false"/>
          <w:sz w:val="20"/>
        </w:rPr>
        <w:t>71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w:t>
      </w:r>
      <w:bookmarkStart w:id="2842" w:name="xdx_90B_eus-gaap--SharesIssuedPricePerSh"/>
      <w:bookmarkEnd w:id="2842"/>
      <w:r>
        <w:rPr>
          <w:rFonts w:ascii="Times New Roman;Times;Serif" w:hAnsi="Times New Roman;Times;Serif"/>
          <w:b w:val="false"/>
          <w:i w:val="false"/>
          <w:caps w:val="false"/>
          <w:smallCaps w:val="false"/>
          <w:sz w:val="20"/>
        </w:rPr>
        <w:t xml:space="preserve">5,000 per share of Class A common stock (the “Fixed Price”), or (ii) </w:t>
      </w:r>
      <w:bookmarkStart w:id="2843" w:name="xdx_907_ecustom--PercentageOfLowestDaily"/>
      <w:bookmarkEnd w:id="2843"/>
      <w:r>
        <w:rPr>
          <w:rFonts w:ascii="Times New Roman;Times;Serif" w:hAnsi="Times New Roman;Times;Serif"/>
          <w:b w:val="false"/>
          <w:i w:val="false"/>
          <w:caps w:val="false"/>
          <w:smallCaps w:val="false"/>
          <w:sz w:val="20"/>
        </w:rPr>
        <w:t>90% of the lowest daily Volume Weighted Average Price (“VWAP”) of the Class A common stock on Nasdaq during the 10 consecutive Trading Days immediately preceding the Investor Notice date or other date of determination (the “Variable Price”). The Variable Price shall not be lower than $</w:t>
      </w:r>
      <w:bookmarkStart w:id="2844" w:name="xdx_900_ecustom--MaximumFloorPrice_iI_pi"/>
      <w:bookmarkEnd w:id="2844"/>
      <w:r>
        <w:rPr>
          <w:rFonts w:ascii="Times New Roman;Times;Serif" w:hAnsi="Times New Roman;Times;Serif"/>
          <w:b w:val="false"/>
          <w:i w:val="false"/>
          <w:caps w:val="false"/>
          <w:smallCaps w:val="false"/>
          <w:sz w:val="20"/>
        </w:rPr>
        <w:t xml:space="preserve">20,000.00 per share (the “Floor Price”). </w:t>
      </w:r>
      <w:bookmarkStart w:id="2845" w:name="xdx_907_ecustom--FloorPriceAdjustment_pi"/>
      <w:bookmarkEnd w:id="2845"/>
      <w:r>
        <w:rPr>
          <w:rFonts w:ascii="Times New Roman;Times;Serif" w:hAnsi="Times New Roman;Times;Serif"/>
          <w:b w:val="false"/>
          <w:i w:val="false"/>
          <w:caps w:val="false"/>
          <w:smallCaps w:val="false"/>
          <w:sz w:val="20"/>
        </w:rPr>
        <w:t xml:space="preserve">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w:t>
      </w:r>
      <w:bookmarkStart w:id="2846" w:name="xdx_90D_ecustom--MaximumPercentageOfClos"/>
      <w:bookmarkEnd w:id="2846"/>
      <w:r>
        <w:rPr>
          <w:rFonts w:ascii="Times New Roman;Times;Serif" w:hAnsi="Times New Roman;Times;Serif"/>
          <w:b w:val="false"/>
          <w:i w:val="false"/>
          <w:caps w:val="false"/>
          <w:smallCaps w:val="false"/>
          <w:sz w:val="20"/>
        </w:rPr>
        <w:t>75% of the closing price on the Trading Day immediately prior to the time of such reduction and no greater than $</w:t>
      </w:r>
      <w:bookmarkStart w:id="2847" w:name="xdx_903_eus-gaap--CommonStockConvertible"/>
      <w:bookmarkEnd w:id="2847"/>
      <w:r>
        <w:rPr>
          <w:rFonts w:ascii="Times New Roman;Times;Serif" w:hAnsi="Times New Roman;Times;Serif"/>
          <w:b w:val="false"/>
          <w:i w:val="false"/>
          <w:caps w:val="false"/>
          <w:smallCaps w:val="false"/>
          <w:sz w:val="20"/>
        </w:rPr>
        <w:t>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requested the purchase of a total of </w:t>
      </w:r>
      <w:bookmarkStart w:id="2848" w:name="xdx_909_eus-gaap--CommonStockSharesAutho"/>
      <w:bookmarkEnd w:id="2848"/>
      <w:r>
        <w:rPr>
          <w:rFonts w:ascii="Times New Roman;Times;Serif" w:hAnsi="Times New Roman;Times;Serif"/>
          <w:b w:val="false"/>
          <w:i w:val="false"/>
          <w:caps w:val="false"/>
          <w:smallCaps w:val="false"/>
          <w:sz w:val="20"/>
        </w:rPr>
        <w:t>63,301 shares of the Company’s Class A common stock in connection with the Option 1 Advances, which Yorkville purchased for a total purchase price of approximately $</w:t>
      </w:r>
      <w:bookmarkStart w:id="2849" w:name="xdx_904_eus-gaap--ProceedsFromIssuanceOr"/>
      <w:bookmarkEnd w:id="2849"/>
      <w:r>
        <w:rPr>
          <w:rFonts w:ascii="Times New Roman;Times;Serif" w:hAnsi="Times New Roman;Times;Serif"/>
          <w:b w:val="false"/>
          <w:i w:val="false"/>
          <w:caps w:val="false"/>
          <w:smallCaps w:val="false"/>
          <w:sz w:val="20"/>
        </w:rPr>
        <w:t>6,473,887. The Company recognized a loss of approximately $</w:t>
      </w:r>
      <w:bookmarkStart w:id="2850" w:name="xdx_908_eus-gaap--GainsLossesOnExtinguis"/>
      <w:bookmarkEnd w:id="2850"/>
      <w:r>
        <w:rPr>
          <w:rFonts w:ascii="Times New Roman;Times;Serif" w:hAnsi="Times New Roman;Times;Serif"/>
          <w:b w:val="false"/>
          <w:i w:val="false"/>
          <w:caps w:val="false"/>
          <w:smallCaps w:val="false"/>
          <w:sz w:val="20"/>
        </w:rPr>
        <w:t>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requested the purchase of a total of </w:t>
      </w:r>
      <w:bookmarkStart w:id="2851" w:name="xdx_906_eus-gaap--CommonStockSharesAutho"/>
      <w:bookmarkEnd w:id="2851"/>
      <w:r>
        <w:rPr>
          <w:rFonts w:ascii="Times New Roman;Times;Serif" w:hAnsi="Times New Roman;Times;Serif"/>
          <w:b w:val="false"/>
          <w:i w:val="false"/>
          <w:caps w:val="false"/>
          <w:smallCaps w:val="false"/>
          <w:sz w:val="20"/>
        </w:rPr>
        <w:t>80,800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w:t>
      </w:r>
      <w:bookmarkStart w:id="2852" w:name="xdx_904_eus-gaap--DerivativeInstrumentsI"/>
      <w:bookmarkEnd w:id="2852"/>
      <w:r>
        <w:rPr>
          <w:rFonts w:ascii="Times New Roman;Times;Serif" w:hAnsi="Times New Roman;Times;Serif"/>
          <w:b w:val="false"/>
          <w:i w:val="false"/>
          <w:caps w:val="false"/>
          <w:smallCaps w:val="false"/>
          <w:sz w:val="20"/>
        </w:rPr>
        <w:t>467,656 in the aggregate, the fair values of which represented the intrinsic value of the requested number of shares of Class A common stock on the Advance Notice dates. The Company recognized a loss of approximately $</w:t>
      </w:r>
      <w:bookmarkStart w:id="2853" w:name="xdx_90C_eus-gaap--GainsLossesOnExtinguis"/>
      <w:bookmarkEnd w:id="2853"/>
      <w:r>
        <w:rPr>
          <w:rFonts w:ascii="Times New Roman;Times;Serif" w:hAnsi="Times New Roman;Times;Serif"/>
          <w:b w:val="false"/>
          <w:i w:val="false"/>
          <w:caps w:val="false"/>
          <w:smallCaps w:val="false"/>
          <w:sz w:val="20"/>
        </w:rPr>
        <w:t xml:space="preserve">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w:t>
      </w:r>
      <w:bookmarkStart w:id="2854" w:name="xdx_907_ecustom--SharesSold_iI_pid_c2025"/>
      <w:bookmarkEnd w:id="2854"/>
      <w:r>
        <w:rPr>
          <w:rFonts w:ascii="Times New Roman;Times;Serif" w:hAnsi="Times New Roman;Times;Serif"/>
          <w:b w:val="false"/>
          <w:i w:val="false"/>
          <w:caps w:val="false"/>
          <w:smallCaps w:val="false"/>
          <w:sz w:val="20"/>
        </w:rPr>
        <w:t>80,800 shares of the Company’s Class A common stock to Yorkville for total proceeds of approximately $</w:t>
      </w:r>
      <w:bookmarkStart w:id="2855" w:name="xdx_90F_ecustom--GrossProceeds_c20250101"/>
      <w:bookmarkEnd w:id="2855"/>
      <w:r>
        <w:rPr>
          <w:rFonts w:ascii="Times New Roman;Times;Serif" w:hAnsi="Times New Roman;Times;Serif"/>
          <w:b w:val="false"/>
          <w:i w:val="false"/>
          <w:caps w:val="false"/>
          <w:smallCaps w:val="false"/>
          <w:sz w:val="20"/>
        </w:rPr>
        <w:t>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the year ended December 31, 2025, the Company settled one Advance Notice subject to the Option 2 Pricing Period issued on December 30, 2024, and accordingly sold </w:t>
      </w:r>
      <w:bookmarkStart w:id="2856" w:name="xdx_907_ecustom--SharesSold_iI_pid_c2024"/>
      <w:bookmarkEnd w:id="2856"/>
      <w:r>
        <w:rPr>
          <w:rFonts w:ascii="Times New Roman;Times;Serif" w:hAnsi="Times New Roman;Times;Serif"/>
          <w:b w:val="false"/>
          <w:i w:val="false"/>
          <w:caps w:val="false"/>
          <w:smallCaps w:val="false"/>
          <w:sz w:val="20"/>
        </w:rPr>
        <w:t>1,525 of the Company’s Class A common stock to Yorkville for proceeds of approximately $</w:t>
      </w:r>
      <w:bookmarkStart w:id="2857" w:name="xdx_90A_ecustom--GrossProceeds_c20241230"/>
      <w:bookmarkEnd w:id="2857"/>
      <w:r>
        <w:rPr>
          <w:rFonts w:ascii="Times New Roman;Times;Serif" w:hAnsi="Times New Roman;Times;Serif"/>
          <w:b w:val="false"/>
          <w:i w:val="false"/>
          <w:caps w:val="false"/>
          <w:smallCaps w:val="false"/>
          <w:sz w:val="20"/>
        </w:rPr>
        <w:t>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w:t>
      </w:r>
      <w:bookmarkStart w:id="2858" w:name="xdx_902_eus-gaap--CommonStockParOrStated"/>
      <w:bookmarkEnd w:id="2858"/>
      <w:r>
        <w:rPr>
          <w:rFonts w:ascii="Times New Roman;Times;Serif" w:hAnsi="Times New Roman;Times;Serif"/>
          <w:b w:val="false"/>
          <w:i w:val="false"/>
          <w:caps w:val="false"/>
          <w:smallCaps w:val="false"/>
          <w:sz w:val="20"/>
        </w:rPr>
        <w:t>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w:t>
      </w:r>
      <w:bookmarkStart w:id="2859" w:name="xdx_90D_eus-gaap--StockIssuedDuringPerio"/>
      <w:bookmarkEnd w:id="2859"/>
      <w:r>
        <w:rPr>
          <w:rFonts w:ascii="Times New Roman;Times;Serif" w:hAnsi="Times New Roman;Times;Serif"/>
          <w:b w:val="false"/>
          <w:i w:val="false"/>
          <w:caps w:val="false"/>
          <w:smallCaps w:val="false"/>
          <w:sz w:val="20"/>
        </w:rPr>
        <w:t>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provides that the Company will pay the Manager commissions for its services for acting as agent in the sale of the ATM Shares. The Manager will be entitled to compensation at a fixed commission rate equal to up to </w:t>
      </w:r>
      <w:bookmarkStart w:id="2860" w:name="xdx_903_ecustom--MaximumCommissionRateAs"/>
      <w:bookmarkEnd w:id="2860"/>
      <w:r>
        <w:rPr>
          <w:rFonts w:ascii="Times New Roman;Times;Serif" w:hAnsi="Times New Roman;Times;Serif"/>
          <w:b w:val="false"/>
          <w:i w:val="false"/>
          <w:caps w:val="false"/>
          <w:smallCaps w:val="false"/>
          <w:sz w:val="20"/>
        </w:rPr>
        <w:t>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w:t>
      </w:r>
      <w:bookmarkStart w:id="2861" w:name="xdx_90B_eus-gaap--LegalFees_c20250827__2"/>
      <w:bookmarkEnd w:id="2861"/>
      <w:r>
        <w:rPr>
          <w:rFonts w:ascii="Times New Roman;Times;Serif" w:hAnsi="Times New Roman;Times;Serif"/>
          <w:b w:val="false"/>
          <w:i w:val="false"/>
          <w:caps w:val="false"/>
          <w:smallCaps w:val="false"/>
          <w:sz w:val="20"/>
        </w:rPr>
        <w:t>100,000 (excluding any periodic due diligence fees) incurred in connection with entering into the transactions contemplated by the ATM Agreement and has agreed to reimburse Wainwright up to a maximum of $</w:t>
      </w:r>
      <w:bookmarkStart w:id="2862" w:name="xdx_90D_ecustom--WainrightReimbursement_"/>
      <w:bookmarkEnd w:id="2862"/>
      <w:r>
        <w:rPr>
          <w:rFonts w:ascii="Times New Roman;Times;Serif" w:hAnsi="Times New Roman;Times;Serif"/>
          <w:b w:val="false"/>
          <w:i w:val="false"/>
          <w:caps w:val="false"/>
          <w:smallCaps w:val="false"/>
          <w:sz w:val="20"/>
        </w:rPr>
        <w:t>5,000 per Representation Date (as defined in the ATM Agreement) in connection with a new Registration Statement or the filing of the Company’s Annual Report on Form 10-K and $</w:t>
      </w:r>
      <w:bookmarkStart w:id="2863" w:name="xdx_908_ecustom--IncidentalExpense_c2025"/>
      <w:bookmarkEnd w:id="2863"/>
      <w:r>
        <w:rPr>
          <w:rFonts w:ascii="Times New Roman;Times;Serif" w:hAnsi="Times New Roman;Times;Serif"/>
          <w:b w:val="false"/>
          <w:i w:val="false"/>
          <w:caps w:val="false"/>
          <w:smallCaps w:val="false"/>
          <w:sz w:val="20"/>
        </w:rPr>
        <w:t>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2864" w:name="xdx_909_eus-gaap--CommonStockSharesAutho"/>
      <w:bookmarkEnd w:id="2864"/>
      <w:r>
        <w:rPr>
          <w:rFonts w:ascii="Times New Roman;Times;Serif" w:hAnsi="Times New Roman;Times;Serif"/>
          <w:b w:val="false"/>
          <w:i w:val="false"/>
          <w:caps w:val="false"/>
          <w:smallCaps w:val="false"/>
          <w:sz w:val="20"/>
        </w:rPr>
        <w:t>1,595 shares of Class A common stock at $</w:t>
      </w:r>
      <w:bookmarkStart w:id="2865" w:name="xdx_908_eus-gaap--SaleOfStockPricePerSha"/>
      <w:bookmarkEnd w:id="2865"/>
      <w:r>
        <w:rPr>
          <w:rFonts w:ascii="Times New Roman;Times;Serif" w:hAnsi="Times New Roman;Times;Serif"/>
          <w:b w:val="false"/>
          <w:i w:val="false"/>
          <w:caps w:val="false"/>
          <w:smallCaps w:val="false"/>
          <w:sz w:val="20"/>
        </w:rPr>
        <w:t xml:space="preserve">138.00 per share and </w:t>
      </w:r>
      <w:bookmarkStart w:id="2866" w:name="xdx_90B_eus-gaap--ClassOfWarrantOrRightO"/>
      <w:bookmarkEnd w:id="2866"/>
      <w:r>
        <w:rPr>
          <w:rFonts w:ascii="Times New Roman;Times;Serif" w:hAnsi="Times New Roman;Times;Serif"/>
          <w:b w:val="false"/>
          <w:i w:val="false"/>
          <w:caps w:val="false"/>
          <w:smallCaps w:val="false"/>
          <w:sz w:val="20"/>
        </w:rPr>
        <w:t>1,618 prefunded warrants (the “May 2025 Prefunded Warrants”) at $</w:t>
      </w:r>
      <w:bookmarkStart w:id="2867" w:name="xdx_90F_eus-gaap--ClassOfWarrantOrRightE"/>
      <w:bookmarkEnd w:id="2867"/>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2868" w:name="xdx_902_eus-gaap--ClassOfWarrantOrRightN"/>
      <w:bookmarkEnd w:id="2868"/>
      <w:r>
        <w:rPr>
          <w:rFonts w:ascii="Times New Roman;Times;Serif" w:hAnsi="Times New Roman;Times;Serif"/>
          <w:b w:val="false"/>
          <w:i w:val="false"/>
          <w:caps w:val="false"/>
          <w:smallCaps w:val="false"/>
          <w:sz w:val="20"/>
        </w:rPr>
        <w:t>1,618 shares of Class A common stock. The Company collected in aggregate $</w:t>
      </w:r>
      <w:bookmarkStart w:id="2869" w:name="xdx_90D_eus-gaap--ProceedsFromIssuanceOf"/>
      <w:bookmarkEnd w:id="2869"/>
      <w:r>
        <w:rPr>
          <w:rFonts w:ascii="Times New Roman;Times;Serif" w:hAnsi="Times New Roman;Times;Serif"/>
          <w:b w:val="false"/>
          <w:i w:val="false"/>
          <w:caps w:val="false"/>
          <w:smallCaps w:val="false"/>
          <w:sz w:val="20"/>
        </w:rPr>
        <w:t>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w:t>
      </w:r>
      <w:bookmarkStart w:id="2870" w:name="xdx_902_eus-gaap--CommonStockSharesIssue"/>
      <w:bookmarkEnd w:id="2870"/>
      <w:r>
        <w:rPr>
          <w:rFonts w:ascii="Times New Roman;Times;Serif" w:hAnsi="Times New Roman;Times;Serif"/>
          <w:b w:val="false"/>
          <w:i w:val="false"/>
          <w:caps w:val="false"/>
          <w:smallCaps w:val="false"/>
          <w:sz w:val="20"/>
        </w:rPr>
        <w:t>90,820 shares under the ATM Agreement for net proceeds of approximately $</w:t>
      </w:r>
      <w:bookmarkStart w:id="2871" w:name="xdx_901_eus-gaap--ProceedsFromDebtNetOfI"/>
      <w:bookmarkEnd w:id="2871"/>
      <w:r>
        <w:rPr>
          <w:rFonts w:ascii="Times New Roman;Times;Serif" w:hAnsi="Times New Roman;Times;Serif"/>
          <w:b w:val="false"/>
          <w:i w:val="false"/>
          <w:caps w:val="false"/>
          <w:smallCaps w:val="false"/>
          <w:sz w:val="20"/>
        </w:rPr>
        <w:t>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 2025, the Company issued </w:t>
      </w:r>
      <w:bookmarkStart w:id="2872" w:name="xdx_907_eus-gaap--CommonStockSharesIssue"/>
      <w:bookmarkEnd w:id="2872"/>
      <w:r>
        <w:rPr>
          <w:rFonts w:ascii="Times New Roman;Times;Serif" w:hAnsi="Times New Roman;Times;Serif"/>
          <w:b w:val="false"/>
          <w:i w:val="false"/>
          <w:caps w:val="false"/>
          <w:smallCaps w:val="false"/>
          <w:sz w:val="20"/>
        </w:rPr>
        <w:t>750 restricted shares of its Common Stock, with a determined fair value of $</w:t>
      </w:r>
      <w:bookmarkStart w:id="2873" w:name="xdx_902_eus-gaap--StockIssuedDuringPerio"/>
      <w:bookmarkEnd w:id="2873"/>
      <w:r>
        <w:rPr>
          <w:rFonts w:ascii="Times New Roman;Times;Serif" w:hAnsi="Times New Roman;Times;Serif"/>
          <w:b w:val="false"/>
          <w:i w:val="false"/>
          <w:caps w:val="false"/>
          <w:smallCaps w:val="false"/>
          <w:sz w:val="20"/>
        </w:rPr>
        <w:t xml:space="preserve">232,500, partially in exchange for the business advisory services outlined in the consulting agreement with Hudson Global Ventures, LLC, a Nevada limited liability company (“Hudson”). On April 25, 2025, July 1, 2025 and September 3, 2025, the Company issued </w:t>
      </w:r>
      <w:bookmarkStart w:id="2874" w:name="xdx_900_eus-gaap--CommonStockSharesIssue"/>
      <w:bookmarkEnd w:id="2874"/>
      <w:r>
        <w:rPr>
          <w:rFonts w:ascii="Times New Roman;Times;Serif" w:hAnsi="Times New Roman;Times;Serif"/>
          <w:b w:val="false"/>
          <w:i w:val="false"/>
          <w:caps w:val="false"/>
          <w:smallCaps w:val="false"/>
          <w:sz w:val="20"/>
        </w:rPr>
        <w:t xml:space="preserve">2,000, </w:t>
      </w:r>
      <w:bookmarkStart w:id="2875" w:name="xdx_902_eus-gaap--CommonStockSharesIssue"/>
      <w:bookmarkEnd w:id="2875"/>
      <w:r>
        <w:rPr>
          <w:rFonts w:ascii="Times New Roman;Times;Serif" w:hAnsi="Times New Roman;Times;Serif"/>
          <w:b w:val="false"/>
          <w:i w:val="false"/>
          <w:caps w:val="false"/>
          <w:smallCaps w:val="false"/>
          <w:sz w:val="20"/>
        </w:rPr>
        <w:t xml:space="preserve">1,180, and </w:t>
      </w:r>
      <w:bookmarkStart w:id="2876" w:name="xdx_90D_eus-gaap--CommonStockSharesIssue"/>
      <w:bookmarkEnd w:id="2876"/>
      <w:r>
        <w:rPr>
          <w:rFonts w:ascii="Times New Roman;Times;Serif" w:hAnsi="Times New Roman;Times;Serif"/>
          <w:b w:val="false"/>
          <w:i w:val="false"/>
          <w:caps w:val="false"/>
          <w:smallCaps w:val="false"/>
          <w:sz w:val="20"/>
        </w:rPr>
        <w:t>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w:t>
      </w:r>
      <w:bookmarkStart w:id="2877" w:name="xdx_906_eus-gaap--CommonStockSharesIssue"/>
      <w:bookmarkEnd w:id="2877"/>
      <w:r>
        <w:rPr>
          <w:rFonts w:ascii="Times New Roman;Times;Serif" w:hAnsi="Times New Roman;Times;Serif"/>
          <w:b w:val="false"/>
          <w:i w:val="false"/>
          <w:caps w:val="false"/>
          <w:smallCaps w:val="false"/>
          <w:sz w:val="20"/>
        </w:rPr>
        <w:t>150 shares of its Common Stock, with a determined fair value of $</w:t>
      </w:r>
      <w:bookmarkStart w:id="2878" w:name="xdx_904_eus-gaap--StockIssuedDuringPerio"/>
      <w:bookmarkEnd w:id="2878"/>
      <w:r>
        <w:rPr>
          <w:rFonts w:ascii="Times New Roman;Times;Serif" w:hAnsi="Times New Roman;Times;Serif"/>
          <w:b w:val="false"/>
          <w:i w:val="false"/>
          <w:caps w:val="false"/>
          <w:smallCaps w:val="false"/>
          <w:sz w:val="20"/>
        </w:rPr>
        <w:t xml:space="preserve">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w:t>
      </w:r>
      <w:bookmarkStart w:id="2879" w:name="xdx_907_ecustom--ShareBasedCompensationA"/>
      <w:bookmarkEnd w:id="2879"/>
      <w:r>
        <w:rPr>
          <w:rFonts w:ascii="Times New Roman;Times;Serif" w:hAnsi="Times New Roman;Times;Serif"/>
          <w:b w:val="false"/>
          <w:i w:val="false"/>
          <w:caps w:val="false"/>
          <w:smallCaps w:val="false"/>
          <w:sz w:val="20"/>
        </w:rPr>
        <w:t>10,048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w:t>
      </w:r>
      <w:bookmarkStart w:id="2880" w:name="xdx_90A_eus-gaap--BusinessAcquisitionEqu"/>
      <w:bookmarkEnd w:id="2880"/>
      <w:r>
        <w:rPr>
          <w:rFonts w:ascii="Times New Roman;Times;Serif" w:hAnsi="Times New Roman;Times;Serif"/>
          <w:b w:val="false"/>
          <w:i w:val="false"/>
          <w:caps w:val="false"/>
          <w:smallCaps w:val="false"/>
          <w:sz w:val="20"/>
        </w:rPr>
        <w:t>4,491 shares of Class A Common Stock, with a determined fair value of $</w:t>
      </w:r>
      <w:bookmarkStart w:id="2881" w:name="xdx_909_eus-gaap--StockIssuedDuringPerio"/>
      <w:bookmarkEnd w:id="2881"/>
      <w:r>
        <w:rPr>
          <w:rFonts w:ascii="Times New Roman;Times;Serif" w:hAnsi="Times New Roman;Times;Serif"/>
          <w:b w:val="false"/>
          <w:i w:val="false"/>
          <w:caps w:val="false"/>
          <w:smallCaps w:val="false"/>
          <w:sz w:val="20"/>
        </w:rPr>
        <w:t xml:space="preserve">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w:t>
      </w:r>
      <w:bookmarkStart w:id="2882" w:name="xdx_901_eus-gaap--CommonStockSharesIssue"/>
      <w:bookmarkEnd w:id="2882"/>
      <w:r>
        <w:rPr>
          <w:rFonts w:ascii="Times New Roman;Times;Serif" w:hAnsi="Times New Roman;Times;Serif"/>
          <w:b w:val="false"/>
          <w:i w:val="false"/>
          <w:caps w:val="false"/>
          <w:smallCaps w:val="false"/>
          <w:sz w:val="20"/>
        </w:rPr>
        <w:t>1 share of Class A Common Stock to CP BF, resulting from the exercise by CP BF of exercise of one (</w:t>
      </w:r>
      <w:bookmarkStart w:id="2883" w:name="xdx_901_ecustom--PrefundedWarrantExercis"/>
      <w:bookmarkEnd w:id="2883"/>
      <w:r>
        <w:rPr>
          <w:rFonts w:ascii="Times New Roman;Times;Serif" w:hAnsi="Times New Roman;Times;Serif"/>
          <w:b w:val="false"/>
          <w:i w:val="false"/>
          <w:caps w:val="false"/>
          <w:smallCaps w:val="false"/>
          <w:sz w:val="20"/>
        </w:rPr>
        <w:t xml:space="preserve">1) pre-funded warrant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2025, the Company issued </w:t>
      </w:r>
      <w:bookmarkStart w:id="2884" w:name="xdx_908_eus-gaap--CommonStockSharesIssue"/>
      <w:bookmarkEnd w:id="2884"/>
      <w:r>
        <w:rPr>
          <w:rFonts w:ascii="Times New Roman;Times;Serif" w:hAnsi="Times New Roman;Times;Serif"/>
          <w:b w:val="false"/>
          <w:i w:val="false"/>
          <w:caps w:val="false"/>
          <w:smallCaps w:val="false"/>
          <w:sz w:val="20"/>
        </w:rPr>
        <w:t>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the Company issued </w:t>
      </w:r>
      <w:bookmarkStart w:id="2885" w:name="xdx_900_eus-gaap--CommonStockSharesIssue"/>
      <w:bookmarkEnd w:id="2885"/>
      <w:r>
        <w:rPr>
          <w:rFonts w:ascii="Times New Roman;Times;Serif" w:hAnsi="Times New Roman;Times;Serif"/>
          <w:b w:val="false"/>
          <w:i w:val="false"/>
          <w:caps w:val="false"/>
          <w:smallCaps w:val="false"/>
          <w:sz w:val="20"/>
        </w:rPr>
        <w:t>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2886" w:name="xdx_90B_eus-gaap--CommonStockSharesAutho"/>
      <w:bookmarkEnd w:id="2886"/>
      <w:r>
        <w:rPr>
          <w:rFonts w:ascii="Times New Roman;Times;Serif" w:hAnsi="Times New Roman;Times;Serif"/>
          <w:b w:val="false"/>
          <w:i w:val="false"/>
          <w:caps w:val="false"/>
          <w:smallCaps w:val="false"/>
          <w:sz w:val="20"/>
        </w:rPr>
        <w:t>1,594 shares of Class A common stock at $</w:t>
      </w:r>
      <w:bookmarkStart w:id="2887" w:name="xdx_900_eus-gaap--SaleOfStockPricePerSha"/>
      <w:bookmarkEnd w:id="2887"/>
      <w:r>
        <w:rPr>
          <w:rFonts w:ascii="Times New Roman;Times;Serif" w:hAnsi="Times New Roman;Times;Serif"/>
          <w:b w:val="false"/>
          <w:i w:val="false"/>
          <w:caps w:val="false"/>
          <w:smallCaps w:val="false"/>
          <w:sz w:val="20"/>
        </w:rPr>
        <w:t xml:space="preserve">138.00 per share and </w:t>
      </w:r>
      <w:bookmarkStart w:id="2888" w:name="xdx_904_eus-gaap--ClassOfWarrantOrRightO"/>
      <w:bookmarkEnd w:id="2888"/>
      <w:r>
        <w:rPr>
          <w:rFonts w:ascii="Times New Roman;Times;Serif" w:hAnsi="Times New Roman;Times;Serif"/>
          <w:b w:val="false"/>
          <w:i w:val="false"/>
          <w:caps w:val="false"/>
          <w:smallCaps w:val="false"/>
          <w:sz w:val="20"/>
        </w:rPr>
        <w:t>1,618 prefunded warrants (the “May 2025 Prefunded Warrants”) at $</w:t>
      </w:r>
      <w:bookmarkStart w:id="2889" w:name="xdx_900_eus-gaap--ClassOfWarrantOrRightE"/>
      <w:bookmarkEnd w:id="2889"/>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2890" w:name="xdx_90A_eus-gaap--ClassOfWarrantOrRightN"/>
      <w:bookmarkEnd w:id="2890"/>
      <w:r>
        <w:rPr>
          <w:rFonts w:ascii="Times New Roman;Times;Serif" w:hAnsi="Times New Roman;Times;Serif"/>
          <w:b w:val="false"/>
          <w:i w:val="false"/>
          <w:caps w:val="false"/>
          <w:smallCaps w:val="false"/>
          <w:sz w:val="20"/>
        </w:rPr>
        <w:t>1,618 shares of Class A common stock. The Company collected in aggregate $</w:t>
      </w:r>
      <w:bookmarkStart w:id="2891" w:name="xdx_904_eus-gaap--ProceedsFromIssuanceOf"/>
      <w:bookmarkEnd w:id="2891"/>
      <w:r>
        <w:rPr>
          <w:rFonts w:ascii="Times New Roman;Times;Serif" w:hAnsi="Times New Roman;Times;Serif"/>
          <w:b w:val="false"/>
          <w:i w:val="false"/>
          <w:caps w:val="false"/>
          <w:smallCaps w:val="false"/>
          <w:sz w:val="20"/>
        </w:rPr>
        <w:t>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92" w:name="xdx_804_eus-gaap--DisclosureOfCompensati"/>
      <w:bookmarkEnd w:id="2892"/>
      <w:r>
        <w:rPr>
          <w:rFonts w:ascii="Times New Roman;Times;Serif" w:hAnsi="Times New Roman;Times;Serif"/>
          <w:b/>
          <w:i w:val="false"/>
          <w:caps w:val="false"/>
          <w:smallCaps w:val="false"/>
          <w:sz w:val="20"/>
        </w:rPr>
        <w:t xml:space="preserve">16. </w:t>
      </w:r>
      <w:bookmarkStart w:id="2893" w:name="xdx_82F_zSAqOkM40uC8"/>
      <w:bookmarkEnd w:id="2893"/>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adopted the 2023 Employee Stock Purchase Plan (the “ESPP”). The ESPP permits eligible employees of the Company and certain designated companies as determined by the Board, to purchase shares of the Company’s Common Stock. </w:t>
      </w:r>
      <w:bookmarkStart w:id="2894" w:name="xdx_902_eus-gaap--ShareBasedCompensation"/>
      <w:bookmarkEnd w:id="2894"/>
      <w:r>
        <w:rPr>
          <w:rFonts w:ascii="Times New Roman;Times;Serif" w:hAnsi="Times New Roman;Times;Serif"/>
          <w:b w:val="false"/>
          <w:i w:val="false"/>
          <w:caps w:val="false"/>
          <w:smallCaps w:val="false"/>
          <w:sz w:val="20"/>
        </w:rPr>
        <w:t xml:space="preserve">The aggregate number of shares of common stock that may be purchased pursuant to the Purchase Plan automatically increases on January 1 of each year ending on </w:t>
      </w:r>
      <w:bookmarkStart w:id="2895" w:name="xdx_901_eus-gaap--ShareBasedCompensation"/>
      <w:bookmarkEnd w:id="2895"/>
      <w:r>
        <w:rPr>
          <w:rFonts w:ascii="Times New Roman;Times;Serif" w:hAnsi="Times New Roman;Times;Serif"/>
          <w:b w:val="false"/>
          <w:i w:val="false"/>
          <w:caps w:val="false"/>
          <w:smallCaps w:val="false"/>
          <w:sz w:val="20"/>
        </w:rPr>
        <w:t>January 1, 2033, in an amount equal to the lesser of one percent (</w:t>
      </w:r>
      <w:bookmarkStart w:id="2896" w:name="xdx_906_ecustom--PercentageOfNumberOfSha"/>
      <w:bookmarkEnd w:id="2896"/>
      <w:r>
        <w:rPr>
          <w:rFonts w:ascii="Times New Roman;Times;Serif" w:hAnsi="Times New Roman;Times;Serif"/>
          <w:b w:val="false"/>
          <w:i w:val="false"/>
          <w:caps w:val="false"/>
          <w:smallCaps w:val="false"/>
          <w:sz w:val="20"/>
        </w:rPr>
        <w:t>1%) of the total number of shares of the fully diluted common stock (as defined in the ESPP) determined as of December 31 of the preceding year, or a number of shares of common stock equal to two hundred percent (</w:t>
      </w:r>
      <w:bookmarkStart w:id="2897" w:name="xdx_906_ecustom--ShareBasedCompensationA"/>
      <w:bookmarkEnd w:id="2897"/>
      <w:r>
        <w:rPr>
          <w:rFonts w:ascii="Times New Roman;Times;Serif" w:hAnsi="Times New Roman;Times;Serif"/>
          <w:b w:val="false"/>
          <w:i w:val="false"/>
          <w:caps w:val="false"/>
          <w:smallCaps w:val="false"/>
          <w:sz w:val="20"/>
        </w:rPr>
        <w:t xml:space="preserve">200%) of the initial share reserve of </w:t>
      </w:r>
      <w:bookmarkStart w:id="2898" w:name="xdx_900_ecustom--InitialShareReserve_iI_"/>
      <w:bookmarkEnd w:id="2898"/>
      <w:r>
        <w:rPr>
          <w:rFonts w:ascii="Times New Roman;Times;Serif" w:hAnsi="Times New Roman;Times;Serif"/>
          <w:b w:val="false"/>
          <w:i w:val="false"/>
          <w:caps w:val="false"/>
          <w:smallCaps w:val="false"/>
          <w:sz w:val="20"/>
        </w:rPr>
        <w:t>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adopted the 2023 Equity Incentive Plan (the “EIP”). The EIP permits the granting of incentive stock options, nonstatutory stock options, SARs, restricted stock awards, RSU awards, performance awards, and other awards. to employees, directors, and consultants. </w:t>
      </w:r>
      <w:bookmarkStart w:id="2899" w:name="xdx_905_eus-gaap--ShareBasedCompensation"/>
      <w:bookmarkEnd w:id="2899"/>
      <w:r>
        <w:rPr>
          <w:rFonts w:ascii="Times New Roman;Times;Serif" w:hAnsi="Times New Roman;Times;Serif"/>
          <w:b w:val="false"/>
          <w:i w:val="false"/>
          <w:caps w:val="false"/>
          <w:smallCaps w:val="false"/>
          <w:sz w:val="20"/>
        </w:rPr>
        <w:t xml:space="preserve">The aggregate number of shares of common stock that may be issued under the EIP automatically increases on January 1 of each year ending on </w:t>
      </w:r>
      <w:bookmarkStart w:id="2900" w:name="xdx_90A_eus-gaap--ShareBasedCompensation"/>
      <w:bookmarkEnd w:id="2900"/>
      <w:r>
        <w:rPr>
          <w:rFonts w:ascii="Times New Roman;Times;Serif" w:hAnsi="Times New Roman;Times;Serif"/>
          <w:b w:val="false"/>
          <w:i w:val="false"/>
          <w:caps w:val="false"/>
          <w:smallCaps w:val="false"/>
          <w:sz w:val="20"/>
        </w:rPr>
        <w:t xml:space="preserve">January 1, 2033, in an amount equal to </w:t>
      </w:r>
      <w:bookmarkStart w:id="2901" w:name="xdx_902_ecustom--PercentageOfNumberOfSha"/>
      <w:bookmarkEnd w:id="2901"/>
      <w:r>
        <w:rPr>
          <w:rFonts w:ascii="Times New Roman;Times;Serif" w:hAnsi="Times New Roman;Times;Serif"/>
          <w:b w:val="false"/>
          <w:i w:val="false"/>
          <w:caps w:val="false"/>
          <w:smallCaps w:val="false"/>
          <w:sz w:val="20"/>
        </w:rPr>
        <w:t>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02" w:name="xdx_89E_eus-gaap--ScheduleOfShareBasedPa"/>
      <w:bookmarkEnd w:id="2902"/>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bookmarkStart w:id="2903" w:name="xdx_8BA_zKqUUgGVb7Ag"/>
      <w:bookmarkEnd w:id="2903"/>
      <w:r>
        <w:rPr>
          <w:rFonts w:ascii="Times New Roman;Times;Serif" w:hAnsi="Times New Roman;Times;Serif"/>
          <w:b w:val="false"/>
          <w:i w:val="false"/>
          <w:caps w:val="false"/>
          <w:smallCaps w:val="false"/>
          <w:sz w:val="20"/>
        </w:rPr>
        <w:t>Schedule of Assumptions Used to Compute Fair Value</w:t>
      </w:r>
    </w:p>
    <w:tbl>
      <w:tblPr>
        <w:tblW w:w="5335" w:type="dxa"/>
        <w:jc w:val="left"/>
        <w:tblInd w:w="0" w:type="dxa"/>
        <w:tblLayout w:type="fixed"/>
        <w:tblCellMar>
          <w:top w:w="0" w:type="dxa"/>
          <w:left w:w="0" w:type="dxa"/>
          <w:bottom w:w="0" w:type="dxa"/>
          <w:right w:w="0" w:type="dxa"/>
        </w:tblCellMar>
      </w:tblPr>
      <w:tblGrid>
        <w:gridCol w:w="2345"/>
        <w:gridCol w:w="60"/>
        <w:gridCol w:w="60"/>
        <w:gridCol w:w="500"/>
        <w:gridCol w:w="60"/>
        <w:gridCol w:w="60"/>
        <w:gridCol w:w="125"/>
        <w:gridCol w:w="1895"/>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4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CCEEFF" w:val="clear"/>
            <w:vAlign w:val="center"/>
          </w:tcPr>
          <w:p>
            <w:pPr>
              <w:pStyle w:val="TableContents"/>
              <w:bidi w:val="0"/>
              <w:spacing w:before="0" w:after="283"/>
              <w:jc w:val="right"/>
              <w:rPr>
                <w:rFonts w:ascii="Times New Roman;Times;Serif" w:hAnsi="Times New Roman;Times;Serif"/>
              </w:rPr>
            </w:pPr>
            <w:bookmarkStart w:id="2904" w:name="xdx_90C_eus-gaap--SharePrice_iI_pid_c202"/>
            <w:bookmarkEnd w:id="2904"/>
            <w:r>
              <w:rPr>
                <w:rFonts w:ascii="Times New Roman;Times;Serif" w:hAnsi="Times New Roman;Times;Serif"/>
              </w:rPr>
              <w:t xml:space="preserve">2,920.00 - </w:t>
            </w:r>
            <w:bookmarkStart w:id="2905" w:name="xdx_907_eus-gaap--SharePrice_iI_pid_c202"/>
            <w:bookmarkEnd w:id="2905"/>
            <w:r>
              <w:rPr>
                <w:rFonts w:ascii="Times New Roman;Times;Serif" w:hAnsi="Times New Roman;Times;Serif"/>
              </w:rPr>
              <w:t>6,100.00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FFFFFF" w:val="clear"/>
            <w:vAlign w:val="center"/>
          </w:tcPr>
          <w:p>
            <w:pPr>
              <w:pStyle w:val="TableContents"/>
              <w:bidi w:val="0"/>
              <w:spacing w:before="0" w:after="283"/>
              <w:jc w:val="right"/>
              <w:rPr>
                <w:rFonts w:ascii="Times New Roman;Times;Serif" w:hAnsi="Times New Roman;Times;Serif"/>
              </w:rPr>
            </w:pPr>
            <w:bookmarkStart w:id="2906" w:name="xdx_90B_eus-gaap--ShareBasedCompensation"/>
            <w:bookmarkEnd w:id="2906"/>
            <w:r>
              <w:rPr>
                <w:rFonts w:ascii="Times New Roman;Times;Serif" w:hAnsi="Times New Roman;Times;Serif"/>
                <w:sz w:val="20"/>
              </w:rPr>
              <w:t>2,920.00</w:t>
            </w:r>
            <w:r>
              <w:rPr>
                <w:rFonts w:ascii="Times New Roman;Times;Serif" w:hAnsi="Times New Roman;Times;Serif"/>
              </w:rPr>
              <w:t xml:space="preserve"> </w:t>
            </w:r>
            <w:r>
              <w:rPr>
                <w:rFonts w:ascii="Times New Roman;Times;Serif" w:hAnsi="Times New Roman;Times;Serif"/>
                <w:sz w:val="20"/>
              </w:rPr>
              <w:t xml:space="preserve">- </w:t>
            </w:r>
            <w:bookmarkStart w:id="2907" w:name="xdx_901_eus-gaap--ShareBasedCompensation"/>
            <w:bookmarkEnd w:id="2907"/>
            <w:r>
              <w:rPr>
                <w:rFonts w:ascii="Times New Roman;Times;Serif" w:hAnsi="Times New Roman;Times;Serif"/>
                <w:sz w:val="20"/>
              </w:rPr>
              <w:t>50,000.00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bookmarkStart w:id="2908" w:name="xdx_901_eus-gaap--ShareBasedCompensation"/>
            <w:bookmarkEnd w:id="2908"/>
            <w:r>
              <w:rPr>
                <w:rFonts w:ascii="Times New Roman;Times;Serif" w:hAnsi="Times New Roman;Times;Serif"/>
                <w:sz w:val="20"/>
              </w:rPr>
              <w:t xml:space="preserve">61.00 - </w:t>
            </w:r>
            <w:bookmarkStart w:id="2909" w:name="xdx_90B_eus-gaap--ShareBasedCompensation"/>
            <w:bookmarkEnd w:id="2909"/>
            <w:r>
              <w:rPr>
                <w:rFonts w:ascii="Times New Roman;Times;Serif" w:hAnsi="Times New Roman;Times;Serif"/>
                <w:sz w:val="20"/>
              </w:rPr>
              <w:t>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sz w:val="20"/>
              </w:rPr>
            </w:pPr>
            <w:bookmarkStart w:id="2910" w:name="xdx_907_eus-gaap--SharebasedCompensation"/>
            <w:bookmarkEnd w:id="2910"/>
            <w:r>
              <w:rPr>
                <w:rFonts w:ascii="Times New Roman;Times;Serif" w:hAnsi="Times New Roman;Times;Serif"/>
                <w:sz w:val="20"/>
              </w:rPr>
              <w:t xml:space="preserve">5.61 - </w:t>
            </w:r>
            <w:bookmarkStart w:id="2911" w:name="xdx_90D_eus-gaap--SharebasedCompensation"/>
            <w:bookmarkEnd w:id="2911"/>
            <w:r>
              <w:rPr>
                <w:rFonts w:ascii="Times New Roman;Times;Serif" w:hAnsi="Times New Roman;Times;Serif"/>
                <w:sz w:val="20"/>
              </w:rPr>
              <w:t>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bookmarkStart w:id="2912" w:name="xdx_908_eus-gaap--ShareBasedCompensation"/>
            <w:bookmarkEnd w:id="2912"/>
            <w:r>
              <w:rPr>
                <w:rFonts w:ascii="Times New Roman;Times;Serif" w:hAnsi="Times New Roman;Times;Serif"/>
                <w:sz w:val="20"/>
              </w:rPr>
              <w:t xml:space="preserve">4.20 - </w:t>
            </w:r>
            <w:bookmarkStart w:id="2913" w:name="xdx_90E_eus-gaap--ShareBasedCompensation"/>
            <w:bookmarkEnd w:id="2913"/>
            <w:r>
              <w:rPr>
                <w:rFonts w:ascii="Times New Roman;Times;Serif" w:hAnsi="Times New Roman;Times;Serif"/>
                <w:sz w:val="20"/>
              </w:rPr>
              <w:t>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914" w:name="xdx_8A5_zoYmellzMfRk"/>
      <w:bookmarkEnd w:id="29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15" w:name="xdx_899_eus-gaap--ScheduleOfShareBasedCo"/>
      <w:bookmarkEnd w:id="2915"/>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bookmarkStart w:id="2916" w:name="xdx_8BC_zOXf1gsdZkZd"/>
      <w:bookmarkEnd w:id="2916"/>
      <w:r>
        <w:rPr>
          <w:rFonts w:ascii="Times New Roman;Times;Serif" w:hAnsi="Times New Roman;Times;Serif"/>
          <w:b w:val="false"/>
          <w:i w:val="false"/>
          <w:caps w:val="false"/>
          <w:smallCaps w:val="false"/>
          <w:sz w:val="20"/>
        </w:rPr>
        <w:t>Schedule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160"/>
        <w:gridCol w:w="1015"/>
        <w:gridCol w:w="95"/>
        <w:gridCol w:w="60"/>
        <w:gridCol w:w="182"/>
        <w:gridCol w:w="1277"/>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17" w:name="xdx_988_ecustom--ShareBasedCompensationA"/>
            <w:bookmarkEnd w:id="2917"/>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18" w:name="xdx_986_ecustom--ShareBasedCompensationA"/>
            <w:bookmarkEnd w:id="2918"/>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919" w:name="xdx_906_eus-gaap--SharebasedCompensation"/>
            <w:bookmarkEnd w:id="2919"/>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20" w:name="xdx_986_eus-gaap--ShareBasedCompensation"/>
            <w:bookmarkEnd w:id="2920"/>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2921" w:name="xdx_986_eus-gaap--ShareBasedCompensation"/>
            <w:bookmarkEnd w:id="2921"/>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bookmarkStart w:id="2922" w:name="xdx_984_eus-gaap--ShareBasedCompensation"/>
            <w:bookmarkEnd w:id="2922"/>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2923" w:name="xdx_98F_eus-gaap--ShareBasedCompensation"/>
            <w:bookmarkEnd w:id="2923"/>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bookmarkStart w:id="2924" w:name="xdx_985_eus-gaap--ShareBasedCompensation"/>
            <w:bookmarkEnd w:id="2924"/>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49,593.20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5" w:name="xdx_98B_eus-gaap--ShareBasedCompensation"/>
            <w:bookmarkEnd w:id="2925"/>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6" w:name="xdx_98C_eus-gaap--ShareBasedCompensation"/>
            <w:bookmarkEnd w:id="2926"/>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27" w:name="xdx_983_ecustom--ShareBasedCompensationA"/>
            <w:bookmarkEnd w:id="2927"/>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28" w:name="xdx_98F_ecustom--ShareBasedCompensationA"/>
            <w:bookmarkEnd w:id="2928"/>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929" w:name="xdx_901_eus-gaap--SharebasedCompensation"/>
            <w:bookmarkEnd w:id="2929"/>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30" w:name="xdx_98A_eus-gaap--ShareBasedCompensation"/>
            <w:bookmarkEnd w:id="2930"/>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31" w:name="xdx_98D_eus-gaap--ShareBasedCompensation"/>
            <w:bookmarkEnd w:id="2931"/>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32" w:name="xdx_985_eus-gaap--ShareBasedCompensation"/>
            <w:bookmarkEnd w:id="2932"/>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33" w:name="xdx_98E_eus-gaap--SharebasedCompensation"/>
            <w:bookmarkEnd w:id="2933"/>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34" w:name="xdx_98A_eus-gaap--SharebasedCompensation"/>
            <w:bookmarkEnd w:id="2934"/>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35" w:name="xdx_8AA_zADSEnqQypE1"/>
      <w:bookmarkEnd w:id="29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w:t>
      </w:r>
      <w:bookmarkStart w:id="2936" w:name="xdx_909_eus-gaap--AllocatedShareBasedCom"/>
      <w:bookmarkEnd w:id="2936"/>
      <w:r>
        <w:rPr>
          <w:rFonts w:ascii="Times New Roman;Times;Serif" w:hAnsi="Times New Roman;Times;Serif"/>
          <w:b w:val="false"/>
          <w:i w:val="false"/>
          <w:caps w:val="false"/>
          <w:smallCaps w:val="false"/>
          <w:sz w:val="20"/>
        </w:rPr>
        <w:t>107,683 and $</w:t>
      </w:r>
      <w:bookmarkStart w:id="2937" w:name="xdx_90C_eus-gaap--AllocatedShareBasedCom"/>
      <w:bookmarkEnd w:id="2937"/>
      <w:r>
        <w:rPr>
          <w:rFonts w:ascii="Times New Roman;Times;Serif" w:hAnsi="Times New Roman;Times;Serif"/>
          <w:b w:val="false"/>
          <w:i w:val="false"/>
          <w:caps w:val="false"/>
          <w:smallCaps w:val="false"/>
          <w:sz w:val="20"/>
        </w:rPr>
        <w:t>130,997, which is included in general and administrative expense for the years ended December 31, 2025 and 2024, respectively. The weighted-average grant-date fair value per option granted during the years ended December 31, 2025 and 2024 was $</w:t>
      </w:r>
      <w:bookmarkStart w:id="2938" w:name="xdx_900_eus-gaap--ShareBasedCompensation"/>
      <w:bookmarkEnd w:id="2938"/>
      <w:r>
        <w:rPr>
          <w:rFonts w:ascii="Times New Roman;Times;Serif" w:hAnsi="Times New Roman;Times;Serif"/>
          <w:b w:val="false"/>
          <w:i w:val="false"/>
          <w:caps w:val="false"/>
          <w:smallCaps w:val="false"/>
          <w:sz w:val="20"/>
        </w:rPr>
        <w:t>12 and $</w:t>
      </w:r>
      <w:bookmarkStart w:id="2939" w:name="xdx_904_eus-gaap--ShareBasedCompensation"/>
      <w:bookmarkEnd w:id="2939"/>
      <w:r>
        <w:rPr>
          <w:rFonts w:ascii="Times New Roman;Times;Serif" w:hAnsi="Times New Roman;Times;Serif"/>
          <w:b w:val="false"/>
          <w:i w:val="false"/>
          <w:caps w:val="false"/>
          <w:smallCaps w:val="false"/>
          <w:sz w:val="20"/>
        </w:rPr>
        <w:t>85, respectively. As of December 31, 2025 and 2024, $</w:t>
      </w:r>
      <w:bookmarkStart w:id="2940" w:name="xdx_908_eus-gaap--EmployeeServiceShareBa"/>
      <w:bookmarkEnd w:id="2940"/>
      <w:r>
        <w:rPr>
          <w:rFonts w:ascii="Times New Roman;Times;Serif" w:hAnsi="Times New Roman;Times;Serif"/>
          <w:b w:val="false"/>
          <w:i w:val="false"/>
          <w:caps w:val="false"/>
          <w:smallCaps w:val="false"/>
          <w:sz w:val="20"/>
        </w:rPr>
        <w:t>261,467 and $</w:t>
      </w:r>
      <w:bookmarkStart w:id="2941" w:name="xdx_90A_eus-gaap--EmployeeServiceShareBa"/>
      <w:bookmarkEnd w:id="2941"/>
      <w:r>
        <w:rPr>
          <w:rFonts w:ascii="Times New Roman;Times;Serif" w:hAnsi="Times New Roman;Times;Serif"/>
          <w:b w:val="false"/>
          <w:i w:val="false"/>
          <w:caps w:val="false"/>
          <w:smallCaps w:val="false"/>
          <w:sz w:val="20"/>
        </w:rPr>
        <w:t xml:space="preserve">212,936 of unrecognized compensation expense related to non-vested awards is expected to be recognized over the weighted average period of </w:t>
      </w:r>
      <w:bookmarkStart w:id="2942" w:name="xdx_904_eus-gaap--EmployeeServiceShareBa"/>
      <w:bookmarkEnd w:id="2942"/>
      <w:r>
        <w:rPr>
          <w:rFonts w:ascii="Times New Roman;Times;Serif" w:hAnsi="Times New Roman;Times;Serif"/>
          <w:b w:val="false"/>
          <w:i w:val="false"/>
          <w:caps w:val="false"/>
          <w:smallCaps w:val="false"/>
          <w:sz w:val="20"/>
        </w:rPr>
        <w:t xml:space="preserve">8.87 and </w:t>
      </w:r>
      <w:bookmarkStart w:id="2943" w:name="xdx_90B_eus-gaap--EmployeeServiceShareBa"/>
      <w:bookmarkEnd w:id="2943"/>
      <w:r>
        <w:rPr>
          <w:rFonts w:ascii="Times New Roman;Times;Serif" w:hAnsi="Times New Roman;Times;Serif"/>
          <w:b w:val="false"/>
          <w:i w:val="false"/>
          <w:caps w:val="false"/>
          <w:smallCaps w:val="false"/>
          <w:sz w:val="20"/>
        </w:rPr>
        <w:t>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w:t>
      </w:r>
      <w:bookmarkStart w:id="2944" w:name="xdx_90A_eus-gaap--ShareBasedCompensation"/>
      <w:bookmarkEnd w:id="2944"/>
      <w:r>
        <w:rPr>
          <w:rFonts w:ascii="Times New Roman;Times;Serif" w:hAnsi="Times New Roman;Times;Serif"/>
          <w:b w:val="false"/>
          <w:i w:val="false"/>
          <w:caps w:val="false"/>
          <w:smallCaps w:val="false"/>
          <w:sz w:val="20"/>
        </w:rPr>
        <w:t xml:space="preserve">four years - </w:t>
      </w:r>
      <w:bookmarkStart w:id="2945" w:name="xdx_905_eus-gaap--SharebasedCompensation"/>
      <w:bookmarkEnd w:id="2945"/>
      <w:r>
        <w:rPr>
          <w:rFonts w:ascii="Times New Roman;Times;Serif" w:hAnsi="Times New Roman;Times;Serif"/>
          <w:b w:val="false"/>
          <w:i w:val="false"/>
          <w:caps w:val="false"/>
          <w:smallCaps w:val="false"/>
          <w:sz w:val="20"/>
        </w:rPr>
        <w:t xml:space="preserve">25% of the RSUs will vest on each anniversary, or (b) </w:t>
      </w:r>
      <w:bookmarkStart w:id="2946" w:name="xdx_907_eus-gaap--ShareBasedCompensation"/>
      <w:bookmarkEnd w:id="2946"/>
      <w:r>
        <w:rPr>
          <w:rFonts w:ascii="Times New Roman;Times;Serif" w:hAnsi="Times New Roman;Times;Serif"/>
          <w:b w:val="false"/>
          <w:i w:val="false"/>
          <w:caps w:val="false"/>
          <w:smallCaps w:val="false"/>
          <w:sz w:val="20"/>
        </w:rPr>
        <w:t xml:space="preserve">one year - </w:t>
      </w:r>
      <w:bookmarkStart w:id="2947" w:name="xdx_906_eus-gaap--SharebasedCompensation"/>
      <w:bookmarkEnd w:id="2947"/>
      <w:r>
        <w:rPr>
          <w:rFonts w:ascii="Times New Roman;Times;Serif" w:hAnsi="Times New Roman;Times;Serif"/>
          <w:b w:val="false"/>
          <w:i w:val="false"/>
          <w:caps w:val="false"/>
          <w:smallCaps w:val="false"/>
          <w:sz w:val="20"/>
        </w:rPr>
        <w:t xml:space="preserve">25% will vest quarterly, or (c) </w:t>
      </w:r>
      <w:bookmarkStart w:id="2948" w:name="xdx_903_eus-gaap--ShareBasedCompensation"/>
      <w:bookmarkEnd w:id="2948"/>
      <w:r>
        <w:rPr>
          <w:rFonts w:ascii="Times New Roman;Times;Serif" w:hAnsi="Times New Roman;Times;Serif"/>
          <w:b w:val="false"/>
          <w:i w:val="false"/>
          <w:caps w:val="false"/>
          <w:smallCaps w:val="false"/>
          <w:sz w:val="20"/>
        </w:rPr>
        <w:t xml:space="preserve">one year – </w:t>
      </w:r>
      <w:bookmarkStart w:id="2949" w:name="xdx_904_eus-gaap--SharebasedCompensation"/>
      <w:bookmarkEnd w:id="2949"/>
      <w:r>
        <w:rPr>
          <w:rFonts w:ascii="Times New Roman;Times;Serif" w:hAnsi="Times New Roman;Times;Serif"/>
          <w:b w:val="false"/>
          <w:i w:val="false"/>
          <w:caps w:val="false"/>
          <w:smallCaps w:val="false"/>
          <w:sz w:val="20"/>
        </w:rPr>
        <w:t>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50" w:name="xdx_893_eus-gaap--ScheduleOfShareBasedCo"/>
      <w:bookmarkEnd w:id="2950"/>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bookmarkStart w:id="2951" w:name="xdx_8B9_zSyWEq5vlAZj"/>
      <w:bookmarkEnd w:id="2951"/>
      <w:r>
        <w:rPr>
          <w:rFonts w:ascii="Times New Roman;Times;Serif" w:hAnsi="Times New Roman;Times;Serif"/>
          <w:b w:val="false"/>
          <w:i w:val="false"/>
          <w:caps w:val="false"/>
          <w:smallCaps w:val="false"/>
          <w:sz w:val="20"/>
        </w:rPr>
        <w:t>Summary of Activity with Respect Status of, RSUs</w:t>
      </w:r>
    </w:p>
    <w:tbl>
      <w:tblPr>
        <w:tblW w:w="5869" w:type="dxa"/>
        <w:jc w:val="left"/>
        <w:tblInd w:w="0" w:type="dxa"/>
        <w:tblLayout w:type="fixed"/>
        <w:tblCellMar>
          <w:top w:w="0" w:type="dxa"/>
          <w:left w:w="0" w:type="dxa"/>
          <w:bottom w:w="0" w:type="dxa"/>
          <w:right w:w="0" w:type="dxa"/>
        </w:tblCellMar>
      </w:tblPr>
      <w:tblGrid>
        <w:gridCol w:w="2855"/>
        <w:gridCol w:w="60"/>
        <w:gridCol w:w="60"/>
        <w:gridCol w:w="755"/>
        <w:gridCol w:w="95"/>
        <w:gridCol w:w="60"/>
        <w:gridCol w:w="324"/>
        <w:gridCol w:w="1585"/>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52" w:name="xdx_98F_eus-gaap--ShareBasedCompensation"/>
            <w:bookmarkEnd w:id="2952"/>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3" w:name="xdx_98F_eus-gaap--ShareBasedCompensation"/>
            <w:bookmarkEnd w:id="2953"/>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54" w:name="xdx_980_eus-gaap--ShareBasedCompensation"/>
            <w:bookmarkEnd w:id="2954"/>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2955" w:name="xdx_985_eus-gaap--ShareBasedCompensation"/>
            <w:bookmarkEnd w:id="2955"/>
          </w:p>
        </w:tc>
        <w:tc>
          <w:tcPr>
            <w:tcW w:w="15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56" w:name="xdx_980_eus-gaap--ShareBasedCompensation"/>
            <w:bookmarkEnd w:id="2956"/>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bookmarkStart w:id="2957" w:name="xdx_983_eus-gaap--ShareBasedCompensation"/>
            <w:bookmarkEnd w:id="2957"/>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58" w:name="xdx_989_eus-gaap--ShareBasedCompensation"/>
            <w:bookmarkEnd w:id="2958"/>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59" w:name="xdx_98A_eus-gaap--ShareBasedCompensation"/>
            <w:bookmarkEnd w:id="2959"/>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960" w:name="xdx_983_eus-gaap--ShareBasedCompensation"/>
            <w:bookmarkEnd w:id="2960"/>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61" w:name="xdx_988_eus-gaap--ShareBasedCompensation"/>
            <w:bookmarkEnd w:id="2961"/>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62" w:name="xdx_8A5_zw5QnymN3fif"/>
      <w:bookmarkEnd w:id="29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w:t>
      </w:r>
      <w:bookmarkStart w:id="2963" w:name="xdx_909_eus-gaap--AllocatedShareBasedCom"/>
      <w:bookmarkEnd w:id="2963"/>
      <w:r>
        <w:rPr>
          <w:rFonts w:ascii="Times New Roman;Times;Serif" w:hAnsi="Times New Roman;Times;Serif"/>
          <w:b w:val="false"/>
          <w:i w:val="false"/>
          <w:caps w:val="false"/>
          <w:smallCaps w:val="false"/>
          <w:sz w:val="20"/>
        </w:rPr>
        <w:t>2,466,707 and $</w:t>
      </w:r>
      <w:bookmarkStart w:id="2964" w:name="xdx_902_eus-gaap--AllocatedShareBasedCom"/>
      <w:bookmarkEnd w:id="2964"/>
      <w:r>
        <w:rPr>
          <w:rFonts w:ascii="Times New Roman;Times;Serif" w:hAnsi="Times New Roman;Times;Serif"/>
          <w:b w:val="false"/>
          <w:i w:val="false"/>
          <w:caps w:val="false"/>
          <w:smallCaps w:val="false"/>
          <w:sz w:val="20"/>
        </w:rPr>
        <w:t>1,034,683, respectively, which is included in general and administrative expense. As of December 31, 2025 and 2024, unrecognized compensation cost related to the grant of RSUs was $</w:t>
      </w:r>
      <w:bookmarkStart w:id="2965" w:name="xdx_907_eus-gaap--EmployeeServiceShareBa"/>
      <w:bookmarkEnd w:id="2965"/>
      <w:r>
        <w:rPr>
          <w:rFonts w:ascii="Times New Roman;Times;Serif" w:hAnsi="Times New Roman;Times;Serif"/>
          <w:b w:val="false"/>
          <w:i w:val="false"/>
          <w:caps w:val="false"/>
          <w:smallCaps w:val="false"/>
          <w:sz w:val="20"/>
        </w:rPr>
        <w:t>2,342,212 and $</w:t>
      </w:r>
      <w:bookmarkStart w:id="2966" w:name="xdx_90A_eus-gaap--EmployeeServiceShareBa"/>
      <w:bookmarkEnd w:id="2966"/>
      <w:r>
        <w:rPr>
          <w:rFonts w:ascii="Times New Roman;Times;Serif" w:hAnsi="Times New Roman;Times;Serif"/>
          <w:b w:val="false"/>
          <w:i w:val="false"/>
          <w:caps w:val="false"/>
          <w:smallCaps w:val="false"/>
          <w:sz w:val="20"/>
        </w:rPr>
        <w:t xml:space="preserve">158,032, respectively. Unvested outstanding RSUs as of December 31, 2025 and 2024 had a weighted average remaining vesting period of </w:t>
      </w:r>
      <w:bookmarkStart w:id="2967" w:name="xdx_900_eus-gaap--EmployeeServiceShareBa"/>
      <w:bookmarkEnd w:id="2967"/>
      <w:r>
        <w:rPr>
          <w:rFonts w:ascii="Times New Roman;Times;Serif" w:hAnsi="Times New Roman;Times;Serif"/>
          <w:b w:val="false"/>
          <w:i w:val="false"/>
          <w:caps w:val="false"/>
          <w:smallCaps w:val="false"/>
          <w:sz w:val="20"/>
        </w:rPr>
        <w:t xml:space="preserve">2.25 and </w:t>
      </w:r>
      <w:bookmarkStart w:id="2968" w:name="xdx_903_eus-gaap--EmployeeServiceShareBa"/>
      <w:bookmarkEnd w:id="2968"/>
      <w:r>
        <w:rPr>
          <w:rFonts w:ascii="Times New Roman;Times;Serif" w:hAnsi="Times New Roman;Times;Serif"/>
          <w:b w:val="false"/>
          <w:i w:val="false"/>
          <w:caps w:val="false"/>
          <w:smallCaps w:val="false"/>
          <w:sz w:val="20"/>
        </w:rPr>
        <w:t>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w:t>
      </w:r>
      <w:bookmarkStart w:id="2969" w:name="xdx_903_eus-gaap--ShareBasedCompensation"/>
      <w:bookmarkEnd w:id="2969"/>
      <w:r>
        <w:rPr>
          <w:rFonts w:ascii="Times New Roman;Times;Serif" w:hAnsi="Times New Roman;Times;Serif"/>
          <w:b w:val="false"/>
          <w:i w:val="false"/>
          <w:caps w:val="false"/>
          <w:smallCaps w:val="false"/>
          <w:sz w:val="20"/>
        </w:rPr>
        <w:t>15.0 million to $</w:t>
      </w:r>
      <w:bookmarkStart w:id="2970" w:name="xdx_906_eus-gaap--ShareBasedCompensation"/>
      <w:bookmarkEnd w:id="2970"/>
      <w:r>
        <w:rPr>
          <w:rFonts w:ascii="Times New Roman;Times;Serif" w:hAnsi="Times New Roman;Times;Serif"/>
          <w:b w:val="false"/>
          <w:i w:val="false"/>
          <w:caps w:val="false"/>
          <w:smallCaps w:val="false"/>
          <w:sz w:val="20"/>
        </w:rPr>
        <w:t>30.0 million, which result in stock grants ranging from $</w:t>
      </w:r>
      <w:bookmarkStart w:id="2971" w:name="xdx_908_eus-gaap--ShareBasedCompensation"/>
      <w:bookmarkEnd w:id="2971"/>
      <w:r>
        <w:rPr>
          <w:rFonts w:ascii="Times New Roman;Times;Serif" w:hAnsi="Times New Roman;Times;Serif"/>
          <w:b w:val="false"/>
          <w:i w:val="false"/>
          <w:caps w:val="false"/>
          <w:smallCaps w:val="false"/>
          <w:sz w:val="20"/>
        </w:rPr>
        <w:t>250 thousand to $</w:t>
      </w:r>
      <w:bookmarkStart w:id="2972" w:name="xdx_900_eus-gaap--ShareBasedCompensation"/>
      <w:bookmarkEnd w:id="2972"/>
      <w:r>
        <w:rPr>
          <w:rFonts w:ascii="Times New Roman;Times;Serif" w:hAnsi="Times New Roman;Times;Serif"/>
          <w:b w:val="false"/>
          <w:i w:val="false"/>
          <w:caps w:val="false"/>
          <w:smallCaps w:val="false"/>
          <w:sz w:val="20"/>
        </w:rPr>
        <w:t>750 thousand, up to $</w:t>
      </w:r>
      <w:bookmarkStart w:id="2973" w:name="xdx_903_eus-gaap--ShareBasedCompensation"/>
      <w:bookmarkEnd w:id="2973"/>
      <w:r>
        <w:rPr>
          <w:rFonts w:ascii="Times New Roman;Times;Serif" w:hAnsi="Times New Roman;Times;Serif"/>
          <w:b w:val="false"/>
          <w:i w:val="false"/>
          <w:caps w:val="false"/>
          <w:smallCaps w:val="false"/>
          <w:sz w:val="20"/>
        </w:rPr>
        <w:t>2.0 million in the aggregate. The CEO Award is equity-classified and the grant-date fair value was estimated using a Monte Carlo simulation model, using historical volatility as a key input. The Company recognized $</w:t>
      </w:r>
      <w:bookmarkStart w:id="2974" w:name="xdx_901_eus-gaap--AllocatedShareBasedCom"/>
      <w:bookmarkEnd w:id="2974"/>
      <w:r>
        <w:rPr>
          <w:rFonts w:ascii="Times New Roman;Times;Serif" w:hAnsi="Times New Roman;Times;Serif"/>
          <w:b w:val="false"/>
          <w:i w:val="false"/>
          <w:caps w:val="false"/>
          <w:smallCaps w:val="false"/>
          <w:sz w:val="20"/>
        </w:rPr>
        <w:t>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5" w:name="xdx_806_eus-gaap--IncomeTaxDisclosureTex"/>
      <w:bookmarkEnd w:id="2975"/>
      <w:r>
        <w:rPr>
          <w:rFonts w:ascii="Times New Roman;Times;Serif" w:hAnsi="Times New Roman;Times;Serif"/>
          <w:b/>
          <w:i w:val="false"/>
          <w:caps w:val="false"/>
          <w:smallCaps w:val="false"/>
          <w:sz w:val="20"/>
        </w:rPr>
        <w:t xml:space="preserve">17. </w:t>
      </w:r>
      <w:bookmarkStart w:id="2976" w:name="xdx_829_z6jnDRrxOQX2"/>
      <w:bookmarkEnd w:id="2976"/>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77" w:name="xdx_8BD_zjD3FUCsYkk"/>
      <w:bookmarkStart w:id="2978" w:name="xdx_899_eus-gaap--ScheduleOfIncomeBefore"/>
      <w:bookmarkEnd w:id="2977"/>
      <w:bookmarkEnd w:id="2978"/>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79" w:name="xdx_49B_20250101__20251231_zHYOtUaaEZ55"/>
            <w:bookmarkEnd w:id="2979"/>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80" w:name="xdx_493_20240101__20241231_zo1TLF3w8ph8"/>
            <w:bookmarkEnd w:id="2980"/>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bookmarkStart w:id="2981" w:name="xdx_402_eus-gaap--IncomeLossFromContinui"/>
            <w:bookmarkEnd w:id="2981"/>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82" w:name="xdx_40C_eus-gaap--IncomeLossFromContinui"/>
            <w:bookmarkEnd w:id="2982"/>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83" w:name="xdx_8A5_zv8r6D3GPQ0g"/>
      <w:bookmarkEnd w:id="29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84" w:name="xdx_899_eus-gaap--ScheduleOfEffectiveInc"/>
      <w:bookmarkEnd w:id="2984"/>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85" w:name="xdx_8BC_zqfnJNoF4tbc"/>
      <w:bookmarkEnd w:id="2985"/>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80"/>
        <w:gridCol w:w="60"/>
        <w:gridCol w:w="140"/>
        <w:gridCol w:w="1055"/>
        <w:gridCol w:w="95"/>
        <w:gridCol w:w="60"/>
        <w:gridCol w:w="169"/>
        <w:gridCol w:w="1815"/>
        <w:gridCol w:w="231"/>
      </w:tblGrid>
      <w:tr>
        <w:trPr/>
        <w:tc>
          <w:tcPr>
            <w:tcW w:w="6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1" w:type="dxa"/>
            <w:tcBorders/>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86" w:name="xdx_982_eus-gaap--IncomeTaxReconciliatio"/>
            <w:bookmarkEnd w:id="2986"/>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87" w:name="xdx_986_eus-gaap--EffectiveIncomeTaxRate"/>
            <w:bookmarkEnd w:id="2987"/>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88" w:name="xdx_98C_eus-gaap--IncomeTaxReconciliatio"/>
            <w:bookmarkEnd w:id="2988"/>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89" w:name="xdx_984_eus-gaap--EffectiveIncomeTaxRate"/>
            <w:bookmarkEnd w:id="2989"/>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90" w:name="xdx_985_eus-gaap--IncomeTaxReconciliatio"/>
            <w:bookmarkEnd w:id="2990"/>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91" w:name="xdx_985_eus-gaap--EffectiveIncomeTaxRate"/>
            <w:bookmarkEnd w:id="2991"/>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92" w:name="xdx_98E_eus-gaap--EffectiveIncomeTaxRate"/>
            <w:bookmarkEnd w:id="2992"/>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93" w:name="xdx_985_eus-gaap--EffectiveIncomeTaxRate"/>
            <w:bookmarkEnd w:id="2993"/>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94" w:name="xdx_98D_eus-gaap--IncomeTaxReconciliatio"/>
            <w:bookmarkEnd w:id="2994"/>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95" w:name="xdx_98C_eus-gaap--EffectiveIncomeTaxRate"/>
            <w:bookmarkEnd w:id="2995"/>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96" w:name="xdx_989_eus-gaap--IncomeTaxReconciliatio"/>
            <w:bookmarkEnd w:id="2996"/>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97" w:name="xdx_98D_ecustom--ChangeInValuationAllowa"/>
            <w:bookmarkEnd w:id="2997"/>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98" w:name="xdx_400_eus-gaap--IncomeTaxReconciliatio"/>
            <w:bookmarkEnd w:id="299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99" w:name="xdx_409_eus-gaap--EffectiveIncomeTaxRate"/>
            <w:bookmarkStart w:id="3000" w:name="xdx_409_eus-gaap--EffectiveIncomeTaxRate"/>
            <w:bookmarkEnd w:id="300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1" w:name="xdx_402_ecustom--IncomeTaxReconciliation"/>
            <w:bookmarkStart w:id="3002" w:name="xdx_402_ecustom--IncomeTaxReconciliation"/>
            <w:bookmarkEnd w:id="300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3" w:name="xdx_40F_ecustom--IncomeTaxReconciliation"/>
            <w:bookmarkStart w:id="3004" w:name="xdx_40F_ecustom--IncomeTaxReconciliation"/>
            <w:bookmarkEnd w:id="300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5" w:name="xdx_40E_eus-gaap--IncomeTaxReconciliatio"/>
            <w:bookmarkStart w:id="3006" w:name="xdx_40E_eus-gaap--IncomeTaxReconciliatio"/>
            <w:bookmarkEnd w:id="300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7" w:name="xdx_40E_eus-gaap--EffectiveIncomeTaxRate"/>
            <w:bookmarkStart w:id="3008" w:name="xdx_40E_eus-gaap--EffectiveIncomeTaxRate"/>
            <w:bookmarkEnd w:id="300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09" w:name="xdx_407_ecustom--IncomeTaxReconciliation"/>
            <w:bookmarkStart w:id="3010" w:name="xdx_407_ecustom--IncomeTaxReconciliation"/>
            <w:bookmarkEnd w:id="301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1" w:name="xdx_402_ecustom--IncomeTaxReconciliation"/>
            <w:bookmarkStart w:id="3012" w:name="xdx_402_ecustom--IncomeTaxReconciliation"/>
            <w:bookmarkEnd w:id="301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3" w:name="xdx_40E_eus-gaap--IncomeTaxReconciliatio"/>
            <w:bookmarkStart w:id="3014" w:name="xdx_40E_eus-gaap--IncomeTaxReconciliatio"/>
            <w:bookmarkEnd w:id="301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5" w:name="xdx_40B_eus-gaap--EffectiveIncomeTaxRate"/>
            <w:bookmarkStart w:id="3016" w:name="xdx_40B_eus-gaap--EffectiveIncomeTaxRate"/>
            <w:bookmarkEnd w:id="301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7" w:name="xdx_405_eus-gaap--IncomeTaxReconciliatio"/>
            <w:bookmarkStart w:id="3018" w:name="xdx_405_eus-gaap--IncomeTaxReconciliatio"/>
            <w:bookmarkEnd w:id="301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3019" w:name="xdx_40A_eus-gaap--EffectiveIncomeTaxRate"/>
            <w:bookmarkStart w:id="3020" w:name="xdx_40A_eus-gaap--EffectiveIncomeTaxRate"/>
            <w:bookmarkEnd w:id="302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21" w:name="xdx_98A_ecustom--EffectiveIncomeTaxRateR"/>
            <w:bookmarkEnd w:id="3021"/>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3022" w:name="xdx_985_ecustom--EffectiveIncomeTaxRateR"/>
            <w:bookmarkEnd w:id="3022"/>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23" w:name="xdx_98D_ecustom--IncomeTaxRateReconcilia"/>
            <w:bookmarkEnd w:id="3023"/>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3024" w:name="xdx_986_ecustom--EffectiveIncomeTaxRateR"/>
            <w:bookmarkEnd w:id="3024"/>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25" w:name="xdx_984_eus-gaap--IncomeTaxReconciliatio"/>
            <w:bookmarkEnd w:id="3025"/>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3026" w:name="xdx_985_eus-gaap--EffectiveIncomeTaxRate"/>
            <w:bookmarkEnd w:id="3026"/>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7" w:name="xdx_988_eus-gaap--IncomeTaxReconciliatio"/>
            <w:bookmarkEnd w:id="3027"/>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8" w:name="xdx_98F_eus-gaap--EffectiveIncomeTaxRate"/>
            <w:bookmarkEnd w:id="3028"/>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9" w:name="xdx_98B_eus-gaap--EffectiveIncomeTaxRate"/>
            <w:bookmarkEnd w:id="3029"/>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30" w:name="xdx_980_eus-gaap--EffectiveIncomeTaxRate"/>
            <w:bookmarkEnd w:id="3030"/>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31" w:name="xdx_981_ecustom--EffectiveIncomeTaxRateR"/>
            <w:bookmarkEnd w:id="3031"/>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32" w:name="xdx_985_eus-gaap--IncomeTaxExpenseBenefi"/>
            <w:bookmarkEnd w:id="3032"/>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33" w:name="xdx_98E_eus-gaap--EffectiveIncomeTaxRate"/>
            <w:bookmarkEnd w:id="3033"/>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34" w:name="xdx_987_eus-gaap--IncomeTaxReconciliatio"/>
            <w:bookmarkEnd w:id="3034"/>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5" w:name="xdx_989_eus-gaap--EffectiveIncomeTaxRate"/>
            <w:bookmarkEnd w:id="3035"/>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36" w:name="xdx_988_eus-gaap--IncomeTaxReconciliatio"/>
            <w:bookmarkEnd w:id="3036"/>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37" w:name="xdx_980_eus-gaap--EffectiveIncomeTaxRate"/>
            <w:bookmarkEnd w:id="3037"/>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38" w:name="xdx_98B_eus-gaap--IncomeTaxReconciliatio"/>
            <w:bookmarkEnd w:id="3038"/>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9" w:name="xdx_98C_ecustom--ChangeInValuationAllowa"/>
            <w:bookmarkEnd w:id="3039"/>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40" w:name="xdx_98B_eus-gaap--IncomeTaxReconciliatio"/>
            <w:bookmarkEnd w:id="3040"/>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1" w:name="xdx_98E_eus-gaap--EffectiveIncomeTaxRate"/>
            <w:bookmarkEnd w:id="3041"/>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42" w:name="xdx_98B_ecustom--EffectiveIncomeTaxRateR"/>
            <w:bookmarkEnd w:id="3042"/>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3" w:name="xdx_98C_ecustom--EffectiveIncomeTaxRateR"/>
            <w:bookmarkEnd w:id="3043"/>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44" w:name="xdx_98B_ecustom--IncomeTaxReconciliation"/>
            <w:bookmarkEnd w:id="3044"/>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5" w:name="xdx_98F_ecustom--IncomeTaxReconciliation"/>
            <w:bookmarkEnd w:id="3045"/>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46" w:name="xdx_98F_eus-gaap--IncomeTaxReconciliatio"/>
            <w:bookmarkEnd w:id="3046"/>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7" w:name="xdx_98A_eus-gaap--EffectiveIncomeTaxRate"/>
            <w:bookmarkEnd w:id="3047"/>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48" w:name="xdx_98E_ecustom--IncomeTaxRateReconcilia"/>
            <w:bookmarkEnd w:id="3048"/>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9" w:name="xdx_989_ecustom--EffectiveIncomeTaxRateR"/>
            <w:bookmarkEnd w:id="3049"/>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50" w:name="xdx_989_ecustom--IncomeTaxReconciliation"/>
            <w:bookmarkEnd w:id="3050"/>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51" w:name="xdx_984_ecustom--IncomeTaxReconciliation"/>
            <w:bookmarkEnd w:id="3051"/>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52" w:name="xdx_988_eus-gaap--IncomeTaxReconciliatio"/>
            <w:bookmarkEnd w:id="3052"/>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53" w:name="xdx_98F_eus-gaap--EffectiveIncomeTaxRate"/>
            <w:bookmarkEnd w:id="3053"/>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54" w:name="xdx_980_eus-gaap--IncomeTaxReconciliatio"/>
            <w:bookmarkEnd w:id="3054"/>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55" w:name="xdx_986_eus-gaap--EffectiveIncomeTaxRate"/>
            <w:bookmarkEnd w:id="3055"/>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56" w:name="xdx_984_eus-gaap--IncomeTaxExpenseBenefi"/>
            <w:bookmarkEnd w:id="3056"/>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57" w:name="xdx_981_eus-gaap--EffectiveIncomeTaxRate"/>
            <w:bookmarkEnd w:id="3057"/>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058" w:name="xdx_8A3_zhgF1280PZK5"/>
      <w:bookmarkEnd w:id="305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59" w:name="xdx_890_eus-gaap--ScheduleOfComponentsOf"/>
      <w:bookmarkEnd w:id="3059"/>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60" w:name="xdx_8B2_z32megwcM8n8"/>
      <w:bookmarkEnd w:id="3060"/>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61" w:name="xdx_493_20250101__20251231_z9YDDp7SrpS2"/>
            <w:bookmarkEnd w:id="3061"/>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3062" w:name="xdx_49C_20240101__20241231_zaOWsW1a2a04"/>
            <w:bookmarkEnd w:id="3062"/>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3063" w:name="xdx_40F_eus-gaap--CurrentFederalStateAnd"/>
            <w:bookmarkEnd w:id="3063"/>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64" w:name="xdx_401_eus-gaap--CurrentFederalTaxExpen"/>
            <w:bookmarkEnd w:id="3064"/>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65" w:name="xdx_405_eus-gaap--CurrentStateAndLocalTa"/>
            <w:bookmarkEnd w:id="3065"/>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66" w:name="xdx_40C_eus-gaap--CurrentForeignTaxExpen"/>
            <w:bookmarkEnd w:id="3066"/>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67" w:name="xdx_40A_eus-gaap--CurrentIncomeTaxExpens"/>
            <w:bookmarkEnd w:id="3067"/>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68" w:name="xdx_409_eus-gaap--DeferredFederalStateAn"/>
            <w:bookmarkEnd w:id="3068"/>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069" w:name="xdx_40F_eus-gaap--DeferredFederalIncomeT"/>
            <w:bookmarkEnd w:id="3069"/>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70" w:name="xdx_403_eus-gaap--DeferredStateAndLocalI"/>
            <w:bookmarkEnd w:id="3070"/>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71" w:name="xdx_403_eus-gaap--DeferredForeignIncomeT"/>
            <w:bookmarkEnd w:id="3071"/>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72" w:name="xdx_403_eus-gaap--DeferredIncomeTaxExpen"/>
            <w:bookmarkEnd w:id="3072"/>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73" w:name="xdx_409_eus-gaap--IncomeTaxExpenseBenefi"/>
            <w:bookmarkEnd w:id="3073"/>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74" w:name="xdx_8A7_zKOyH8qEJml"/>
      <w:bookmarkEnd w:id="307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75" w:name="xdx_8B8_z5usQTcOh0rg"/>
      <w:bookmarkStart w:id="3076" w:name="xdx_89B_ecustom--SummaryOfAmountsOfCashI"/>
      <w:bookmarkEnd w:id="3075"/>
      <w:bookmarkEnd w:id="3076"/>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77" w:name="xdx_491_20250101__20251231_z4dEIS9mXqN"/>
            <w:bookmarkEnd w:id="3077"/>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78" w:name="xdx_40C_eus-gaap--IncomeTaxPaidFederalAf"/>
            <w:bookmarkEnd w:id="3078"/>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79" w:name="xdx_40B_eus-gaap--IncomeTaxPaidStateAndL"/>
            <w:bookmarkEnd w:id="3079"/>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80" w:name="xdx_407_eus-gaap--IncomeTaxPaidForeignAf"/>
            <w:bookmarkEnd w:id="3080"/>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81" w:name="xdx_403_eus-gaap--IncomeTaxesPaid_iT_mtI"/>
            <w:bookmarkEnd w:id="3081"/>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82" w:name="xdx_8A9_z0L0odBJgzK6"/>
      <w:bookmarkEnd w:id="30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3" w:name="xdx_8BA_z12PHLvpzVGg"/>
      <w:bookmarkStart w:id="3084" w:name="xdx_890_eus-gaap--ScheduleOfDeferredTaxA"/>
      <w:bookmarkEnd w:id="3083"/>
      <w:bookmarkEnd w:id="3084"/>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85" w:name="xdx_490_20251231_zrAquMgDj5o5"/>
            <w:bookmarkEnd w:id="3085"/>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86" w:name="xdx_492_20241231_zmrMkUZzFhZ9"/>
            <w:bookmarkEnd w:id="3086"/>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87" w:name="xdx_400_eus-gaap--DeferredTaxAssetsOpera"/>
            <w:bookmarkEnd w:id="3087"/>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bookmarkStart w:id="3088" w:name="xdx_400_eus-gaap--DeferredTaxAssetsChari"/>
            <w:bookmarkEnd w:id="3088"/>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bookmarkStart w:id="3089" w:name="xdx_402_eus-gaap--DeferredTaxAssetsTaxCr"/>
            <w:bookmarkEnd w:id="3089"/>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bookmarkStart w:id="3090" w:name="xdx_404_eus-gaap--DeferredTaxAssetsTaxDe"/>
            <w:bookmarkEnd w:id="3090"/>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bookmarkStart w:id="3091" w:name="xdx_404_ecustom--DeferredTaxAssetsAccrua"/>
            <w:bookmarkEnd w:id="3091"/>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92" w:name="xdx_405_ecustom--DeferredTaxAssetsTaxSta"/>
            <w:bookmarkEnd w:id="3092"/>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bookmarkStart w:id="3093" w:name="xdx_40D_ecustom--DeferredTaxLiabilitiesA"/>
            <w:bookmarkEnd w:id="3093"/>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94" w:name="xdx_407_ecustom--DeferredTaxAssetsLeaseL"/>
            <w:bookmarkEnd w:id="3094"/>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bookmarkStart w:id="3095" w:name="xdx_409_ecustom--DeferredTaxLiabilitiesR"/>
            <w:bookmarkEnd w:id="3095"/>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96" w:name="xdx_406_eus-gaap--DeferredTaxAssetsTaxDe"/>
            <w:bookmarkEnd w:id="3096"/>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bookmarkStart w:id="3097" w:name="xdx_40D_ecustom--DeferredTaxAssetsCapita"/>
            <w:bookmarkEnd w:id="3097"/>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bookmarkStart w:id="3098" w:name="xdx_40A_eus-gaap--DeferredTaxAssetsOther"/>
            <w:bookmarkEnd w:id="3098"/>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bookmarkStart w:id="3099" w:name="xdx_40C_eus-gaap--DeferredTaxAssetsGross"/>
            <w:bookmarkEnd w:id="3099"/>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bookmarkStart w:id="3100" w:name="xdx_40A_eus-gaap--DeferredTaxAssetsValua"/>
            <w:bookmarkEnd w:id="3100"/>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01" w:name="xdx_40A_eus-gaap--DeferredTaxAssetsNet_i"/>
            <w:bookmarkEnd w:id="3101"/>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02" w:name="xdx_8AD_zRwqBhXqRxs3"/>
      <w:bookmarkEnd w:id="31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w:t>
      </w:r>
      <w:bookmarkStart w:id="3103" w:name="xdx_906_eus-gaap--DeferredTaxAssetsOpera"/>
      <w:bookmarkEnd w:id="3103"/>
      <w:r>
        <w:rPr>
          <w:rFonts w:ascii="Times New Roman;Times;Serif" w:hAnsi="Times New Roman;Times;Serif"/>
          <w:b w:val="false"/>
          <w:i w:val="false"/>
          <w:caps w:val="false"/>
          <w:smallCaps w:val="false"/>
          <w:sz w:val="20"/>
        </w:rPr>
        <w:t>65,375,600 and $</w:t>
      </w:r>
      <w:bookmarkStart w:id="3104" w:name="xdx_907_eus-gaap--DeferredTaxAssetsOpera"/>
      <w:bookmarkEnd w:id="3104"/>
      <w:r>
        <w:rPr>
          <w:rFonts w:ascii="Times New Roman;Times;Serif" w:hAnsi="Times New Roman;Times;Serif"/>
          <w:b w:val="false"/>
          <w:i w:val="false"/>
          <w:caps w:val="false"/>
          <w:smallCaps w:val="false"/>
          <w:sz w:val="20"/>
        </w:rPr>
        <w:t>35,660,700, respectively. As of December 31, 2025 the company has no foreign net operating loss carryforwards. As of December 31, 2024, the Company had federal and state net operating loss carryforwards of approximately $</w:t>
      </w:r>
      <w:bookmarkStart w:id="3105" w:name="xdx_90C_eus-gaap--DeferredTaxAssetsOpera"/>
      <w:bookmarkEnd w:id="3105"/>
      <w:r>
        <w:rPr>
          <w:rFonts w:ascii="Times New Roman;Times;Serif" w:hAnsi="Times New Roman;Times;Serif"/>
          <w:b w:val="false"/>
          <w:i w:val="false"/>
          <w:caps w:val="false"/>
          <w:smallCaps w:val="false"/>
          <w:sz w:val="20"/>
        </w:rPr>
        <w:t>50,966,400 and $</w:t>
      </w:r>
      <w:bookmarkStart w:id="3106" w:name="xdx_900_eus-gaap--DeferredTaxAssetsOpera"/>
      <w:bookmarkEnd w:id="3106"/>
      <w:r>
        <w:rPr>
          <w:rFonts w:ascii="Times New Roman;Times;Serif" w:hAnsi="Times New Roman;Times;Serif"/>
          <w:b w:val="false"/>
          <w:i w:val="false"/>
          <w:caps w:val="false"/>
          <w:smallCaps w:val="false"/>
          <w:sz w:val="20"/>
        </w:rPr>
        <w:t>28,244,800, respectively. Federal losses of $</w:t>
      </w:r>
      <w:bookmarkStart w:id="3107" w:name="xdx_903_eus-gaap--DeferredTaxAssetsOpera"/>
      <w:bookmarkEnd w:id="3107"/>
      <w:r>
        <w:rPr>
          <w:rFonts w:ascii="Times New Roman;Times;Serif" w:hAnsi="Times New Roman;Times;Serif"/>
          <w:b w:val="false"/>
          <w:i w:val="false"/>
          <w:caps w:val="false"/>
          <w:smallCaps w:val="false"/>
          <w:sz w:val="20"/>
        </w:rPr>
        <w:t>180,000 begin to expire in 2036 and $</w:t>
      </w:r>
      <w:bookmarkStart w:id="3108" w:name="xdx_905_eus-gaap--DeferredTaxAssetsOpera"/>
      <w:bookmarkEnd w:id="3108"/>
      <w:r>
        <w:rPr>
          <w:rFonts w:ascii="Times New Roman;Times;Serif" w:hAnsi="Times New Roman;Times;Serif"/>
          <w:b w:val="false"/>
          <w:i w:val="false"/>
          <w:caps w:val="false"/>
          <w:smallCaps w:val="false"/>
          <w:sz w:val="20"/>
        </w:rPr>
        <w:t>65,195,600 of the federal losses carryforward indefinitely. State losses of $</w:t>
      </w:r>
      <w:bookmarkStart w:id="3109" w:name="xdx_907_eus-gaap--DeferredTaxAssetsOpera"/>
      <w:bookmarkEnd w:id="3109"/>
      <w:r>
        <w:rPr>
          <w:rFonts w:ascii="Times New Roman;Times;Serif" w:hAnsi="Times New Roman;Times;Serif"/>
          <w:b w:val="false"/>
          <w:i w:val="false"/>
          <w:caps w:val="false"/>
          <w:smallCaps w:val="false"/>
          <w:sz w:val="20"/>
        </w:rPr>
        <w:t>22,175,100 begin to expire in 2031 and $</w:t>
      </w:r>
      <w:bookmarkStart w:id="3110" w:name="xdx_90B_eus-gaap--DeferredTaxAssetsOpera"/>
      <w:bookmarkEnd w:id="3110"/>
      <w:r>
        <w:rPr>
          <w:rFonts w:ascii="Times New Roman;Times;Serif" w:hAnsi="Times New Roman;Times;Serif"/>
          <w:b w:val="false"/>
          <w:i w:val="false"/>
          <w:caps w:val="false"/>
          <w:smallCaps w:val="false"/>
          <w:sz w:val="20"/>
        </w:rPr>
        <w:t>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w:t>
      </w:r>
      <w:bookmarkStart w:id="3111" w:name="xdx_901_ecustom--PercentageOfProvisionsF"/>
      <w:bookmarkEnd w:id="3111"/>
      <w:r>
        <w:rPr>
          <w:rFonts w:ascii="Times New Roman;Times;Serif" w:hAnsi="Times New Roman;Times;Serif"/>
          <w:b w:val="false"/>
          <w:i w:val="false"/>
          <w:caps w:val="false"/>
          <w:smallCaps w:val="false"/>
          <w:sz w:val="20"/>
        </w:rPr>
        <w:t>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determined that it had </w:t>
      </w:r>
      <w:bookmarkStart w:id="3112" w:name="xdx_90C_eus-gaap--UnrecognizedTaxBenefit"/>
      <w:bookmarkStart w:id="3113" w:name="xdx_907_eus-gaap--UnrecognizedTaxBenefit"/>
      <w:bookmarkEnd w:id="3112"/>
      <w:bookmarkEnd w:id="3113"/>
      <w:r>
        <w:rPr>
          <w:rFonts w:ascii="Times New Roman;Times;Serif" w:hAnsi="Times New Roman;Times;Serif"/>
          <w:b w:val="false"/>
          <w:i w:val="false"/>
          <w:caps w:val="false"/>
          <w:smallCaps w:val="false"/>
          <w:sz w:val="20"/>
        </w:rPr>
        <w:t xml:space="preserve">no material uncertain tax benefits for the year ended December 31, 2025, and 2024. The Company recognizes interest accrued related to unrecognized tax benefits and penalties in interest expense and penalties in operating expense. </w:t>
      </w:r>
      <w:bookmarkStart w:id="3114" w:name="xdx_90F_eus-gaap--IncomeTaxExaminationPe"/>
      <w:bookmarkStart w:id="3115" w:name="xdx_907_eus-gaap--IncomeTaxExaminationPe"/>
      <w:bookmarkEnd w:id="3114"/>
      <w:bookmarkEnd w:id="3115"/>
      <w:r>
        <w:rPr>
          <w:rFonts w:ascii="Times New Roman;Times;Serif" w:hAnsi="Times New Roman;Times;Serif"/>
          <w:b w:val="false"/>
          <w:i w:val="false"/>
          <w:caps w:val="false"/>
          <w:smallCaps w:val="false"/>
          <w:sz w:val="20"/>
        </w:rPr>
        <w:t>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w:t>
      </w:r>
      <w:bookmarkStart w:id="3116" w:name="xdx_905_eus-gaap--OpenTaxYear_c20250101_"/>
      <w:bookmarkEnd w:id="3116"/>
      <w:r>
        <w:rPr>
          <w:rFonts w:ascii="Times New Roman;Times;Serif" w:hAnsi="Times New Roman;Times;Serif"/>
          <w:b w:val="false"/>
          <w:i w:val="false"/>
          <w:caps w:val="false"/>
          <w:smallCaps w:val="false"/>
          <w:sz w:val="20"/>
        </w:rPr>
        <w:t>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17" w:name="xdx_905_eus-gaap--IncomeTaxExaminationDe"/>
      <w:bookmarkEnd w:id="3117"/>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18" w:name="xdx_803_eus-gaap--SegmentReportingDisclo"/>
      <w:bookmarkEnd w:id="3118"/>
      <w:r>
        <w:rPr>
          <w:rFonts w:ascii="Times New Roman;Times;Serif" w:hAnsi="Times New Roman;Times;Serif"/>
          <w:b/>
          <w:i w:val="false"/>
          <w:caps w:val="false"/>
          <w:smallCaps w:val="false"/>
          <w:sz w:val="20"/>
        </w:rPr>
        <w:t xml:space="preserve">18. </w:t>
      </w:r>
      <w:bookmarkStart w:id="3119" w:name="xdx_827_zAEI1tQ0wa82"/>
      <w:bookmarkEnd w:id="3119"/>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3120" w:name="xdx_905_eus-gaap--NumberOfOperatingSegme"/>
      <w:bookmarkStart w:id="3121" w:name="xdx_907_eus-gaap--NumberOfReportableSegm"/>
      <w:bookmarkEnd w:id="3120"/>
      <w:bookmarkEnd w:id="3121"/>
      <w:r>
        <w:rPr>
          <w:rFonts w:ascii="Times New Roman;Times;Serif" w:hAnsi="Times New Roman;Times;Serif"/>
          <w:b w:val="false"/>
          <w:i w:val="false"/>
          <w:caps w:val="false"/>
          <w:smallCaps w:val="false"/>
          <w:sz w:val="20"/>
        </w:rPr>
        <w:t>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who serves as the Company’s chief operating decision maker (“CODM”), primarily uses segment revenue, gross profit, and adjusted EBITDA to allocate resources and assess performance. </w:t>
      </w:r>
      <w:bookmarkStart w:id="3122" w:name="xdx_904_eus-gaap--SegmentReportingCodmPr"/>
      <w:bookmarkEnd w:id="3122"/>
      <w:r>
        <w:rPr>
          <w:rFonts w:ascii="Times New Roman;Times;Serif" w:hAnsi="Times New Roman;Times;Serif"/>
          <w:b w:val="false"/>
          <w:i w:val="false"/>
          <w:caps w:val="false"/>
          <w:smallCaps w:val="false"/>
          <w:sz w:val="20"/>
        </w:rPr>
        <w:t>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3" w:name="xdx_892_eus-gaap--ScheduleOfSegmentRepor"/>
      <w:bookmarkEnd w:id="3123"/>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4" w:name="xdx_8BE_zftxOh6Gv8ha"/>
      <w:bookmarkEnd w:id="3124"/>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bookmarkStart w:id="3125" w:name="xdx_491_20250101__20251231__srt--Consoli"/>
            <w:bookmarkEnd w:id="3125"/>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6" w:name="xdx_493_20250101__20251231__srt--Consoli"/>
            <w:bookmarkEnd w:id="3126"/>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7" w:name="xdx_491_20250101__20251231__srt--Consoli"/>
            <w:bookmarkEnd w:id="3127"/>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8" w:name="xdx_499_20250101__20251231__srt--Consoli"/>
            <w:bookmarkEnd w:id="3128"/>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bookmarkStart w:id="3129" w:name="xdx_409_eus-gaap--RevenueFromContractWit"/>
            <w:bookmarkEnd w:id="3129"/>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bookmarkStart w:id="3130" w:name="xdx_40C_eus-gaap--CostOfRevenue_ztHMiIFd"/>
            <w:bookmarkEnd w:id="3130"/>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bookmarkStart w:id="3131" w:name="xdx_40E_eus-gaap--GrossProfit_zSygwCSmFq"/>
            <w:bookmarkEnd w:id="3131"/>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2" w:name="xdx_40A_eus-gaap--LaborAndRelatedExpense"/>
            <w:bookmarkEnd w:id="3132"/>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bookmarkStart w:id="3133" w:name="xdx_402_eus-gaap--MarketingAndAdvertisin"/>
            <w:bookmarkEnd w:id="3133"/>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bookmarkStart w:id="3134" w:name="xdx_40D_eus-gaap--CommunicationsAndInfor"/>
            <w:bookmarkEnd w:id="3134"/>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bookmarkStart w:id="3135" w:name="xdx_406_ecustom--OtherSegmentExpenses_z9"/>
            <w:bookmarkEnd w:id="3135"/>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3136" w:name="xdx_F4B_zhpDEDmTqFi5"/>
            <w:bookmarkEnd w:id="3136"/>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bookmarkStart w:id="3137" w:name="xdx_408_eus-gaap--OperatingExpenses_zcth"/>
            <w:bookmarkEnd w:id="3137"/>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bookmarkStart w:id="3138" w:name="xdx_401_ecustom--AdjustedEBITDAFromConti"/>
            <w:bookmarkEnd w:id="3138"/>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39" w:name="xdx_403_ecustom--OperatingCostsExpensesA"/>
            <w:bookmarkEnd w:id="3139"/>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bookmarkStart w:id="3140" w:name="xdx_40C_ecustom--EarningsBeforeInterestT"/>
            <w:bookmarkEnd w:id="3140"/>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41" w:name="xdx_F0C_z594rQVb0tp"/>
            <w:bookmarkEnd w:id="3141"/>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42" w:name="xdx_F14_z5TF9WRZPMab"/>
            <w:bookmarkEnd w:id="3142"/>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5"/>
        <w:gridCol w:w="60"/>
        <w:gridCol w:w="140"/>
        <w:gridCol w:w="1175"/>
        <w:gridCol w:w="95"/>
        <w:gridCol w:w="60"/>
        <w:gridCol w:w="152"/>
        <w:gridCol w:w="873"/>
        <w:gridCol w:w="60"/>
        <w:gridCol w:w="60"/>
        <w:gridCol w:w="259"/>
        <w:gridCol w:w="481"/>
        <w:gridCol w:w="60"/>
        <w:gridCol w:w="60"/>
        <w:gridCol w:w="144"/>
        <w:gridCol w:w="1211"/>
        <w:gridCol w:w="110"/>
      </w:tblGrid>
      <w:tr>
        <w:trPr/>
        <w:tc>
          <w:tcPr>
            <w:tcW w:w="5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3" w:name="xdx_495_20240101__20241231__srt--Consoli"/>
            <w:bookmarkEnd w:id="3143"/>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4" w:name="xdx_49F_20240101__20241231__srt--Consoli"/>
            <w:bookmarkEnd w:id="3144"/>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5" w:name="xdx_494_20240101__20241231__srt--Consoli"/>
            <w:bookmarkEnd w:id="3145"/>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bookmarkStart w:id="3146" w:name="xdx_F58_zwUtFemPSne4"/>
            <w:bookmarkEnd w:id="3146"/>
            <w:r>
              <w:rPr>
                <w:rFonts w:ascii="Times New Roman;Times;Serif" w:hAnsi="Times New Roman;Times;Serif"/>
                <w:b/>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7" w:name="xdx_490_20240101__20241231__srt--Consoli"/>
            <w:bookmarkEnd w:id="3147"/>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bookmarkStart w:id="3148" w:name="xdx_409_eus-gaap--RevenueFromContractWit"/>
            <w:bookmarkEnd w:id="3148"/>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bookmarkStart w:id="3149" w:name="xdx_40C_eus-gaap--CostOfRevenue_z9hrdVT2"/>
            <w:bookmarkEnd w:id="3149"/>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bookmarkStart w:id="3150" w:name="xdx_40E_eus-gaap--GrossProfit_z3YExVKqbQ"/>
            <w:bookmarkEnd w:id="3150"/>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51" w:name="xdx_40A_eus-gaap--LaborAndRelatedExpense"/>
            <w:bookmarkEnd w:id="3151"/>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bookmarkStart w:id="3152" w:name="xdx_402_eus-gaap--MarketingAndAdvertisin"/>
            <w:bookmarkEnd w:id="3152"/>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bookmarkStart w:id="3153" w:name="xdx_40D_eus-gaap--CommunicationsAndInfor"/>
            <w:bookmarkEnd w:id="3153"/>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bookmarkStart w:id="3154" w:name="xdx_406_ecustom--OtherSegmentExpenses_zf"/>
            <w:bookmarkEnd w:id="3154"/>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3155" w:name="xdx_F45_zVobSCxGksBj"/>
            <w:bookmarkEnd w:id="3155"/>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bookmarkStart w:id="3156" w:name="xdx_408_eus-gaap--OperatingExpenses_zjN3"/>
            <w:bookmarkEnd w:id="3156"/>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bookmarkStart w:id="3157" w:name="xdx_401_ecustom--AdjustedEBITDAFromConti"/>
            <w:bookmarkEnd w:id="3157"/>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58" w:name="xdx_403_ecustom--OperatingCostsExpensesA"/>
            <w:bookmarkEnd w:id="3158"/>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bookmarkStart w:id="3159" w:name="xdx_40C_ecustom--EarningsBeforeInterestT"/>
            <w:bookmarkEnd w:id="3159"/>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60" w:name="xdx_F0C_zeIG8fHb3B68"/>
            <w:bookmarkEnd w:id="3160"/>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61" w:name="xdx_F12_zScqZiKzgzK1"/>
            <w:bookmarkEnd w:id="3161"/>
            <w:r>
              <w:rPr>
                <w:rFonts w:ascii="Times New Roman;Times;Serif" w:hAnsi="Times New Roman;Times;Serif"/>
                <w:sz w:val="20"/>
              </w:rPr>
              <w:t xml:space="preserve">The Vidello acquisition occurred on </w:t>
            </w:r>
            <w:bookmarkStart w:id="3162" w:name="xdx_907_eus-gaap--BusinessAcquisitionEff"/>
            <w:bookmarkEnd w:id="3162"/>
            <w:r>
              <w:rPr>
                <w:rFonts w:ascii="Times New Roman;Times;Serif" w:hAnsi="Times New Roman;Times;Serif"/>
                <w:sz w:val="20"/>
              </w:rPr>
              <w:t xml:space="preserve">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w:t>
            </w:r>
            <w:bookmarkStart w:id="3163" w:name="xdx_901_eus-gaap--OperatingIncomeLoss_c2"/>
            <w:bookmarkEnd w:id="3163"/>
            <w:r>
              <w:rPr>
                <w:rFonts w:ascii="Times New Roman;Times;Serif" w:hAnsi="Times New Roman;Times;Serif"/>
                <w:sz w:val="20"/>
              </w:rPr>
              <w:t>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64" w:name="xdx_F0C_zvcwnDEw4d3d"/>
            <w:bookmarkEnd w:id="3164"/>
            <w:r>
              <w:rPr>
                <w:rFonts w:ascii="Times New Roman;Times;Serif" w:hAnsi="Times New Roman;Times;Serif"/>
                <w:sz w:val="20"/>
              </w:rPr>
              <w:t>2</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65" w:name="xdx_F15_zUcWaxDqksKa"/>
            <w:bookmarkEnd w:id="3165"/>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bookmarkStart w:id="3166" w:name="xdx_8A7_zbeuQngUyJG"/>
      <w:bookmarkEnd w:id="31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7" w:name="xdx_896_eus-gaap--ReconciliationOfOperat"/>
      <w:bookmarkEnd w:id="3167"/>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8" w:name="xdx_8B8_zRVGbayeEFd9"/>
      <w:bookmarkEnd w:id="3168"/>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69" w:name="xdx_499_20250101__20251231__srt--Consoli"/>
            <w:bookmarkEnd w:id="316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70" w:name="xdx_494_20240101__20241231__srt--Consoli"/>
            <w:bookmarkEnd w:id="3170"/>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71" w:name="xdx_401_eus-gaap--OperatingIncomeLoss_hu"/>
            <w:bookmarkEnd w:id="3171"/>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72" w:name="xdx_405_eus-gaap--OperatingIncomeLoss_hu"/>
            <w:bookmarkEnd w:id="3172"/>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bookmarkStart w:id="3173" w:name="xdx_400_eus-gaap--OperatingIncomeLoss_hu"/>
            <w:bookmarkEnd w:id="3173"/>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74" w:name="xdx_40E_eus-gaap--OperatingIncomeLoss_zm"/>
            <w:bookmarkEnd w:id="3174"/>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75" w:name="xdx_40F_eus-gaap--InvestmentIncomeIntere"/>
            <w:bookmarkEnd w:id="3175"/>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76" w:name="xdx_405_eus-gaap--InterestExpenseNonoper"/>
            <w:bookmarkEnd w:id="3176"/>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77" w:name="xdx_40E_eus-gaap--InterestExpenseNonoper"/>
            <w:bookmarkEnd w:id="3177"/>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bookmarkStart w:id="3178" w:name="xdx_408_eus-gaap--InterestExpenseNonoper"/>
            <w:bookmarkEnd w:id="3178"/>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bookmarkStart w:id="3179" w:name="xdx_40A_eus-gaap--DepreciationDepletionA"/>
            <w:bookmarkEnd w:id="3179"/>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bookmarkStart w:id="3180" w:name="xdx_40C_ecustom--GainLossOnConversionOfL"/>
            <w:bookmarkEnd w:id="3180"/>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bookmarkStart w:id="3181" w:name="xdx_402_ecustom--GainLossOnExtinguishmen"/>
            <w:bookmarkEnd w:id="3181"/>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bookmarkStart w:id="3182" w:name="xdx_401_ecustom--GainLossOnReleaseOfReve"/>
            <w:bookmarkEnd w:id="3182"/>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183" w:name="xdx_407_ecustom--VidelloEarnoutExpense_i"/>
            <w:bookmarkEnd w:id="3183"/>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84" w:name="xdx_404_ecustom--FailedAcquisitionCosts_"/>
            <w:bookmarkEnd w:id="3184"/>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185" w:name="xdx_40D_ecustom--LossOnYorkvilleSepaAdva"/>
            <w:bookmarkEnd w:id="3185"/>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86" w:name="xdx_407_ecustom--GemSettlementFeeExpense"/>
            <w:bookmarkEnd w:id="3186"/>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bookmarkStart w:id="3187" w:name="xdx_403_ecustom--YorkvillePrepaymentPrem"/>
            <w:bookmarkEnd w:id="3187"/>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bookmarkStart w:id="3188" w:name="xdx_40F_ecustom--GainsLossesOnDebtIssuan"/>
            <w:bookmarkEnd w:id="3188"/>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bookmarkStart w:id="3189" w:name="xdx_405_ecustom--ChangesInFairValueOfFin"/>
            <w:bookmarkEnd w:id="3189"/>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90" w:name="xdx_40F_eus-gaap--GoodwillImpairmentLoss"/>
            <w:bookmarkEnd w:id="3190"/>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bookmarkStart w:id="3191" w:name="xdx_400_eus-gaap--SegmentReportingOtherI"/>
            <w:bookmarkEnd w:id="3191"/>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bookmarkStart w:id="3192" w:name="xdx_40D_eus-gaap--IncomeLossFromContinui"/>
            <w:bookmarkEnd w:id="3192"/>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193" w:name="xdx_8A9_zJkfG0E3dLA6"/>
      <w:bookmarkEnd w:id="319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4" w:name="xdx_89A_eus-gaap--ScheduleOfEntityWideIn"/>
      <w:bookmarkEnd w:id="3194"/>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195" w:name="xdx_8BD_zVDShalPTcli"/>
      <w:bookmarkEnd w:id="3195"/>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bookmarkStart w:id="3196" w:name="xdx_49D_20250101__20251231__us-gaap--Con"/>
            <w:bookmarkEnd w:id="3196"/>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bookmarkStart w:id="3197" w:name="xdx_498_20240101__20241231__us-gaap--Con"/>
            <w:bookmarkEnd w:id="3197"/>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bookmarkStart w:id="3198" w:name="xdx_407_eus-gaap--ConcentrationRiskPerce"/>
            <w:bookmarkEnd w:id="3198"/>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99" w:name="xdx_407_eus-gaap--ConcentrationRiskPerce"/>
            <w:bookmarkEnd w:id="3199"/>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0" w:name="xdx_408_eus-gaap--ConcentrationRiskPerce"/>
            <w:bookmarkEnd w:id="3200"/>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1" w:name="xdx_40D_eus-gaap--ConcentrationRiskPerce"/>
            <w:bookmarkEnd w:id="3201"/>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2" w:name="xdx_403_eus-gaap--ConcentrationRiskPerce"/>
            <w:bookmarkEnd w:id="3202"/>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3" w:name="xdx_406_eus-gaap--ConcentrationRiskPerce"/>
            <w:bookmarkEnd w:id="3203"/>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204" w:name="xdx_8AE_zRBC2totzxw2"/>
      <w:bookmarkEnd w:id="32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05" w:name="xdx_807_eus-gaap--SubsequentEventsTextBl"/>
      <w:bookmarkEnd w:id="3205"/>
      <w:r>
        <w:rPr>
          <w:rFonts w:ascii="Times New Roman;Times;Serif" w:hAnsi="Times New Roman;Times;Serif"/>
          <w:b/>
          <w:i w:val="false"/>
          <w:caps w:val="false"/>
          <w:smallCaps w:val="false"/>
          <w:sz w:val="20"/>
        </w:rPr>
        <w:t xml:space="preserve">19. </w:t>
      </w:r>
      <w:bookmarkStart w:id="3206" w:name="xdx_82D_zLm24gFrEC61"/>
      <w:bookmarkEnd w:id="320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on January 27, 2026, February 9, 2026, February 25, 2026, and March 30, 2026, the Company entered into exchange agreements with Agile pursuant to which the Company issued an aggregate of approximately </w:t>
      </w:r>
      <w:bookmarkStart w:id="3207" w:name="xdx_90C_ecustom--SharesIssuedUnderPromis"/>
      <w:bookmarkEnd w:id="3207"/>
      <w:r>
        <w:rPr>
          <w:rFonts w:ascii="Times New Roman;Times;Serif" w:hAnsi="Times New Roman;Times;Serif"/>
          <w:b w:val="false"/>
          <w:i w:val="false"/>
          <w:caps w:val="false"/>
          <w:smallCaps w:val="false"/>
          <w:sz w:val="20"/>
        </w:rPr>
        <w:t>29,306 shares of its Class A Common Stock in exchange for aggregate reductions of approximately $</w:t>
      </w:r>
      <w:bookmarkStart w:id="3208" w:name="xdx_90B_ecustom--AggregateReductionsOfIn"/>
      <w:bookmarkEnd w:id="3208"/>
      <w:r>
        <w:rPr>
          <w:rFonts w:ascii="Times New Roman;Times;Serif" w:hAnsi="Times New Roman;Times;Serif"/>
          <w:b w:val="false"/>
          <w:i w:val="false"/>
          <w:caps w:val="false"/>
          <w:smallCaps w:val="false"/>
          <w:sz w:val="20"/>
        </w:rPr>
        <w:t>660,000 in the outstanding balance of the March Agile Note. Following these exchanges, the outstanding balance of the March Agile Note was reduced to approximately $</w:t>
      </w:r>
      <w:bookmarkStart w:id="3209" w:name="xdx_905_eus-gaap--LongTermNotesPayable_i"/>
      <w:bookmarkEnd w:id="3209"/>
      <w:r>
        <w:rPr>
          <w:rFonts w:ascii="Times New Roman;Times;Serif" w:hAnsi="Times New Roman;Times;Serif"/>
          <w:b w:val="false"/>
          <w:i w:val="false"/>
          <w:caps w:val="false"/>
          <w:smallCaps w:val="false"/>
          <w:sz w:val="20"/>
        </w:rPr>
        <w:t>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w:t>
      </w:r>
      <w:bookmarkStart w:id="3210" w:name="xdx_905_eus-gaap--ShareBasedCompensation"/>
      <w:bookmarkEnd w:id="3210"/>
      <w:r>
        <w:rPr>
          <w:rFonts w:ascii="Times New Roman;Times;Serif" w:hAnsi="Times New Roman;Times;Serif"/>
          <w:b w:val="false"/>
          <w:i w:val="false"/>
          <w:caps w:val="false"/>
          <w:smallCaps w:val="false"/>
          <w:sz w:val="20"/>
        </w:rPr>
        <w:t xml:space="preserve">34,200 RSUs granted to employees vested into shares of Class A Common Stock. In addition, the Company will issue </w:t>
      </w:r>
      <w:bookmarkStart w:id="3211" w:name="xdx_900_eus-gaap--ShareBasedCompensation"/>
      <w:bookmarkEnd w:id="3211"/>
      <w:r>
        <w:rPr>
          <w:rFonts w:ascii="Times New Roman;Times;Serif" w:hAnsi="Times New Roman;Times;Serif"/>
          <w:b w:val="false"/>
          <w:i w:val="false"/>
          <w:caps w:val="false"/>
          <w:smallCaps w:val="false"/>
          <w:sz w:val="20"/>
        </w:rPr>
        <w:t xml:space="preserve">18,845 shares of Class B Common Stock to the Company’s CEO, of which, approximately </w:t>
      </w:r>
      <w:bookmarkStart w:id="3212" w:name="xdx_909_eus-gaap--ShareBasedCompensation"/>
      <w:bookmarkEnd w:id="3212"/>
      <w:r>
        <w:rPr>
          <w:rFonts w:ascii="Times New Roman;Times;Serif" w:hAnsi="Times New Roman;Times;Serif"/>
          <w:b w:val="false"/>
          <w:i w:val="false"/>
          <w:caps w:val="false"/>
          <w:smallCaps w:val="false"/>
          <w:sz w:val="20"/>
        </w:rPr>
        <w:t xml:space="preserve">12,563 shares relate to a tranche of the CEO Award vesting upon achieving a market capitalization threshold, and the remaining </w:t>
      </w:r>
      <w:bookmarkStart w:id="3213" w:name="xdx_902_eus-gaap--ShareBasedCompensation"/>
      <w:bookmarkEnd w:id="3213"/>
      <w:r>
        <w:rPr>
          <w:rFonts w:ascii="Times New Roman;Times;Serif" w:hAnsi="Times New Roman;Times;Serif"/>
          <w:b w:val="false"/>
          <w:i w:val="false"/>
          <w:caps w:val="false"/>
          <w:smallCaps w:val="false"/>
          <w:sz w:val="20"/>
        </w:rPr>
        <w:t xml:space="preserve">6,282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Company issued Advance Notices to Yorkville pursuant to the SEPA in which the Company requested the purchase of approximately </w:t>
      </w:r>
      <w:bookmarkStart w:id="3214" w:name="xdx_909_eus-gaap--StockIssuedDuringPerio"/>
      <w:bookmarkEnd w:id="3214"/>
      <w:r>
        <w:rPr>
          <w:rFonts w:ascii="Times New Roman;Times;Serif" w:hAnsi="Times New Roman;Times;Serif"/>
          <w:b w:val="false"/>
          <w:i w:val="false"/>
          <w:caps w:val="false"/>
          <w:smallCaps w:val="false"/>
          <w:sz w:val="20"/>
        </w:rPr>
        <w:t>31,750 shares of the Company’s Class A Common Stock at an aggregate gross value of approximately $</w:t>
      </w:r>
      <w:bookmarkStart w:id="3215" w:name="xdx_900_eus-gaap--SaleOfStockConsiderati"/>
      <w:bookmarkEnd w:id="3215"/>
      <w:r>
        <w:rPr>
          <w:rFonts w:ascii="Times New Roman;Times;Serif" w:hAnsi="Times New Roman;Times;Serif"/>
          <w:b w:val="false"/>
          <w:i w:val="false"/>
          <w:caps w:val="false"/>
          <w:smallCaps w:val="false"/>
          <w:sz w:val="20"/>
        </w:rPr>
        <w:t>700 thousand, and net proceeds of approximately $</w:t>
      </w:r>
      <w:bookmarkStart w:id="3216" w:name="xdx_901_eus-gaap--ProceedsFromIssuanceOr"/>
      <w:bookmarkEnd w:id="3216"/>
      <w:r>
        <w:rPr>
          <w:rFonts w:ascii="Times New Roman;Times;Serif" w:hAnsi="Times New Roman;Times;Serif"/>
          <w:b w:val="false"/>
          <w:i w:val="false"/>
          <w:caps w:val="false"/>
          <w:smallCaps w:val="false"/>
          <w:sz w:val="20"/>
        </w:rPr>
        <w:t>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w:t>
      </w:r>
      <w:bookmarkStart w:id="3217" w:name="xdx_908_eus-gaap--DebtInstrumentFaceAmou"/>
      <w:bookmarkEnd w:id="3217"/>
      <w:r>
        <w:rPr>
          <w:rFonts w:ascii="Times New Roman;Times;Serif" w:hAnsi="Times New Roman;Times;Serif"/>
          <w:b w:val="false"/>
          <w:i w:val="false"/>
          <w:caps w:val="false"/>
          <w:smallCaps w:val="false"/>
          <w:sz w:val="20"/>
        </w:rPr>
        <w:t>2,333,333, with an initial conversion price equal to $</w:t>
      </w:r>
      <w:bookmarkStart w:id="3218" w:name="xdx_90C_eus-gaap--DebtInstrumentConverti"/>
      <w:bookmarkEnd w:id="3218"/>
      <w:r>
        <w:rPr>
          <w:rFonts w:ascii="Times New Roman;Times;Serif" w:hAnsi="Times New Roman;Times;Serif"/>
          <w:b w:val="false"/>
          <w:i w:val="false"/>
          <w:caps w:val="false"/>
          <w:smallCaps w:val="false"/>
          <w:sz w:val="20"/>
        </w:rPr>
        <w:t xml:space="preserve">22.20 per share and issuance date of February 13, 2026 (the “February 3i Note,” together with the August Note, the October Note, and the Initial Note, are collectively referred to herein as the “Notes”), and additional warrants to purchase up to </w:t>
      </w:r>
      <w:bookmarkStart w:id="3219" w:name="xdx_90F_ecustom--WarrantsIssued_pid_c202"/>
      <w:bookmarkEnd w:id="3219"/>
      <w:r>
        <w:rPr>
          <w:rFonts w:ascii="Times New Roman;Times;Serif" w:hAnsi="Times New Roman;Times;Serif"/>
          <w:b w:val="false"/>
          <w:i w:val="false"/>
          <w:caps w:val="false"/>
          <w:smallCaps w:val="false"/>
          <w:sz w:val="20"/>
        </w:rPr>
        <w:t>21,021 shares of Common Stock, at an initial exercise price equal to $</w:t>
      </w:r>
      <w:bookmarkStart w:id="3220" w:name="xdx_900_ecustom--ClassOfWarrantOrRightIn"/>
      <w:bookmarkEnd w:id="3220"/>
      <w:r>
        <w:rPr>
          <w:rFonts w:ascii="Times New Roman;Times;Serif" w:hAnsi="Times New Roman;Times;Serif"/>
          <w:b w:val="false"/>
          <w:i w:val="false"/>
          <w:caps w:val="false"/>
          <w:smallCaps w:val="false"/>
          <w:sz w:val="20"/>
        </w:rPr>
        <w:t xml:space="preserve">50.00 per share (the “February Warrants,” together with the August Warrant, the October Warrants, August Warrants and the Initial Buyer Warrants, are collectively referred to herein as the “Buyer Warrants”), in the February Closing. The February Note matures on </w:t>
      </w:r>
      <w:bookmarkStart w:id="3221" w:name="xdx_909_eus-gaap--DebtInstrumentMaturity"/>
      <w:bookmarkEnd w:id="3221"/>
      <w:r>
        <w:rPr>
          <w:rFonts w:ascii="Times New Roman;Times;Serif" w:hAnsi="Times New Roman;Times;Serif"/>
          <w:b w:val="false"/>
          <w:i w:val="false"/>
          <w:caps w:val="false"/>
          <w:smallCaps w:val="false"/>
          <w:sz w:val="20"/>
        </w:rPr>
        <w:t>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w:t>
      </w:r>
      <w:bookmarkStart w:id="3222" w:name="xdx_90A_eus-gaap--ProceedsFromIssuanceOf"/>
      <w:bookmarkEnd w:id="3222"/>
      <w:r>
        <w:rPr>
          <w:rFonts w:ascii="Times New Roman;Times;Serif" w:hAnsi="Times New Roman;Times;Serif"/>
          <w:b w:val="false"/>
          <w:i w:val="false"/>
          <w:caps w:val="false"/>
          <w:smallCaps w:val="false"/>
          <w:sz w:val="20"/>
        </w:rPr>
        <w:t>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Note was issued with an original issue discount of </w:t>
      </w:r>
      <w:bookmarkStart w:id="3223" w:name="xdx_90F_ecustom--DebtInstrumentInterestR"/>
      <w:bookmarkEnd w:id="3223"/>
      <w:r>
        <w:rPr>
          <w:rFonts w:ascii="Times New Roman;Times;Serif" w:hAnsi="Times New Roman;Times;Serif"/>
          <w:b w:val="false"/>
          <w:i w:val="false"/>
          <w:caps w:val="false"/>
          <w:smallCaps w:val="false"/>
          <w:sz w:val="20"/>
        </w:rPr>
        <w:t xml:space="preserve">10.0% (the “OID”), as were the other Notes issued on the August Closing, the October Closing and the Initial Closing Date and accrue interest at a rate of </w:t>
      </w:r>
      <w:bookmarkStart w:id="3224" w:name="xdx_90C_eus-gaap--DebtInstrumentInterest"/>
      <w:bookmarkEnd w:id="3224"/>
      <w:r>
        <w:rPr>
          <w:rFonts w:ascii="Times New Roman;Times;Serif" w:hAnsi="Times New Roman;Times;Serif"/>
          <w:b w:val="false"/>
          <w:i w:val="false"/>
          <w:caps w:val="false"/>
          <w:smallCaps w:val="false"/>
          <w:sz w:val="20"/>
        </w:rPr>
        <w:t xml:space="preserve">10.0% per annum. The Notes mature </w:t>
      </w:r>
      <w:bookmarkStart w:id="3225" w:name="xdx_903_ecustom--DebtInstrumentMaturityF"/>
      <w:bookmarkEnd w:id="3225"/>
      <w:r>
        <w:rPr>
          <w:rFonts w:ascii="Times New Roman;Times;Serif" w:hAnsi="Times New Roman;Times;Serif"/>
          <w:b w:val="false"/>
          <w:i w:val="false"/>
          <w:caps w:val="false"/>
          <w:smallCaps w:val="false"/>
          <w:sz w:val="20"/>
        </w:rPr>
        <w:t xml:space="preserve">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3226" w:name="xdx_902_ecustom--MinimumPercentageOfOuts"/>
      <w:bookmarkEnd w:id="3226"/>
      <w:r>
        <w:rPr>
          <w:rFonts w:ascii="Times New Roman;Times;Serif" w:hAnsi="Times New Roman;Times;Serif"/>
          <w:b w:val="false"/>
          <w:i w:val="false"/>
          <w:caps w:val="false"/>
          <w:smallCaps w:val="false"/>
          <w:sz w:val="20"/>
        </w:rPr>
        <w:t xml:space="preserve">4.99% (or up to </w:t>
      </w:r>
      <w:bookmarkStart w:id="3227" w:name="xdx_90B_ecustom--MaximumPercentageOfOuts"/>
      <w:bookmarkEnd w:id="3227"/>
      <w:r>
        <w:rPr>
          <w:rFonts w:ascii="Times New Roman;Times;Serif" w:hAnsi="Times New Roman;Times;Serif"/>
          <w:b w:val="false"/>
          <w:i w:val="false"/>
          <w:caps w:val="false"/>
          <w:smallCaps w:val="false"/>
          <w:sz w:val="20"/>
        </w:rPr>
        <w:t>9.99% at the election of the Buyers pursuant to the Notes) of the outstanding Common Stock. The conversion price of the October Note is subject to a floor price of $</w:t>
      </w:r>
      <w:bookmarkStart w:id="3228" w:name="xdx_90F_ecustom--FloorPrice_iI_pid_c2026"/>
      <w:bookmarkEnd w:id="3228"/>
      <w:r>
        <w:rPr>
          <w:rFonts w:ascii="Times New Roman;Times;Serif" w:hAnsi="Times New Roman;Times;Serif"/>
          <w:b w:val="false"/>
          <w:i w:val="false"/>
          <w:caps w:val="false"/>
          <w:smallCaps w:val="false"/>
          <w:sz w:val="20"/>
        </w:rPr>
        <w:t>5.08.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w:t>
      </w:r>
      <w:bookmarkStart w:id="3229" w:name="xdx_90F_eus-gaap--DebtInstrumentFaceAmou"/>
      <w:bookmarkEnd w:id="3229"/>
      <w:r>
        <w:rPr>
          <w:rFonts w:ascii="Times New Roman;Times;Serif" w:hAnsi="Times New Roman;Times;Serif"/>
          <w:b w:val="false"/>
          <w:i w:val="false"/>
          <w:caps w:val="false"/>
          <w:smallCaps w:val="false"/>
          <w:sz w:val="20"/>
        </w:rPr>
        <w:t>296 thousand and $</w:t>
      </w:r>
      <w:bookmarkStart w:id="3230" w:name="xdx_90D_eus-gaap--DebtInstrumentFaceAmou"/>
      <w:bookmarkEnd w:id="3230"/>
      <w:r>
        <w:rPr>
          <w:rFonts w:ascii="Times New Roman;Times;Serif" w:hAnsi="Times New Roman;Times;Serif"/>
          <w:b w:val="false"/>
          <w:i w:val="false"/>
          <w:caps w:val="false"/>
          <w:smallCaps w:val="false"/>
          <w:sz w:val="20"/>
        </w:rPr>
        <w:t>180 thousand, respectively, and received net proceeds of approximately $</w:t>
      </w:r>
      <w:bookmarkStart w:id="3231" w:name="xdx_904_eus-gaap--ProceedsFromIssuanceOf"/>
      <w:bookmarkEnd w:id="3231"/>
      <w:r>
        <w:rPr>
          <w:rFonts w:ascii="Times New Roman;Times;Serif" w:hAnsi="Times New Roman;Times;Serif"/>
          <w:b w:val="false"/>
          <w:i w:val="false"/>
          <w:caps w:val="false"/>
          <w:smallCaps w:val="false"/>
          <w:sz w:val="20"/>
        </w:rPr>
        <w:t>250 thousand and $</w:t>
      </w:r>
      <w:bookmarkStart w:id="3232" w:name="xdx_90B_eus-gaap--ProceedsFromIssuanceOf"/>
      <w:bookmarkEnd w:id="3232"/>
      <w:r>
        <w:rPr>
          <w:rFonts w:ascii="Times New Roman;Times;Serif" w:hAnsi="Times New Roman;Times;Serif"/>
          <w:b w:val="false"/>
          <w:i w:val="false"/>
          <w:caps w:val="false"/>
          <w:smallCaps w:val="false"/>
          <w:sz w:val="20"/>
        </w:rPr>
        <w:t xml:space="preserve">157 thousand, respectively, after discount and transaction fees. The notes have maturity dates of </w:t>
      </w:r>
      <w:bookmarkStart w:id="3233" w:name="xdx_905_eus-gaap--DebtInstrumentMaturity"/>
      <w:bookmarkEnd w:id="3233"/>
      <w:r>
        <w:rPr>
          <w:rFonts w:ascii="Times New Roman;Times;Serif" w:hAnsi="Times New Roman;Times;Serif"/>
          <w:b w:val="false"/>
          <w:i w:val="false"/>
          <w:caps w:val="false"/>
          <w:smallCaps w:val="false"/>
          <w:sz w:val="20"/>
        </w:rPr>
        <w:t xml:space="preserve">October 15, 2026 and </w:t>
      </w:r>
      <w:bookmarkStart w:id="3234" w:name="xdx_900_eus-gaap--DebtInstrumentMaturity"/>
      <w:bookmarkEnd w:id="3234"/>
      <w:r>
        <w:rPr>
          <w:rFonts w:ascii="Times New Roman;Times;Serif" w:hAnsi="Times New Roman;Times;Serif"/>
          <w:b w:val="false"/>
          <w:i w:val="false"/>
          <w:caps w:val="false"/>
          <w:smallCaps w:val="false"/>
          <w:sz w:val="20"/>
        </w:rPr>
        <w:t xml:space="preserve">December 15, 2026, respectively and bear interest at </w:t>
      </w:r>
      <w:bookmarkStart w:id="3235" w:name="xdx_90B_eus-gaap--DebtInstrumentInterest"/>
      <w:bookmarkStart w:id="3236" w:name="xdx_903_eus-gaap--DebtInstrumentInterest"/>
      <w:bookmarkEnd w:id="3235"/>
      <w:bookmarkEnd w:id="3236"/>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Buyer exercised its contractual conversion option multiple times under the August 3i Note, the October 3i Note, and the February 3i Note and received an aggregate of approximately </w:t>
      </w:r>
      <w:bookmarkStart w:id="3237" w:name="xdx_90D_eus-gaap--DebtConversionConverte"/>
      <w:bookmarkEnd w:id="3237"/>
      <w:r>
        <w:rPr>
          <w:rFonts w:ascii="Times New Roman;Times;Serif" w:hAnsi="Times New Roman;Times;Serif"/>
          <w:b w:val="false"/>
          <w:i w:val="false"/>
          <w:caps w:val="false"/>
          <w:smallCaps w:val="false"/>
          <w:sz w:val="20"/>
        </w:rPr>
        <w:t>144 thousand shares of Class A Common Stock at conversion prices per share ranging from $</w:t>
      </w:r>
      <w:bookmarkStart w:id="3238" w:name="xdx_901_eus-gaap--DebtInstrumentConverti"/>
      <w:bookmarkEnd w:id="3238"/>
      <w:r>
        <w:rPr>
          <w:rFonts w:ascii="Times New Roman;Times;Serif" w:hAnsi="Times New Roman;Times;Serif"/>
          <w:b w:val="false"/>
          <w:i w:val="false"/>
          <w:caps w:val="false"/>
          <w:smallCaps w:val="false"/>
          <w:sz w:val="20"/>
        </w:rPr>
        <w:t>16.60 to $</w:t>
      </w:r>
      <w:bookmarkStart w:id="3239" w:name="xdx_908_eus-gaap--DebtInstrumentConverti"/>
      <w:bookmarkEnd w:id="3239"/>
      <w:r>
        <w:rPr>
          <w:rFonts w:ascii="Times New Roman;Times;Serif" w:hAnsi="Times New Roman;Times;Serif"/>
          <w:b w:val="false"/>
          <w:i w:val="false"/>
          <w:caps w:val="false"/>
          <w:smallCaps w:val="false"/>
          <w:sz w:val="20"/>
        </w:rPr>
        <w:t>22.00 in satisfaction of approximately $</w:t>
      </w:r>
      <w:bookmarkStart w:id="3240" w:name="xdx_90F_eus-gaap--DebtInstrumentCarrying"/>
      <w:bookmarkEnd w:id="3240"/>
      <w:r>
        <w:rPr>
          <w:rFonts w:ascii="Times New Roman;Times;Serif" w:hAnsi="Times New Roman;Times;Serif"/>
          <w:b w:val="false"/>
          <w:i w:val="false"/>
          <w:caps w:val="false"/>
          <w:smallCaps w:val="false"/>
          <w:sz w:val="20"/>
        </w:rPr>
        <w:t>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Lender exercised its contractual conversion option multiple times under the July 1800 Diagonal Note and September 1800 Diagonal Note and received an aggregate of approximately </w:t>
      </w:r>
      <w:bookmarkStart w:id="3241" w:name="xdx_902_eus-gaap--DebtConversionConverte"/>
      <w:bookmarkEnd w:id="3241"/>
      <w:r>
        <w:rPr>
          <w:rFonts w:ascii="Times New Roman;Times;Serif" w:hAnsi="Times New Roman;Times;Serif"/>
          <w:b w:val="false"/>
          <w:i w:val="false"/>
          <w:caps w:val="false"/>
          <w:smallCaps w:val="false"/>
          <w:sz w:val="20"/>
        </w:rPr>
        <w:t>24 thousand shares of Class A Common Stock at conversion prices ranging from $</w:t>
      </w:r>
      <w:bookmarkStart w:id="3242" w:name="xdx_90E_eus-gaap--DebtInstrumentConverti"/>
      <w:bookmarkEnd w:id="3242"/>
      <w:r>
        <w:rPr>
          <w:rFonts w:ascii="Times New Roman;Times;Serif" w:hAnsi="Times New Roman;Times;Serif"/>
          <w:b w:val="false"/>
          <w:i w:val="false"/>
          <w:caps w:val="false"/>
          <w:smallCaps w:val="false"/>
          <w:sz w:val="20"/>
        </w:rPr>
        <w:t>16.50 to $</w:t>
      </w:r>
      <w:bookmarkStart w:id="3243" w:name="xdx_909_eus-gaap--DebtInstrumentConverti"/>
      <w:bookmarkEnd w:id="3243"/>
      <w:r>
        <w:rPr>
          <w:rFonts w:ascii="Times New Roman;Times;Serif" w:hAnsi="Times New Roman;Times;Serif"/>
          <w:b w:val="false"/>
          <w:i w:val="false"/>
          <w:caps w:val="false"/>
          <w:smallCaps w:val="false"/>
          <w:sz w:val="20"/>
        </w:rPr>
        <w:t>18.60 in satisfaction of approximately $</w:t>
      </w:r>
      <w:bookmarkStart w:id="3244" w:name="xdx_909_eus-gaap--DebtInstrumentCarrying"/>
      <w:bookmarkEnd w:id="3244"/>
      <w:r>
        <w:rPr>
          <w:rFonts w:ascii="Times New Roman;Times;Serif" w:hAnsi="Times New Roman;Times;Serif"/>
          <w:b w:val="false"/>
          <w:i w:val="false"/>
          <w:caps w:val="false"/>
          <w:smallCaps w:val="false"/>
          <w:sz w:val="20"/>
        </w:rPr>
        <w:t>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the Company issued approximately </w:t>
      </w:r>
      <w:bookmarkStart w:id="3245" w:name="xdx_908_eus-gaap--StockIssuedDuringPerio"/>
      <w:bookmarkEnd w:id="3245"/>
      <w:r>
        <w:rPr>
          <w:rFonts w:ascii="Times New Roman;Times;Serif" w:hAnsi="Times New Roman;Times;Serif"/>
          <w:b w:val="false"/>
          <w:i w:val="false"/>
          <w:caps w:val="false"/>
          <w:smallCaps w:val="false"/>
          <w:sz w:val="20"/>
        </w:rPr>
        <w:t>107 thousand shares under the ATM Agreement for net proceeds of approximately $</w:t>
      </w:r>
      <w:bookmarkStart w:id="3246" w:name="xdx_908_eus-gaap--ProceedsFromIssuanceOf"/>
      <w:bookmarkEnd w:id="3246"/>
      <w:r>
        <w:rPr>
          <w:rFonts w:ascii="Times New Roman;Times;Serif" w:hAnsi="Times New Roman;Times;Serif"/>
          <w:b w:val="false"/>
          <w:i w:val="false"/>
          <w:caps w:val="false"/>
          <w:smallCaps w:val="false"/>
          <w:sz w:val="20"/>
        </w:rPr>
        <w:t>2.7 million. The aggregate market value of the shares of Class A Common Stock eligible for sale under the ATM Prospectus Supplement is approximately $</w:t>
      </w:r>
      <w:bookmarkStart w:id="3247" w:name="xdx_909_eus-gaap--StockIssuedDuringPerio"/>
      <w:bookmarkEnd w:id="3247"/>
      <w:r>
        <w:rPr>
          <w:rFonts w:ascii="Times New Roman;Times;Serif" w:hAnsi="Times New Roman;Times;Serif"/>
          <w:b w:val="false"/>
          <w:i w:val="false"/>
          <w:caps w:val="false"/>
          <w:smallCaps w:val="false"/>
          <w:sz w:val="20"/>
        </w:rPr>
        <w:t>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w:t>
      </w:r>
      <w:bookmarkStart w:id="3248" w:name="xdx_904_ecustom--IncreaseDecreaseInReven"/>
      <w:bookmarkEnd w:id="3248"/>
      <w:r>
        <w:rPr>
          <w:rFonts w:ascii="Times New Roman;Times;Serif" w:hAnsi="Times New Roman;Times;Serif"/>
          <w:b w:val="false"/>
          <w:i w:val="false"/>
          <w:caps w:val="false"/>
          <w:smallCaps w:val="false"/>
          <w:sz w:val="20"/>
        </w:rPr>
        <w:t>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bookmarkStart w:id="3249" w:name="xdx_816_z1X09BKQ1co1"/>
      <w:bookmarkEnd w:id="3249"/>
      <w:r>
        <w:rPr>
          <w:caps w:val="false"/>
          <w:smallCaps w:val="false"/>
          <w:color w:val="FF0000"/>
        </w:rPr>
        <w:t> </w:t>
      </w:r>
    </w:p>
    <w:p>
      <w:pPr>
        <w:pStyle w:val="TextBody"/>
        <w:bidi w:val="0"/>
        <w:spacing w:before="0" w:after="0"/>
        <w:ind w:left="0" w:right="0" w:hanging="0"/>
        <w:jc w:val="center"/>
        <w:rPr>
          <w:caps w:val="false"/>
          <w:smallCaps w:val="false"/>
          <w:color w:val="FF0000"/>
        </w:rPr>
      </w:pPr>
      <w:bookmarkStart w:id="3250" w:name="xdx_043_zVoVhsXTgnxb"/>
      <w:bookmarkEnd w:id="3250"/>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MARCH 31, 2026 AND FOR THE THREE MONTHS 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760"/>
        <w:gridCol w:w="515"/>
      </w:tblGrid>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6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Unaudited Condensed 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1" w:name="Y-001"/>
      <w:bookmarkEnd w:id="3251"/>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BALANCE SHEETS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December 31,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6"/>
        <w:gridCol w:w="60"/>
        <w:gridCol w:w="150"/>
        <w:gridCol w:w="1267"/>
        <w:gridCol w:w="95"/>
        <w:gridCol w:w="60"/>
        <w:gridCol w:w="140"/>
        <w:gridCol w:w="1175"/>
        <w:gridCol w:w="112"/>
      </w:tblGrid>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112"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jc w:val="left"/>
              <w:rPr>
                <w:rFonts w:ascii="Times New Roman;Times;Serif" w:hAnsi="Times New Roman;Times;Serif"/>
              </w:rPr>
            </w:pPr>
            <w:r>
              <w:rPr>
                <w:rFonts w:ascii="Times New Roman;Times;Serif" w:hAnsi="Times New Roman;Times;Serif"/>
              </w:rPr>
              <w:t>Accounts receivable, net allowance for doubtful accounts</w:t>
            </w:r>
          </w:p>
          <w:p>
            <w:pPr>
              <w:pStyle w:val="TableContents"/>
              <w:bidi w:val="0"/>
              <w:spacing w:before="0" w:after="283"/>
              <w:jc w:val="left"/>
              <w:rPr>
                <w:rFonts w:ascii="Times New Roman;Times;Serif" w:hAnsi="Times New Roman;Times;Serif"/>
              </w:rPr>
            </w:pPr>
            <w:r>
              <w:rPr>
                <w:rFonts w:ascii="Times New Roman;Times;Serif" w:hAnsi="Times New Roman;Times;Serif"/>
              </w:rPr>
              <w:t>of $5,000 and $34,040,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1,838,763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net of discount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40,365,502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(58,101,220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(16,444,396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2" w:name="Y-002"/>
      <w:bookmarkEnd w:id="3252"/>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3770"/>
        <w:gridCol w:w="60"/>
        <w:gridCol w:w="140"/>
        <w:gridCol w:w="980"/>
        <w:gridCol w:w="95"/>
        <w:gridCol w:w="60"/>
        <w:gridCol w:w="140"/>
        <w:gridCol w:w="105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3,485,515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567,220</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2,918,295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701,977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1,756,936</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741,306</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3,200,219</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3" w:name="Y-003"/>
      <w:bookmarkEnd w:id="3253"/>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25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72"/>
        <w:gridCol w:w="688"/>
        <w:gridCol w:w="60"/>
        <w:gridCol w:w="60"/>
        <w:gridCol w:w="140"/>
        <w:gridCol w:w="1100"/>
        <w:gridCol w:w="60"/>
        <w:gridCol w:w="60"/>
        <w:gridCol w:w="145"/>
        <w:gridCol w:w="122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174,000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39,710,082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(56,361,758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(15,360,354</w:t>
            </w:r>
          </w:p>
        </w:tc>
        <w:tc>
          <w:tcPr>
            <w:tcW w:w="110" w:type="dxa"/>
            <w:tcBorders/>
            <w:shd w:fill="FFFFFF" w:val="clear"/>
            <w:vAlign w:val="center"/>
          </w:tcPr>
          <w:p>
            <w:pPr>
              <w:pStyle w:val="TableContents"/>
              <w:bidi w:val="0"/>
              <w:spacing w:before="0" w:after="283"/>
              <w:jc w:val="left"/>
              <w:rPr>
                <w:b/>
              </w:rPr>
            </w:pPr>
            <w:r>
              <w:rPr>
                <w:b/>
              </w:rPr>
              <w:t>)</w:t>
            </w:r>
          </w:p>
        </w:tc>
      </w:tr>
      <w:tr>
        <w:trPr/>
        <w:tc>
          <w:tcPr>
            <w:tcW w:w="1340"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40,328,485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(57,582,888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(15,963,081</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37,017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40,365,502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(58,101,220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(16,444,396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4" w:name="Y-004"/>
      <w:bookmarkEnd w:id="3254"/>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40"/>
        <w:gridCol w:w="1055"/>
        <w:gridCol w:w="95"/>
        <w:gridCol w:w="60"/>
        <w:gridCol w:w="200"/>
        <w:gridCol w:w="1055"/>
        <w:gridCol w:w="110"/>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202,422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174,000</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929,833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58,992</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47,905</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(942,420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431,185</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(574,636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996,106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(118,670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3,858,781</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(2,481,988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(4,828,898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(1,270,117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890,724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198,272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bookmarkStart w:id="3255" w:name="Y-005"/>
      <w:bookmarkEnd w:id="3255"/>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 $34,040,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three months ended March 31,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0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80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4805"/>
        <w:gridCol w:w="60"/>
        <w:gridCol w:w="140"/>
        <w:gridCol w:w="800"/>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210,646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three months ended March 31, 2026, the Company had two customers who accounted for approximately 16% and 11% of total accounts receivable and there was one customer who accounted for approximately 19% of total revenues.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80"/>
        <w:gridCol w:w="696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015" w:type="dxa"/>
        <w:jc w:val="left"/>
        <w:tblInd w:w="0" w:type="dxa"/>
        <w:tblLayout w:type="fixed"/>
        <w:tblCellMar>
          <w:top w:w="0" w:type="dxa"/>
          <w:left w:w="0" w:type="dxa"/>
          <w:bottom w:w="28" w:type="dxa"/>
          <w:right w:w="0" w:type="dxa"/>
        </w:tblCellMar>
      </w:tblPr>
      <w:tblGrid>
        <w:gridCol w:w="1520"/>
        <w:gridCol w:w="60"/>
        <w:gridCol w:w="140"/>
        <w:gridCol w:w="980"/>
        <w:gridCol w:w="60"/>
        <w:gridCol w:w="60"/>
        <w:gridCol w:w="140"/>
        <w:gridCol w:w="98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3,312,796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3,090,625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3,485,515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balances (January 1, 2025)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ASC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three months ended March 31, 2026 and 2025 was $3,762 and $43,135,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March 31, 2026 and December 31, 2025 are cash and cash equivalents, which are Level 1 and the deferred stock liability (see Note 6), which is 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 </w:t>
      </w:r>
    </w:p>
    <w:tbl>
      <w:tblPr>
        <w:tblW w:w="7768" w:type="dxa"/>
        <w:jc w:val="left"/>
        <w:tblInd w:w="0" w:type="dxa"/>
        <w:tblLayout w:type="fixed"/>
        <w:tblCellMar>
          <w:top w:w="0" w:type="dxa"/>
          <w:left w:w="0" w:type="dxa"/>
          <w:bottom w:w="0" w:type="dxa"/>
          <w:right w:w="0" w:type="dxa"/>
        </w:tblCellMar>
      </w:tblPr>
      <w:tblGrid>
        <w:gridCol w:w="3950"/>
        <w:gridCol w:w="60"/>
        <w:gridCol w:w="239"/>
        <w:gridCol w:w="1370"/>
        <w:gridCol w:w="60"/>
        <w:gridCol w:w="60"/>
        <w:gridCol w:w="290"/>
        <w:gridCol w:w="1664"/>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173,339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8813" w:type="dxa"/>
        <w:jc w:val="left"/>
        <w:tblInd w:w="0" w:type="dxa"/>
        <w:tblLayout w:type="fixed"/>
        <w:tblCellMar>
          <w:top w:w="0" w:type="dxa"/>
          <w:left w:w="0" w:type="dxa"/>
          <w:bottom w:w="0" w:type="dxa"/>
          <w:right w:w="0" w:type="dxa"/>
        </w:tblCellMar>
      </w:tblPr>
      <w:tblGrid>
        <w:gridCol w:w="4925"/>
        <w:gridCol w:w="60"/>
        <w:gridCol w:w="239"/>
        <w:gridCol w:w="1370"/>
        <w:gridCol w:w="95"/>
        <w:gridCol w:w="60"/>
        <w:gridCol w:w="290"/>
        <w:gridCol w:w="1664"/>
        <w:gridCol w:w="110"/>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$2,534 and $4,402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Internally Developed Software </w:t>
      </w:r>
    </w:p>
    <w:tbl>
      <w:tblPr>
        <w:tblW w:w="8513" w:type="dxa"/>
        <w:jc w:val="left"/>
        <w:tblInd w:w="0" w:type="dxa"/>
        <w:tblLayout w:type="fixed"/>
        <w:tblCellMar>
          <w:top w:w="0" w:type="dxa"/>
          <w:left w:w="0" w:type="dxa"/>
          <w:bottom w:w="0" w:type="dxa"/>
          <w:right w:w="0" w:type="dxa"/>
        </w:tblCellMar>
      </w:tblPr>
      <w:tblGrid>
        <w:gridCol w:w="4625"/>
        <w:gridCol w:w="60"/>
        <w:gridCol w:w="188"/>
        <w:gridCol w:w="1421"/>
        <w:gridCol w:w="95"/>
        <w:gridCol w:w="60"/>
        <w:gridCol w:w="229"/>
        <w:gridCol w:w="1725"/>
        <w:gridCol w:w="110"/>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(7,661,842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$172,729 and $198,019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future amortization expense is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3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4970"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75"/>
        <w:gridCol w:w="10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990,670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took advances of $2.5 million in 2023 and fully repaid the balance during the year ended December 31,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Related Party </w:t>
      </w:r>
    </w:p>
    <w:tbl>
      <w:tblPr>
        <w:tblW w:w="7783" w:type="dxa"/>
        <w:jc w:val="left"/>
        <w:tblInd w:w="0" w:type="dxa"/>
        <w:tblLayout w:type="fixed"/>
        <w:tblCellMar>
          <w:top w:w="0" w:type="dxa"/>
          <w:left w:w="0" w:type="dxa"/>
          <w:bottom w:w="0" w:type="dxa"/>
          <w:right w:w="0" w:type="dxa"/>
        </w:tblCellMar>
      </w:tblPr>
      <w:tblGrid>
        <w:gridCol w:w="3965"/>
        <w:gridCol w:w="60"/>
        <w:gridCol w:w="201"/>
        <w:gridCol w:w="1408"/>
        <w:gridCol w:w="60"/>
        <w:gridCol w:w="60"/>
        <w:gridCol w:w="244"/>
        <w:gridCol w:w="171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2,377,066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 As the grantees have the option of receiving cash, it has been classified as a liability under ASC 480, 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and December 31, 2025,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March 31,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37,043,355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110,450,468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of $37,017 and $174,000,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three months ended March 31, 2026 and 2025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7493" w:type="dxa"/>
        <w:jc w:val="left"/>
        <w:tblInd w:w="0" w:type="dxa"/>
        <w:tblLayout w:type="fixed"/>
        <w:tblCellMar>
          <w:top w:w="0" w:type="dxa"/>
          <w:left w:w="0" w:type="dxa"/>
          <w:bottom w:w="0" w:type="dxa"/>
          <w:right w:w="0" w:type="dxa"/>
        </w:tblCellMar>
      </w:tblPr>
      <w:tblGrid>
        <w:gridCol w:w="3350"/>
        <w:gridCol w:w="60"/>
        <w:gridCol w:w="60"/>
        <w:gridCol w:w="1100"/>
        <w:gridCol w:w="95"/>
        <w:gridCol w:w="60"/>
        <w:gridCol w:w="315"/>
        <w:gridCol w:w="994"/>
        <w:gridCol w:w="60"/>
        <w:gridCol w:w="60"/>
        <w:gridCol w:w="122"/>
        <w:gridCol w:w="1142"/>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 price</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(3,492,997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54,743,970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3.964</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w:t>
              <w:br/>
              <w:t>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w:t>
              <w:b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50,337,270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three months ended March 31, 2026 and 2025 was $157,103 and $175,352, respectively.</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$22,827 and $22,827 for the three months ended March 31, 2026 and 2025, respectively. Cash paid for rent was $23,513 and $22,827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4370" w:type="dxa"/>
        <w:jc w:val="left"/>
        <w:tblInd w:w="0" w:type="dxa"/>
        <w:tblLayout w:type="fixed"/>
        <w:tblCellMar>
          <w:top w:w="0" w:type="dxa"/>
          <w:left w:w="0" w:type="dxa"/>
          <w:bottom w:w="0" w:type="dxa"/>
          <w:right w:w="0" w:type="dxa"/>
        </w:tblCellMar>
      </w:tblPr>
      <w:tblGrid>
        <w:gridCol w:w="3380"/>
        <w:gridCol w:w="60"/>
        <w:gridCol w:w="140"/>
        <w:gridCol w:w="680"/>
        <w:gridCol w:w="110"/>
      </w:tblGrid>
      <w:tr>
        <w:trPr/>
        <w:tc>
          <w:tcPr>
            <w:tcW w:w="33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For the Year Ending 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pPr>
            <w:r>
              <w:rPr/>
              <w:t>1 yeat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31,351</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EVENTS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215"/>
        <w:gridCol w:w="515"/>
      </w:tblGrid>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INDEPENDENT AUDITOR’S REPORT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6697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246697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56" w:name="ns_001"/>
      <w:bookmarkEnd w:id="3256"/>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6400800" cy="381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Auditor’s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669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2066925" cy="542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7" w:name="cr_001"/>
      <w:bookmarkEnd w:id="3257"/>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allowance for credit losses of $34,040 and $271,546,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4,660,068</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 of use assets,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21,349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1,282,055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54,779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2,052,593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4,901,058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3,013,730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1,205,613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956,315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19,660,666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liability, noncurrent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19,714,719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39,536,082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(54,471,420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(13,644,016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8" w:name="ns_002"/>
      <w:bookmarkEnd w:id="3258"/>
      <w:r>
        <w:rPr>
          <w:rFonts w:ascii="Times New Roman;Times;Serif" w:hAnsi="Times New Roman;Times;Serif"/>
          <w:b/>
          <w:i w:val="false"/>
          <w:caps w:val="false"/>
          <w:smallCaps w:val="false"/>
          <w:sz w:val="20"/>
        </w:rPr>
        <w:t xml:space="preserve">CONNECTANDSELL, INC. </w:t>
        <w:br/>
        <w:t>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3770"/>
        <w:gridCol w:w="60"/>
        <w:gridCol w:w="140"/>
        <w:gridCol w:w="1100"/>
        <w:gridCol w:w="95"/>
        <w:gridCol w:w="60"/>
        <w:gridCol w:w="140"/>
        <w:gridCol w:w="1100"/>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14,715,954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16,209,629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3,173,817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12,717,107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13,035,812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2,863,137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6,339,507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7,175,172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2,081,508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12,260,495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12,119,817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915,995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(2,472,077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(1,024,332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(3,104,714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F-128</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59" w:name="ns_003"/>
      <w:bookmarkEnd w:id="3259"/>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11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60"/>
        <w:gridCol w:w="640"/>
        <w:gridCol w:w="60"/>
        <w:gridCol w:w="60"/>
        <w:gridCol w:w="140"/>
        <w:gridCol w:w="1100"/>
        <w:gridCol w:w="60"/>
        <w:gridCol w:w="60"/>
        <w:gridCol w:w="140"/>
        <w:gridCol w:w="1175"/>
        <w:gridCol w:w="95"/>
        <w:gridCol w:w="60"/>
        <w:gridCol w:w="140"/>
        <w:gridCol w:w="1175"/>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0" w:type="dxa"/>
            <w:gridSpan w:val="22"/>
            <w:tcBorders>
              <w:bottom w:val="single" w:sz="8" w:space="0" w:color="000000"/>
            </w:tcBorders>
            <w:tcMar>
              <w:bottom w:w="28" w:type="dxa"/>
            </w:tcMar>
            <w:vAlign w:val="center"/>
          </w:tcPr>
          <w:p>
            <w:pPr>
              <w:pStyle w:val="TableContents"/>
              <w:bidi w:val="0"/>
              <w:spacing w:before="0" w:after="283"/>
              <w:jc w:val="center"/>
              <w:rPr/>
            </w:pPr>
            <w:r>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pPr>
            <w:r>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pPr>
            <w:r>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38,803,926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(54,363,957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(14,268,709</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729,656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729,656</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792,403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792,403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40,328,485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(57,582,888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(15,963,081</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60" w:name="ns_004"/>
      <w:bookmarkEnd w:id="3260"/>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bad debts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779,768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729,656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loss on disposal or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(1,292,588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47,567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392,412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(188,423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(3,335,693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676,393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(1,946,151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(743,821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(758,205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15,332,837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16,731,262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(17,177,782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(16,035,480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short-term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(1,501,781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(4,206,074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522,753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(received)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(8,240</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3811"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61" w:name="ns_005"/>
      <w:bookmarkEnd w:id="3261"/>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years ended December 31, 2025 and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91"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791" w:right="0" w:hanging="0"/>
        <w:jc w:val="both"/>
        <w:rPr>
          <w:caps w:val="false"/>
          <w:smallCaps w:val="false"/>
        </w:rPr>
      </w:pPr>
      <w:r>
        <w:rPr>
          <w:caps w:val="false"/>
          <w:smallCaps w:val="false"/>
        </w:rPr>
        <w:t xml:space="preserve">  </w:t>
      </w:r>
    </w:p>
    <w:tbl>
      <w:tblPr>
        <w:tblW w:w="5990" w:type="dxa"/>
        <w:jc w:val="left"/>
        <w:tblInd w:w="0" w:type="dxa"/>
        <w:tblLayout w:type="fixed"/>
        <w:tblCellMar>
          <w:top w:w="0" w:type="dxa"/>
          <w:left w:w="0" w:type="dxa"/>
          <w:bottom w:w="0" w:type="dxa"/>
          <w:right w:w="0" w:type="dxa"/>
        </w:tblCellMar>
      </w:tblPr>
      <w:tblGrid>
        <w:gridCol w:w="4805"/>
        <w:gridCol w:w="60"/>
        <w:gridCol w:w="140"/>
        <w:gridCol w:w="875"/>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one customer who accounted for 34% of total accounts receivable and there were no customers who accounted for more than 10%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8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255" w:type="dxa"/>
        <w:jc w:val="left"/>
        <w:tblInd w:w="0" w:type="dxa"/>
        <w:tblLayout w:type="fixed"/>
        <w:tblCellMar>
          <w:top w:w="0" w:type="dxa"/>
          <w:left w:w="0" w:type="dxa"/>
          <w:bottom w:w="28" w:type="dxa"/>
          <w:right w:w="0" w:type="dxa"/>
        </w:tblCellMar>
      </w:tblPr>
      <w:tblGrid>
        <w:gridCol w:w="1520"/>
        <w:gridCol w:w="60"/>
        <w:gridCol w:w="140"/>
        <w:gridCol w:w="1100"/>
        <w:gridCol w:w="60"/>
        <w:gridCol w:w="60"/>
        <w:gridCol w:w="140"/>
        <w:gridCol w:w="110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1,940,884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13,923,942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14,007,557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14,715,954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16,209,629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151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2232" w:right="0" w:hanging="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balances (January 1, 2024)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232" w:right="0" w:hanging="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2,120,021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6,768,159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Topic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years ended December 31, 2025 and 2024 was $63,522 and $91,193,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91"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792" w:right="0" w:hanging="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December 31, 2025 and 2024 are cash and cash equivalents, which are Level 1 and the deferred stock liability (see Note 6), which is Level 3.</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December 31:</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Prepaid Expenses and Other Current Assets </w:t>
      </w:r>
    </w:p>
    <w:tbl>
      <w:tblPr>
        <w:tblW w:w="6085" w:type="dxa"/>
        <w:jc w:val="left"/>
        <w:tblInd w:w="0" w:type="dxa"/>
        <w:tblLayout w:type="fixed"/>
        <w:tblCellMar>
          <w:top w:w="0" w:type="dxa"/>
          <w:left w:w="0" w:type="dxa"/>
          <w:bottom w:w="0" w:type="dxa"/>
          <w:right w:w="0" w:type="dxa"/>
        </w:tblCellMar>
      </w:tblPr>
      <w:tblGrid>
        <w:gridCol w:w="3950"/>
        <w:gridCol w:w="60"/>
        <w:gridCol w:w="140"/>
        <w:gridCol w:w="800"/>
        <w:gridCol w:w="60"/>
        <w:gridCol w:w="60"/>
        <w:gridCol w:w="140"/>
        <w:gridCol w:w="800"/>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40,221</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27,706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19,099</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9,477</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7130" w:type="dxa"/>
        <w:jc w:val="left"/>
        <w:tblInd w:w="0" w:type="dxa"/>
        <w:tblLayout w:type="fixed"/>
        <w:tblCellMar>
          <w:top w:w="0" w:type="dxa"/>
          <w:left w:w="0" w:type="dxa"/>
          <w:bottom w:w="0" w:type="dxa"/>
          <w:right w:w="0" w:type="dxa"/>
        </w:tblCellMar>
      </w:tblPr>
      <w:tblGrid>
        <w:gridCol w:w="4925"/>
        <w:gridCol w:w="60"/>
        <w:gridCol w:w="140"/>
        <w:gridCol w:w="800"/>
        <w:gridCol w:w="95"/>
        <w:gridCol w:w="60"/>
        <w:gridCol w:w="140"/>
        <w:gridCol w:w="800"/>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105,755</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$14,045 and $23,401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 as of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Internally Developed Software </w:t>
      </w:r>
    </w:p>
    <w:tbl>
      <w:tblPr>
        <w:tblW w:w="7340" w:type="dxa"/>
        <w:jc w:val="left"/>
        <w:tblInd w:w="0" w:type="dxa"/>
        <w:tblLayout w:type="fixed"/>
        <w:tblCellMar>
          <w:top w:w="0" w:type="dxa"/>
          <w:left w:w="0" w:type="dxa"/>
          <w:bottom w:w="0" w:type="dxa"/>
          <w:right w:w="0" w:type="dxa"/>
        </w:tblCellMar>
      </w:tblPr>
      <w:tblGrid>
        <w:gridCol w:w="4625"/>
        <w:gridCol w:w="60"/>
        <w:gridCol w:w="140"/>
        <w:gridCol w:w="1055"/>
        <w:gridCol w:w="95"/>
        <w:gridCol w:w="60"/>
        <w:gridCol w:w="140"/>
        <w:gridCol w:w="10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8,020,195</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(6,738,140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1,282,055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$750,973 and $756,367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future amortization expense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1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2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3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December 31: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40"/>
        <w:gridCol w:w="8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491,884</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119,680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307,614</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956,315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F-141</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Related Party </w:t>
      </w:r>
    </w:p>
    <w:tbl>
      <w:tblPr>
        <w:tblW w:w="6460" w:type="dxa"/>
        <w:jc w:val="left"/>
        <w:tblInd w:w="0" w:type="dxa"/>
        <w:tblLayout w:type="fixed"/>
        <w:tblCellMar>
          <w:top w:w="0" w:type="dxa"/>
          <w:left w:w="0" w:type="dxa"/>
          <w:bottom w:w="0" w:type="dxa"/>
          <w:right w:w="0" w:type="dxa"/>
        </w:tblCellMar>
      </w:tblPr>
      <w:tblGrid>
        <w:gridCol w:w="3965"/>
        <w:gridCol w:w="60"/>
        <w:gridCol w:w="140"/>
        <w:gridCol w:w="980"/>
        <w:gridCol w:w="60"/>
        <w:gridCol w:w="60"/>
        <w:gridCol w:w="140"/>
        <w:gridCol w:w="98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951,498</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3,013,730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Times New Roman;Times;Serif" w:hAnsi="Times New Roman;Times;Serif"/>
          <w:b w:val="false"/>
          <w:i/>
          <w:caps w:val="false"/>
          <w:smallCaps w:val="false"/>
          <w:sz w:val="20"/>
        </w:rPr>
        <w:t>Distinguishing Liabilities from Equity.</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F-145</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71"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F-146</w:t>
            </w:r>
          </w:p>
        </w:tc>
      </w:tr>
    </w:tbl>
    <w:p>
      <w:pPr>
        <w:pStyle w:val="TextBody"/>
        <w:bidi w:val="0"/>
        <w:spacing w:before="0" w:after="0"/>
        <w:ind w:left="0" w:right="0" w:hanging="0"/>
        <w:jc w:val="left"/>
        <w:rPr/>
      </w:pPr>
      <w:r>
        <w:rPr/>
        <w:t> </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110,800,468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recorded stock-based compensation expense of $792,403 and $729,656,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2025 and 2024 is as follows:</w:t>
      </w:r>
    </w:p>
    <w:p>
      <w:pPr>
        <w:pStyle w:val="TextBody"/>
        <w:bidi w:val="0"/>
        <w:spacing w:before="0" w:after="0"/>
        <w:ind w:left="792"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8679" w:type="dxa"/>
        <w:jc w:val="left"/>
        <w:tblInd w:w="0" w:type="dxa"/>
        <w:tblLayout w:type="fixed"/>
        <w:tblCellMar>
          <w:top w:w="0" w:type="dxa"/>
          <w:left w:w="0" w:type="dxa"/>
          <w:bottom w:w="0" w:type="dxa"/>
          <w:right w:w="0" w:type="dxa"/>
        </w:tblCellMar>
      </w:tblPr>
      <w:tblGrid>
        <w:gridCol w:w="4835"/>
        <w:gridCol w:w="60"/>
        <w:gridCol w:w="60"/>
        <w:gridCol w:w="1100"/>
        <w:gridCol w:w="95"/>
        <w:gridCol w:w="60"/>
        <w:gridCol w:w="243"/>
        <w:gridCol w:w="767"/>
        <w:gridCol w:w="60"/>
        <w:gridCol w:w="60"/>
        <w:gridCol w:w="122"/>
        <w:gridCol w:w="1142"/>
        <w:gridCol w:w="75"/>
      </w:tblGrid>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 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58,710,197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(6,740,415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51,347,641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50,158,623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years ended December 31, 2025 and 2024 was $791,191 and $714,453, respectively. The intrinsic value of options exercised for the years ended December 31, 2025 and, 2024 was $0 and $150,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employee and non-employee option grants issued in 2025 and 2024 was estimated using the Black-Scholes option pricing model with the following weighted-average assumptions for the years ended December 31:</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Assumptions Used to Compute Fair Value</w:t>
      </w:r>
    </w:p>
    <w:tbl>
      <w:tblPr>
        <w:tblW w:w="4465" w:type="dxa"/>
        <w:jc w:val="left"/>
        <w:tblInd w:w="0" w:type="dxa"/>
        <w:tblLayout w:type="fixed"/>
        <w:tblCellMar>
          <w:top w:w="0" w:type="dxa"/>
          <w:left w:w="0" w:type="dxa"/>
          <w:bottom w:w="0" w:type="dxa"/>
          <w:right w:w="0" w:type="dxa"/>
        </w:tblCellMar>
      </w:tblPr>
      <w:tblGrid>
        <w:gridCol w:w="2660"/>
        <w:gridCol w:w="60"/>
        <w:gridCol w:w="60"/>
        <w:gridCol w:w="560"/>
        <w:gridCol w:w="215"/>
        <w:gridCol w:w="60"/>
        <w:gridCol w:w="60"/>
        <w:gridCol w:w="560"/>
        <w:gridCol w:w="23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(in years)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history or expectation of paying cash dividends on its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is based on the U.S. Treasury yield for a term consistent with the expected life of the awards in effect at the time of grant.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estimated the expected volatility of its share price based on the share price volatility of similar publicly traded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represents the period of time that options granted are expected to be outstanding and was estimated using the simplified method which essentially equates to the weighted-average of the vesting term and contractual life of the options.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5070" w:type="dxa"/>
        <w:jc w:val="left"/>
        <w:tblInd w:w="0" w:type="dxa"/>
        <w:tblLayout w:type="fixed"/>
        <w:tblCellMar>
          <w:top w:w="0" w:type="dxa"/>
          <w:left w:w="0" w:type="dxa"/>
          <w:bottom w:w="0" w:type="dxa"/>
          <w:right w:w="0" w:type="dxa"/>
        </w:tblCellMar>
      </w:tblPr>
      <w:tblGrid>
        <w:gridCol w:w="3305"/>
        <w:gridCol w:w="60"/>
        <w:gridCol w:w="140"/>
        <w:gridCol w:w="635"/>
        <w:gridCol w:w="95"/>
        <w:gridCol w:w="60"/>
        <w:gridCol w:w="140"/>
        <w:gridCol w:w="560"/>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and carryforwards that give rise to significant portions of the deferred tax assets (liabilities) are as follows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6110" w:type="dxa"/>
        <w:jc w:val="left"/>
        <w:tblInd w:w="0" w:type="dxa"/>
        <w:tblLayout w:type="fixed"/>
        <w:tblCellMar>
          <w:top w:w="0" w:type="dxa"/>
          <w:left w:w="0" w:type="dxa"/>
          <w:bottom w:w="0" w:type="dxa"/>
          <w:right w:w="0" w:type="dxa"/>
        </w:tblCellMar>
      </w:tblPr>
      <w:tblGrid>
        <w:gridCol w:w="3155"/>
        <w:gridCol w:w="60"/>
        <w:gridCol w:w="140"/>
        <w:gridCol w:w="1175"/>
        <w:gridCol w:w="95"/>
        <w:gridCol w:w="60"/>
        <w:gridCol w:w="140"/>
        <w:gridCol w:w="117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operation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6,465,000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4,006,000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Accruals and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11,184,000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(11,179,000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Intangibles (capitalized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federal statutory tax rate to the effective rate of the Company’s provision for income taxes is as follows for the years ended December 31:</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6190" w:type="dxa"/>
        <w:jc w:val="left"/>
        <w:tblInd w:w="0" w:type="dxa"/>
        <w:tblLayout w:type="fixed"/>
        <w:tblCellMar>
          <w:top w:w="0" w:type="dxa"/>
          <w:left w:w="0" w:type="dxa"/>
          <w:bottom w:w="0" w:type="dxa"/>
          <w:right w:w="0" w:type="dxa"/>
        </w:tblCellMar>
      </w:tblPr>
      <w:tblGrid>
        <w:gridCol w:w="4235"/>
        <w:gridCol w:w="60"/>
        <w:gridCol w:w="60"/>
        <w:gridCol w:w="515"/>
        <w:gridCol w:w="215"/>
        <w:gridCol w:w="60"/>
        <w:gridCol w:w="60"/>
        <w:gridCol w:w="755"/>
        <w:gridCol w:w="230"/>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-581.62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 true-up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Commitments and Contingencies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$91,310 and $91,310 for the years ended December 31, 2025 and 2024, respectively. Cash paid for rent was $92,453 and $89,709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3830" w:type="dxa"/>
        <w:jc w:val="left"/>
        <w:tblInd w:w="0" w:type="dxa"/>
        <w:tblLayout w:type="fixed"/>
        <w:tblCellMar>
          <w:top w:w="0" w:type="dxa"/>
          <w:left w:w="0" w:type="dxa"/>
          <w:bottom w:w="0" w:type="dxa"/>
          <w:right w:w="0" w:type="dxa"/>
        </w:tblCellMar>
      </w:tblPr>
      <w:tblGrid>
        <w:gridCol w:w="2840"/>
        <w:gridCol w:w="60"/>
        <w:gridCol w:w="140"/>
        <w:gridCol w:w="680"/>
        <w:gridCol w:w="110"/>
      </w:tblGrid>
      <w:tr>
        <w:trPr/>
        <w:tc>
          <w:tcPr>
            <w:tcW w:w="284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For the Year Ending </w:t>
              <w:br/>
              <w:t>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pPr>
            <w:r>
              <w:rPr/>
              <w:t>Remainder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54,053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 0.58 years.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SUBSEQUENT EVENTS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5060" cy="5562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2385060" cy="5562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2,309,107 shares of Class A Common Stock underlying the Notes; and Up to 1,647,861 shares of Class A Common Stock underlying the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July 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25"/>
        <w:gridCol w:w="384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Expenses of Issuance and Distribution.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estimate of the expenses (all of which are to be paid by the registrant) that we may incur in connection with the securities being registered hereby.</w:t>
      </w:r>
    </w:p>
    <w:p>
      <w:pPr>
        <w:pStyle w:val="TextBody"/>
        <w:bidi w:val="0"/>
        <w:spacing w:before="0" w:after="0"/>
        <w:ind w:left="0" w:right="0" w:hanging="0"/>
        <w:jc w:val="both"/>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900"/>
        <w:gridCol w:w="60"/>
        <w:gridCol w:w="140"/>
        <w:gridCol w:w="860"/>
        <w:gridCol w:w="7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1,702.22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including with regard to compliance with state securities or “blue sky” laws. All amounts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25"/>
        <w:gridCol w:w="360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w:t>
            </w:r>
          </w:p>
        </w:tc>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of Directors and Officers.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that those specifically covered by our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25"/>
        <w:gridCol w:w="3350"/>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w:t>
            </w:r>
          </w:p>
        </w:tc>
        <w:tc>
          <w:tcPr>
            <w:tcW w:w="3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covered by this prospectus,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through their relationships with the Registrant, to information about the Registrant.</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Promissory Notes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Legacy Banzai issued a convertible promissory note in the principal amount of $2.0 million to Yorkville pursuant to the SEPA and on February 5, 2024, and March 26, 2024, the Company issued convertible promissory notes in the principal amount of $1.0 million and $1.5 million, respectively, to Yorkville pursuant to the SEPA. Between January 1, 2024 and June 30, 2024, the Company issued 3,243 shares of Common Stock to Yorkville upon conversion of $1.8 million of the Yorkville Promissory Notes. In addition, on March 18, 2024, the Company issued 711 shares of Common Stock to Yorkville in satisfaction of a deferred fee payment in the amount of $500 thousand. Further, on May 3, 2024, the Company agreed to issue to Yorkville 600 shares of Common Stock, which shares represent satisfaction of a $200 thousand Payment Premium due in accordance with the Yorkville Promissory Notes in connection with our early redemption of $2 million outstanding under the Yorkville Promissory Notes with the proceeds from the sale of our securities in a past share offering. The Company’s issuance of the Yorkville Promissory Notes and the shares of Class A Common Stock issued to Yorkville and issuable upon conversion of the Yorkville Promissory Notes have not been registered under the Securities Act in reliance on the exemption from registration provided by Section 4(a)(2)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2024 and October 14, 2024, 22,708 shares of Common Stock had been issued upon conversion of the Yorkville Promissory Notes and a cash payment of $750 thousand was made in May 2024. The aggregate principal amount was fully satisfied that no remaining outstanding balance under the Yorkville Promissory Notes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Promissory Note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issued the GEM Promissory Note in the principal amount of $1.0 million to GEM pursuant to the GEM Settlement Agreement. The GEM Promissory Note provides for the issuance of shares of Common Stock at a conversion price equal to the VWAP of the trading day immediately preceding the applicable payment due date. As of December 31, 2024, we issued an aggregate of 950 shares of Class A Common Stock to GEM in lieu of monthly payment obligations and during the three months ended March 31, 2025 the Company paid an aggregate of $215 thousand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Roth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the Company issued 18 shares of Class A Common Stock to Roth pursuant to the Roth Addendum as consideration for advisory services provided by Roth in connection with the Business Combination.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Marketing Agreement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20, 2024, the Company issued to a consultant (the “Marketing Consultant”) 16 shares of its Class A Common Stock, which shares represented $200 thousand of compensation for the Marketing Consultant’s services under a marketing services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 Agreement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2024, the Company entered into a Consulting Services Agreement with a consultant (the “Business Consultant”). The Company agreed to issue to the Business Consultant a total of 32 shares of its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Equitization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23, 2024 to September 23,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 in a registration statement on Form S-1 and Shares that are exempt from registration. As of December 31, 2024, the Company has issued an aggregate of 15,140 Shares to the Creditors in exchange for the cancellation of an aggregate of approximately $5.5 million of debt. The Company agreed to issue an aggregate of 2,250 additional Shares pursuant to the Debt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2024, the Company issued 120 restricted shares of its Common Stock, partially in exchange for the various investor relations services outlined in the Consulting Agreement with MZHCI, LLC, an MZ Group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the Company issued 150 shares to Verista Partners, Inc., aka Winterberry Group, one of its Creditors, in exchange for the cancellation of a portion of the total outstanding debt  totaling approximately $17 thousand, pursuant to the Debt Reorganization.</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BF/Alco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this filing, we issued an aggregate of 13,247 shares of Class A Common Stock to CP BF and Alco, which includes 5,245 pre-funded warrants Alco exercised on April 21, 2025, pursuant to the agreements we entered into with them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CP BF exercised its optional conversion option pursuant to which it received an aggregate of 3,135 shares of Class A Common Stock at conversion prices ranging from $47.60 to $54.80 per share, in satisfaction of an aggregate of approximately $167 thousand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Hudson Global Ventures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2024, the Company issued 225 shares of Class A Common Stock to Hudson Global Ventures, LLC, a Nevada limited liability company (“Hudson”) pursuant to the Consulting Agreement as consideration for advisory services provided by Hudson. On January 3, 2025 and April 25, 2025, the Company issued 750 and 200 restricted shares of its Class A Common Stock, respectively, in exchange for the business advisory services outlined in the consulting agreements with Hudson.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BF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the Company issued 1 share of Class A Common Stock to CP BF, resulting from the exercise of 1 pre-funded warrant under the CP BF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 Issuance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issued 1,689 shares of Class A Common Stock related to RSUs issued to executives as part of the Company’s fiscal 2024 bonus plan, following Board approvals. On March 31, 2026, the Company issued 34,175 shares of Class A Common Stock related to RSUs issued to employees as part of the Company’s fiscal 2026 equity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pursuant to which, the Company issued 4,491 shares of Class A Common Stock to the shareholders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thousand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Class A Common Stock issued to 1800 Diagonal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22, 2025, and May 11, 2026, the Company issued an aggregate of 72,305 shares of Class A Common Stock, pursuant to conversion notices from 1800 Diagonal to convert an aggregate of approximately $972 thousand in notes the Company previously issued to them; the conversion price ranged from $3.303 per share to $45.37 per share.</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Exchanges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(the “Agile Exchange Agreement”) with Agile pursuant to which the Company issued 11,639 shares of its Class A common stock in exchange for a reduction of $284 thousand in the outstanding balance of the March Agile Note.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27, 2026 and June 25, 2026, the Company entered into a series of twelve additional exchange agreements with Agile on substantially similar terms as the Agile Exchange Agreement pursuant to which the Company issued an aggregate of approximately 303,451 shares of its Class A Common Stock at conversion prices per share ranging from $2.95 to $23.60, respectively, in exchange for aggregate reductions of approximately $1.8 million in the outstanding balance of the March Agile Note. Following these exchanges, the outstanding balance of the March Agile Note was fully extinguished.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3"/>
        <w:gridCol w:w="60"/>
        <w:gridCol w:w="9342"/>
      </w:tblGrid>
      <w:tr>
        <w:trPr/>
        <w:tc>
          <w:tcPr>
            <w:tcW w:w="80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At The Market Offering Agreement, dated August 27, 2025, by and between the Company and H.C. Wainwright &amp; Co., LLC (5)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December 8, 2022, by and among Banzai, 7GC, First Merger Sub and Second Merger Sub (incorporated by reference to Annex A-1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to Agreement and Plan of Merger, dated August 4, 2023, by and among the Company and 7GC (incorporated by reference to Annex A-2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Asset Purchase Agreement, dated as of July 2, 2026, by and between Banzai International, Inc. and ConnectAndSell, Inc. (incorporated by reference to Exhibit 2.1 to the Current Report on Form 8-K filed on July 7, 2026).</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Second Amended and Restated Certificate of Incorporation of the Company, dated December 14, 2023. (incorporated by reference to Exhibit 3.1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Second Amended and Restated Bylaws of the Company, dated December 14, 2023 (incorporated by reference to Exhibit 3.2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Third Amended and Restated Bylaws of the Company, dated March 3, 2025 (incorporated by reference to Exhibit 3.2 to the Current Report on Form 8-K filed on March 4, 2025).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Amendment to Second Amended and Restated Certificate of Incorporation of the Company, dated September 11, 2024. (incorporated by reference to Exhibit 3.1 to the Current Report on Form 8-K filed on September 16, 2024).</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Fourth Amended and Restated Bylaws (incorporated by reference to Exhibit 3.1 to the Current Report on Form 8-K filed on December 17, 2025).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Amendment to Second Amended and Restated Certificate of Incorporation of the Company, dated March 3, 2025. (incorporated by reference to Exhibit 3.1 to the Current Report on Form 8-K filed on March 4, 2025).</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Specimen Class A Common Stock 10-K Certificate of the Company (incorporated by reference to Exhibit 4.1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Specimen Class B Common Stock Certificate of the Company (incorporated by reference to Exhibit 4.2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Specimen Warrant Certificate of the Company (incorporated by reference to Exhibit 4.3 to the Current Report on Form 8-K filed on December 20, 2023).</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Warrant Agreement, dated December 22, 2020, by and between 7GC and Continental Stock Transfer &amp; Trust Company, as warrant agent (incorporated by reference to Exhibit 4.1 to the Current Report on Form 8-K filed by 7GC on December 28, 2020).</w:t>
              </w:r>
            </w:hyperlink>
          </w:p>
        </w:tc>
      </w:tr>
      <w:tr>
        <w:trPr/>
        <w:tc>
          <w:tcPr>
            <w:tcW w:w="8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2"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Amended and Restated Convertible Promissory Note, by and among Banzai and CP BF Lending, LLC (incorporated by reference to Exhibit 4.7 to the Registration Statement on Form S-4 filed by 7GC on August 31, 2023).</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Subordinated Promissory Note, dated December 13, 2023, issued by the Company to Alco Investment Company (incorporated by reference to Exhibit 4.5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Warrant to Purchase Shares of Common Stock of Banzai International, Inc., dated December 15, 2023, issued by the Company to GEM Yield Bahamas Limited (incorporated by reference to Exhibit 4.7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Promissory Note, dated as of December 14, 2023, issued by Banzai International, Inc. (f/k/a 7GC &amp; Co. Holdings Inc.) to YA II PN, LTD. (incorporated by reference to Exhibit 10.2 to the Current Report on Form 8-K filed on December 18,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Promissory Note, dated as of February 5, 2024, issued by Banzai International, Inc. to YA II PN, LTD (incorporated by reference to Exhibit 4.11 to the Registration Statement on Form S-1/A filed on February 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Promissory Note, dated as of March 26, 2024, issued by Banzai International, Inc. to YA II PN, LTD (incorporated by reference to Exhibit 4.10 to the Annual Report on Form 10-K filed on April 1,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Debt Repayment Agreement, dated as of May 3, 2024, by and among the Company and Yorkville (incorporated by reference to Exhibit 99.2 to the Current Report on Form 8-K filed on May 16,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Amended and Restated Debt Repayment Agreement, dated as of May 22, 2024, by and between the Company and Yorkville. (incorporated by reference to Exhibit 99.1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Secured Convertible Promissory Note dated as of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Common Warrant (incorporated by reference to Exhibit 10.3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Warrant with CP BF dated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Pre-Funded Warrant to CP BF dated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Subordinated Promissory Note, dated as of August 30, 2023, by and between Banzai International, Inc., Alco Investment Company and CP BF Lending, LLC.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Amendment No. 3 to August 30, 2023, Subordinated Promissory Note.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Subordinated Promissory Note, dated as of November 16, 2023, by and between Banzai International, Inc., Alco Investment Company and CP BF Lending, LLC.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Amendment No. 4 to November 16, 2023, Subordinated Promissory Note.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Senior Secured Convertible Note issued on June 30, 2025 (4)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Warrant issued on June 30, 2025 (3)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Senior Secured Convertible Note issued on August 19, 2025 (6)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Warrant issued on August 19, 2025 (6)</w:t>
              </w:r>
            </w:hyperlink>
          </w:p>
        </w:tc>
      </w:tr>
    </w:tbl>
    <w:p>
      <w:pPr>
        <w:pStyle w:val="TextBody"/>
        <w:bidi w:val="0"/>
        <w:jc w:val="center"/>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Pre-Funded Warrant (incorporated by reference to Exhibit 10.4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Amendment to Second Amended and Restated Certificate of Incorporation of the Company, dated April 28, 2026. (incorporated by reference to Exhibit 3.1 to the Current Report on Form 8-K filed on April 28, 2026,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Pre-Funded Warrant (incorporated by reference to Exhibit 4.1 to the Current Report on Form 8-K filed on July 7,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Employee Indebtedness Note (incorporated by reference to Exhibit 4.2 to the Current Report on Form 8-K filed on July 7,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Hunter Taubman Fischer &amp; Li LLC.*</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Letter Agreement, dated December 22, 2020, by and among 7GC, its officers, its directors and the Sponsor (incorporated by reference to Exhibit 10.1 to the Current Report on Form 8-K filed by 7GC on December 28, 2020).</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Private Placement Warrants Purchase Agreement, dated December 22, 2020, by and between 7GC and the Sponsor (incorporated by reference to Exhibit 10.5 to the Current Report on Form 8-K filed by 7GC on December 28, 2020).</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Amended and Restated Registration Rights Agreement, dated December 14, 2023, by and among the Company, the Sponsor, certain stockholders of the Company (incorporated by reference to Exhibit 10.6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"ii441541_anxd"</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Lock-Up Agreement, by and between the Company and certain stockholders and executives of Legacy Banzai (incorporated by reference to Annex D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Banzai International, Inc. 2023 Equity Incentive Plan (incorporated by reference to Exhibit 99.1 to the Registration Statement on Form S-8 filed on March 25,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Banzai International, Inc. 2023 Employee Stock Purchase Plan (incorporated by reference to Exhibit 99.2 to the Registration Statement on Form S-8 filed on March 25,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Loan Agreement, dated February 19, 2021, by and among the Company, Joseph P. Davy as an Individual Guarantor, Demio, Inc., as an Individual Guarantor and CP BF Lending, LLC, as Lender (incorporated by reference to Exhibit 10.16 to the Registration Statement on Form S-4 filed by 7GC on August 31,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Forbearance Agreement, dated August 24, 2023, by and among the Company, the guarantors party to the Loan Agreement (as defined therein), and CP BF Lending, LLC (incorporated by reference to Exhibit 10.18 to the Registration Statement on Form S-4 filed by 7GC on August 31,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Promissory Note, dated October 3, 2023, issued by 7GC to the Sponsor (incorporated by reference to Exhibit 10.1 to the Current Report on Form 8-K filed by 7GC on October 4, 2023).</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Standby Equity Purchase Agreement, dated as of December 14, 2023, by and among Banzai International, Inc. (f/k/a 7GC &amp; Co. Holdings Inc.), YA II PN, LTD., and Banzai Operating Co LLC (f/k/a Banzai International, Inc.) (incorporated by reference to Exhibit 10.1 to the Current Report on Form 8-K filed on December 18,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Registration Rights Agreement, dated as of December 14, 2023, by and between Banzai International, Inc. (f/k/a 7GC &amp; Co. Holdings Inc.) and YA II PN, LTD. (incorporated by reference to Exhibit 10.3 to the Current Report on Form 8-K filed on December 18,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Share Transfer Agreement, dated December 13, 2023, by and among the Company, the Sponsor and Alco Investment Company (incorporated by reference to Exhibit 10.5 to the Current Report on Form 8-K filed on December 20, 2023).</w:t>
              </w:r>
            </w:hyperlink>
          </w:p>
        </w:tc>
      </w:tr>
    </w:tbl>
    <w:p>
      <w:pPr>
        <w:pStyle w:val="TextBody"/>
        <w:bidi w:val="0"/>
        <w:jc w:val="center"/>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Indemnification Agreement by and between the Company and its directors and officers (incorporated by reference to Exhibit 10.8 to the Current Report on Form 8-K filed on December 20,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Amendment to Fee Reduction Agreement, dated December 28, 2023, by and between Banzai International, Inc. (f/k/a 7GC &amp; Co. Holdings Inc.) and Cantor Fitzgerald (incorporated by reference to Exhibit 10.26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Settlement Agreement, dated February 5, 2024, by and between Banzai International, Inc. (f/k/a 7GC &amp; Co. Holdings Inc.), GEM Global Yield LLC SCS and GEM Yield Bahamas Limited (incorporated by reference to Exhibit 10.27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Unsecured Promissory Note, dated February 5, 2024, issued by the Company to GEM Global Yield LLC SCS (incorporated by reference to Exhibit 10.4 to the Current Report on Form 8-K filed on February 8,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Supplemental Agreement, dated February 5, 2024, by and between Banzai International, Inc. (f/k/a 7GC &amp; Co. Holdings Inc.) and YA II PN, LTD (incorporated by reference to Exhibit 10.29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Addendum to Letter Agreements, dated February 5, 2024, by and between Banzai International, Inc. (f/k/a 7GC &amp; Co. Holdings Inc.) and Roth Capital Partners, LLC (incorporated by reference to Exhibit 10.30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Side Letter to the Loan Agreement with CP BF Lending, LLC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Floor Price Adjustment Agreement with Yorkville Advisors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Securities Purchase Agreement with Alco Investment Company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Securities Purchase Agreement with CP BF Lending, LLC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Second Amendment to Loan Agreement by and among the Company, Demio Holding Inc., Banzai Operating Co. LLC and CP BF Lending, LLC, as Lender dated as of September 23, 2024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Registration Rights Agreement between the Company and Alco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Lock-Up Agreement dated September 23, 2024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Registration Rights Agreement between the Company and CP BF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Consulting Agreement dated as of September 26, 2024, by and between the Company and Hudson Global Ventures, LLC (incorporated by reference to the Registration Statement on Form S-1 filed with the SEC on October 16,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Registration Rights Agreement (incorporated by reference to Exhibit 10.1 to the Current Report on Form 8-K filed on December 10,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Form of Pre-Funded Warrant (incorporated by reference to Exhibit 10.2 to the Current Report on Form 8-K filed on December 10,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Voting and Support Agreement, dated December 10, 2024, by and between Joseph P. Davy and Banzai International Inc. (incorporated by reference to Exhibit 10.3 to the Current Report on Form 8-K filed on December 10, 2024).</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75"/>
        <w:gridCol w:w="60"/>
        <w:gridCol w:w="9570"/>
      </w:tblGrid>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3">
              <w:r>
                <w:rPr>
                  <w:rStyle w:val="InternetLink"/>
                  <w:rFonts w:ascii="Times New Roman;Times;Serif" w:hAnsi="Times New Roman;Times;Serif"/>
                  <w:sz w:val="20"/>
                </w:rPr>
                <w:t>Form of Lock-Up Agreement (incorporated by reference to exhibit 10.1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4">
              <w:r>
                <w:rPr>
                  <w:rStyle w:val="InternetLink"/>
                  <w:rFonts w:ascii="Times New Roman;Times;Serif" w:hAnsi="Times New Roman;Times;Serif"/>
                  <w:sz w:val="20"/>
                </w:rPr>
                <w:t>Form of Pre-Funded Warrant (incorporated by reference to exhibit 10.2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5">
              <w:r>
                <w:rPr>
                  <w:rStyle w:val="InternetLink"/>
                  <w:rFonts w:ascii="Times New Roman;Times;Serif" w:hAnsi="Times New Roman;Times;Serif"/>
                  <w:sz w:val="20"/>
                </w:rPr>
                <w:t>Voting and Support Agreement, dated December 19, 2024, by and between Banzai International Inc., and Joseph P. Davy (incorporated by reference to exhibit 10.3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10.34</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6">
              <w:r>
                <w:rPr>
                  <w:rStyle w:val="InternetLink"/>
                  <w:rFonts w:ascii="Times New Roman;Times;Serif" w:hAnsi="Times New Roman;Times;Serif"/>
                  <w:sz w:val="20"/>
                </w:rPr>
                <w:t>Closing Letter Agreement, dated January 24, 2025, by and among Banzai International, Inc., Vidello Limited, and certain shareholders of Vidello Limited (incorporated by reference to Exhibit 10.3 to the Current Report on Form 8-K filed on January 31,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7">
              <w:r>
                <w:rPr>
                  <w:rStyle w:val="InternetLink"/>
                  <w:rFonts w:ascii="Times New Roman;Times;Serif" w:hAnsi="Times New Roman;Times;Serif"/>
                  <w:sz w:val="20"/>
                </w:rPr>
                <w:t>Form of Convertible Promissory Note (incorporated by reference to exhibit 10.1 to the Current Report on Form 8-K/A filed on February 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10.36</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8">
              <w:r>
                <w:rPr>
                  <w:rStyle w:val="InternetLink"/>
                  <w:rFonts w:ascii="Times New Roman;Times;Serif" w:hAnsi="Times New Roman;Times;Serif"/>
                  <w:sz w:val="20"/>
                </w:rPr>
                <w:t>Form of Subscription Booklet (incorporated by reference to Exhibit 10.1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9">
              <w:r>
                <w:rPr>
                  <w:rStyle w:val="InternetLink"/>
                  <w:rFonts w:ascii="Times New Roman;Times;Serif" w:hAnsi="Times New Roman;Times;Serif"/>
                  <w:sz w:val="20"/>
                </w:rPr>
                <w:t>Form of Pre-Funded Warrant (incorporated by reference to Exhibit 10.2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0">
              <w:r>
                <w:rPr>
                  <w:rStyle w:val="InternetLink"/>
                  <w:rFonts w:ascii="Times New Roman;Times;Serif" w:hAnsi="Times New Roman;Times;Serif"/>
                  <w:sz w:val="20"/>
                </w:rPr>
                <w:t>Form of Share Consideration Escrow Agreement (incorporated by reference to Exhibit 10.4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sz w:val="20"/>
                </w:rPr>
                <w:t>Form of Registration Rights Agreement (incorporated by reference to Exhibit 10.5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2">
              <w:r>
                <w:rPr>
                  <w:rStyle w:val="InternetLink"/>
                  <w:rFonts w:ascii="Times New Roman;Times;Serif" w:hAnsi="Times New Roman;Times;Serif"/>
                  <w:sz w:val="20"/>
                </w:rPr>
                <w:t>Employment Offer Letter, by and between Banzai International, Inc. and Dean Ditto, effective July 2, 2025 (incorporated by reference to Exhibit 10.1 to the Current Report on Form 8-K filed on July 9,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3">
              <w:r>
                <w:rPr>
                  <w:rStyle w:val="InternetLink"/>
                  <w:rFonts w:ascii="Times New Roman;Times;Serif" w:hAnsi="Times New Roman;Times;Serif"/>
                  <w:sz w:val="20"/>
                </w:rPr>
                <w:t>Form of Securities Purchase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4">
              <w:r>
                <w:rPr>
                  <w:rStyle w:val="InternetLink"/>
                  <w:rFonts w:ascii="Times New Roman;Times;Serif" w:hAnsi="Times New Roman;Times;Serif"/>
                  <w:sz w:val="20"/>
                </w:rPr>
                <w:t>Form of Registration Rights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5">
              <w:r>
                <w:rPr>
                  <w:rStyle w:val="InternetLink"/>
                  <w:rFonts w:ascii="Times New Roman;Times;Serif" w:hAnsi="Times New Roman;Times;Serif"/>
                  <w:sz w:val="20"/>
                </w:rPr>
                <w:t>Form of Leak-Out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10.44</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6">
              <w:r>
                <w:rPr>
                  <w:rStyle w:val="InternetLink"/>
                  <w:rFonts w:ascii="Times New Roman;Times;Serif" w:hAnsi="Times New Roman;Times;Serif"/>
                  <w:sz w:val="20"/>
                </w:rPr>
                <w:t>Form of Securities Purchase Agreement dated May 22, 2024, between the Company and certain purchasers (incorporated by reference to Exhibit 10.1 to the Current Report on Form 8-K filed on May 28,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7">
              <w:r>
                <w:rPr>
                  <w:rStyle w:val="InternetLink"/>
                  <w:rFonts w:ascii="Times New Roman;Times;Serif" w:hAnsi="Times New Roman;Times;Serif"/>
                  <w:sz w:val="20"/>
                </w:rPr>
                <w:t>Exchange Agreement with Agile Capital Funding, LLC (incorporated by reference to Exhibit 10.1 to the Current Report on Form 8-K filed on December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8">
              <w:r>
                <w:rPr>
                  <w:rStyle w:val="InternetLink"/>
                  <w:rFonts w:ascii="Times New Roman;Times;Serif" w:hAnsi="Times New Roman;Times;Serif"/>
                  <w:sz w:val="20"/>
                </w:rPr>
                <w:t>Forbearance Agreement with Agile Capital Funding, LLC (incorporated by reference to Exhibit 10.2 to the Current Report on Form 8-K filed on December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9">
              <w:r>
                <w:rPr>
                  <w:rStyle w:val="InternetLink"/>
                  <w:rFonts w:ascii="Times New Roman;Times;Serif" w:hAnsi="Times New Roman;Times;Serif"/>
                  <w:sz w:val="20"/>
                </w:rPr>
                <w:t>Side Letter to Loan Agreement with CP BF Lending, LLC dated October 10, 2025 (incorporated by reference to the Current Report on Form 8-K filed on October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90">
              <w:r>
                <w:rPr>
                  <w:rStyle w:val="InternetLink"/>
                  <w:rFonts w:ascii="Times New Roman;Times;Serif" w:hAnsi="Times New Roman;Times;Serif"/>
                  <w:sz w:val="20"/>
                </w:rPr>
                <w:t>Amendment to Side Letter dated October 15, 2025 (incorporated by reference to the Current Report on Form 8-K filed on October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91">
              <w:r>
                <w:rPr>
                  <w:rStyle w:val="InternetLink"/>
                  <w:rFonts w:ascii="Times New Roman;Times;Serif" w:hAnsi="Times New Roman;Times;Serif"/>
                  <w:sz w:val="20"/>
                </w:rPr>
                <w:t>Form of Subsequent Exchange Agreement (incorporated by reference to Exhibit 10.3 the Current Report on Form 8-K/A filed on May 5, 2026)</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pPr>
            <w:r>
              <w:rPr/>
              <w:t>10.50</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92">
              <w:r>
                <w:rPr>
                  <w:rStyle w:val="InternetLink"/>
                </w:rPr>
                <w:t>Side Letter to Loan Agreement with CP BF Lending, LLC dated May 15, 2026 (incorporated by reference to the Current Report on Form 8-K/A filed on May 18,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Form of Registration Rights Agreement (incorporated by reference to Exhibit 10.1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Form of Assignment and Bill of Sale (incorporated by reference to Exhibit 10.2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Form of Voting and Support Agreement (incorporated by reference to Exhibit 10.3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Form of Reverse Services Agreement (incorporated by reference to Exhibit 10.4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Subordinated Business Loan and Security Agreement, dated July 1, 2026, by and among Agile Capital Funding, LLC, as Collateral Agent, Agile Lending, LLC, as Lead Lender, Banzai International, Inc., and the other Borrowers party thereto (incorporated by reference to Exhibit 10.5 to the Current Report on Form 8-K filed on July 7, 2026).</w:t>
              </w:r>
            </w:hyperlink>
          </w:p>
        </w:tc>
      </w:tr>
      <w:tr>
        <w:trPr/>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0" w:type="dxa"/>
            <w:tcBorders/>
            <w:shd w:fill="CCEEFF" w:val="clear"/>
            <w:vAlign w:val="center"/>
          </w:tcPr>
          <w:p>
            <w:pPr>
              <w:pStyle w:val="TableContents"/>
              <w:bidi w:val="0"/>
              <w:spacing w:before="0" w:after="283"/>
              <w:jc w:val="both"/>
              <w:rPr/>
            </w:pPr>
            <w:hyperlink r:id="rId98">
              <w:r>
                <w:rPr>
                  <w:rStyle w:val="InternetLink"/>
                  <w:rFonts w:ascii="Times New Roman;Times;Serif" w:hAnsi="Times New Roman;Times;Serif"/>
                  <w:b w:val="false"/>
                  <w:i w:val="false"/>
                  <w:caps w:val="false"/>
                  <w:smallCaps w:val="false"/>
                  <w:sz w:val="20"/>
                </w:rPr>
                <w:t>Subordinated Secured Promissory Note, dated July 1, 2026, by Banzai International, Inc. and the other Borrowers in favor of Agile Lending, LLC (incorporated by reference to Exhibit 10.6 to the Current Report on Form 8-K filed on July 7, 2026).</w:t>
              </w:r>
            </w:hyperlink>
          </w:p>
        </w:tc>
      </w:tr>
    </w:tbl>
    <w:p>
      <w:pPr>
        <w:pStyle w:val="TextBody"/>
        <w:bidi w:val="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
        <w:gridCol w:w="60"/>
        <w:gridCol w:w="9388"/>
      </w:tblGrid>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r:id="rId99">
              <w:r>
                <w:rPr>
                  <w:rStyle w:val="InternetLink"/>
                  <w:rFonts w:ascii="Times New Roman;Times;Serif" w:hAnsi="Times New Roman;Times;Serif"/>
                  <w:sz w:val="20"/>
                </w:rPr>
                <w:t>List of Subsidiaries (incorporated by reference to Exhibit 21.1 to the Annual Report on Form 10-K filed on March 31, 2026).</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23-1.htm">
              <w:r>
                <w:rPr>
                  <w:rStyle w:val="InternetLink"/>
                  <w:rFonts w:ascii="Times New Roman;Times;Serif" w:hAnsi="Times New Roman;Times;Serif"/>
                  <w:sz w:val="20"/>
                </w:rPr>
                <w:t>Consent of Marcum, LLP, independent registered public accounting firm for the Company.*</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23-2.htm">
              <w:r>
                <w:rPr>
                  <w:rStyle w:val="InternetLink"/>
                  <w:rFonts w:ascii="Times New Roman;Times;Serif" w:hAnsi="Times New Roman;Times;Serif"/>
                  <w:sz w:val="20"/>
                </w:rPr>
                <w:t>Consent of Bush &amp; Associates CPA LLC, independent registered public accounting firm for the Company*</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pPr>
            <w:r>
              <w:rPr/>
              <w:t>23.3</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23-3.htm">
              <w:r>
                <w:rPr>
                  <w:rStyle w:val="InternetLink"/>
                </w:rPr>
                <w:t>Consent of SingerLewak LLP, independent registered public accounting firm for ConnectAndSell, Inc.*</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sz w:val="20"/>
                </w:rPr>
                <w:t>Consent of Hunter Taubman Fischer &amp; Li LLC (included in Exhibit 5.1).</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TM_006">
              <w:r>
                <w:rPr>
                  <w:rStyle w:val="InternetLink"/>
                  <w:rFonts w:ascii="Times New Roman;Times;Serif" w:hAnsi="Times New Roman;Times;Serif"/>
                  <w:sz w:val="20"/>
                </w:rPr>
                <w:t>Power of Attorney (Included on signature page)*</w:t>
              </w:r>
            </w:hyperlink>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r>
        <w:trPr/>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both"/>
              <w:rPr/>
            </w:pPr>
            <w:r>
              <w:rPr/>
              <w:t> </w:t>
            </w:r>
          </w:p>
        </w:tc>
      </w:tr>
      <w:tr>
        <w:trPr/>
        <w:tc>
          <w:tcPr>
            <w:tcW w:w="7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388" w:type="dxa"/>
            <w:tcBorders/>
            <w:shd w:fill="CCEEFF" w:val="clear"/>
            <w:vAlign w:val="center"/>
          </w:tcPr>
          <w:p>
            <w:pPr>
              <w:pStyle w:val="TableContents"/>
              <w:bidi w:val="0"/>
              <w:spacing w:before="0" w:after="283"/>
              <w:jc w:val="both"/>
              <w:rPr/>
            </w:pPr>
            <w:hyperlink w:anchor="ex107.htm">
              <w:r>
                <w:rPr>
                  <w:rStyle w:val="InternetLink"/>
                  <w:rFonts w:ascii="Times New Roman;Times;Serif" w:hAnsi="Times New Roman;Times;Serif"/>
                  <w:sz w:val="20"/>
                </w:rPr>
                <w:t>Filing Fee Table*</w:t>
              </w:r>
            </w:hyperlink>
          </w:p>
        </w:tc>
      </w:tr>
    </w:tbl>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60"/>
        <w:gridCol w:w="90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Registration Statement on Form S-1 filed with the SEC on September 20, 2024.</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September 25, 2024.</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July 3,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8-K/A filed with the SEC on August 8,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August 28,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August 22, 2025.</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Registration Statement on Form S-1 filed with the SEC on June 5,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schedules and exhibits to this agreement have been omitted pursuant to Item 601(b)(2) of Regulation S-K. A copy of any omitted schedule and/or exhibit will be furnished to the SEC upon request.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25"/>
        <w:gridCol w:w="126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17.</w:t>
            </w:r>
          </w:p>
        </w:tc>
        <w:tc>
          <w:tcPr>
            <w:tcW w:w="12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Undertakings. </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under the Securities Act to any purchaser, each prospectus filed pursuant to Rule 424(b) as part of a registration statement relating to an offering, other than registration statements filed in reliance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r>
        <w:trPr/>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100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320"/>
        <w:gridCol w:w="8840"/>
      </w:tblGrid>
      <w:tr>
        <w:trPr/>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15"/>
        <w:gridCol w:w="416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Bainbridge Island, State of Washington on July 17, 2026.</w:t>
      </w:r>
    </w:p>
    <w:p>
      <w:pPr>
        <w:pStyle w:val="TextBody"/>
        <w:bidi w:val="0"/>
        <w:spacing w:before="0" w:after="0"/>
        <w:jc w:val="center"/>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629"/>
        <w:gridCol w:w="2180"/>
        <w:gridCol w:w="75"/>
      </w:tblGrid>
      <w:tr>
        <w:trPr/>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3262" w:name="TM_006"/>
      <w:bookmarkEnd w:id="3262"/>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is noted with an asterisk below constitutes and appoints Joseph Davy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S-1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and on the date indicated.</w:t>
      </w:r>
    </w:p>
    <w:p>
      <w:pPr>
        <w:pStyle w:val="TextBody"/>
        <w:bidi w:val="0"/>
        <w:spacing w:before="0" w:after="0"/>
        <w:ind w:left="0" w:right="0" w:firstLine="360"/>
        <w:jc w:val="both"/>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1310"/>
        <w:gridCol w:w="60"/>
        <w:gridCol w:w="5015"/>
        <w:gridCol w:w="60"/>
        <w:gridCol w:w="1145"/>
      </w:tblGrid>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440"/>
        <w:gridCol w:w="2495"/>
        <w:gridCol w:w="7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Attorney-in-Fact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263" w:name="ex5-1.htm"/>
      <w:bookmarkStart w:id="3264" w:name="ksex51"/>
      <w:bookmarkEnd w:id="3263"/>
      <w:bookmarkEnd w:id="32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57600" cy="1266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0"/>
                    <a:stretch>
                      <a:fillRect/>
                    </a:stretch>
                  </pic:blipFill>
                  <pic:spPr bwMode="auto">
                    <a:xfrm>
                      <a:off x="0" y="0"/>
                      <a:ext cx="3657600" cy="126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 Ericksen Ave, Suite 250</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Bainbridge Island, Washington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securities counsel to Banzai International, Inc., a Delaware corporation (the “Company”), in connection with the filing of a registration statement on Form S-1, filed by the Company on July 17, 2026 (the “Registration Statement”), under the Securities Act of 1933, as amended (the “Securities Act”). The Registration Statement relates to the resale, from time to time, by the selling securityholders listed therein (the “Selling Stockholders”) of up to 3,956,968 shares (the “Resale Shares”) of the Company’s Class A Common Stock (the “Shares”), par value $0.0001 per share (the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Shares consist of (i) 2,309,107 shares of Class A Common Stock issuable upon the conversion of a senior secured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the original principal amount of $11,000,000 plus accrued interest issued pursuant to a securities purchase agreement, dated June 27, 2025, by and between the Company and an institutional investor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(the shares of Common Stock issuable pursuant to the terms of the Note, including, without limitation, upon conversion or otherwise, collectively,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(ii) shares of Class A Common Stock issuable upon the exercise of a warrant (the “</w:t>
      </w:r>
      <w:r>
        <w:rPr>
          <w:rFonts w:ascii="Times New Roman;Times;Serif" w:hAnsi="Times New Roman;Times;Serif"/>
          <w:b/>
          <w:i w:val="false"/>
          <w:caps w:val="false"/>
          <w:smallCaps w:val="false"/>
          <w:sz w:val="20"/>
        </w:rPr>
        <w:t>Buyer Warrant</w:t>
      </w:r>
      <w:r>
        <w:rPr>
          <w:rFonts w:ascii="Times New Roman;Times;Serif" w:hAnsi="Times New Roman;Times;Serif"/>
          <w:b w:val="false"/>
          <w:i w:val="false"/>
          <w:caps w:val="false"/>
          <w:smallCaps w:val="false"/>
          <w:sz w:val="20"/>
        </w:rPr>
        <w:t>”) to purchase up to 1,647,861 shares of Class A Common Stock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also issued pursuant to the Securities Purchase Agreement.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authentic originals of such documents; (iv) each natural person signing any document reviewed by us had the legal capacity to do so; (v) any certificates representing the Resale Shares have been or will be duly executed and delivered by the Company; and (vi) the Buyer Warrant has been duly executed and delivered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Company has been duly incorporated, and is validly existing and in good standing under the laws of its jurisdiction of incorporation; (ii) the Company has the requisite legal status and legal capacity under the laws of the jurisdiction of its incorporation; (iii) the Company has complied and will comply with all aspects of the laws of the jurisdiction of its incorporation, in connection with the transactions contemplated by, and the performance of its obligations under the Securities Purchase Agreement, the Note, and the Buyer Warrant; and (iv) the Company has the corporate power and authority to execute, deliver and perform all its obligations under the Registration Statement, the Securities Purchase Agreement, the Note, and the Buyer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matter, we have examined the Registration Statement, including the exhibits thereto, and such other documents, corporate records, and instruments and have examined such laws and regulations as we have deemed necessary for purposes of rendering the opinions set forth herein.</w:t>
      </w:r>
    </w:p>
    <w:p>
      <w:pPr>
        <w:pStyle w:val="TextBody"/>
        <w:bidi w:val="0"/>
        <w:spacing w:before="0" w:after="0"/>
        <w:ind w:left="0" w:right="0" w:firstLine="720"/>
        <w:jc w:val="both"/>
        <w:rPr>
          <w:caps w:val="false"/>
          <w:smallCaps w:val="false"/>
        </w:rPr>
      </w:pPr>
      <w:r>
        <w:rPr>
          <w:caps w:val="false"/>
          <w:smallCaps w:val="false"/>
        </w:rPr>
        <w:t> </w:t>
      </w:r>
    </w:p>
    <w:tbl>
      <w:tblPr>
        <w:tblW w:w="8856" w:type="dxa"/>
        <w:jc w:val="left"/>
        <w:tblInd w:w="0" w:type="dxa"/>
        <w:tblLayout w:type="fixed"/>
        <w:tblCellMar>
          <w:top w:w="0" w:type="dxa"/>
          <w:left w:w="0" w:type="dxa"/>
          <w:bottom w:w="0" w:type="dxa"/>
          <w:right w:w="0" w:type="dxa"/>
        </w:tblCellMar>
      </w:tblPr>
      <w:tblGrid>
        <w:gridCol w:w="8856"/>
      </w:tblGrid>
      <w:tr>
        <w:trPr/>
        <w:tc>
          <w:tcPr>
            <w:tcW w:w="8856"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950 Third Avenue, 19</w:t>
            </w:r>
            <w:r>
              <w:rPr>
                <w:rFonts w:ascii="Times New Roman;Times;Serif" w:hAnsi="Times New Roman;Times;Serif"/>
                <w:b w:val="false"/>
                <w:i w:val="false"/>
                <w:caps w:val="false"/>
                <w:smallCaps w:val="false"/>
                <w:spacing w:val="4"/>
                <w:position w:val="7"/>
                <w:sz w:val="16"/>
                <w:sz w:val="20"/>
              </w:rPr>
              <w:t>th</w:t>
            </w:r>
            <w:r>
              <w:rPr>
                <w:rFonts w:ascii="Times New Roman;Times;Serif" w:hAnsi="Times New Roman;Times;Serif"/>
                <w:b w:val="false"/>
                <w:i w:val="false"/>
                <w:caps w:val="false"/>
                <w:smallCaps w:val="false"/>
                <w:spacing w:val="4"/>
                <w:sz w:val="20"/>
              </w:rPr>
              <w:t xml:space="preserve"> Floor, New York, New York 10022| Office: (212) 530-2210 | Fax: (212) 202-6380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57600" cy="1266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1"/>
                    <a:stretch>
                      <a:fillRect/>
                    </a:stretch>
                  </pic:blipFill>
                  <pic:spPr bwMode="auto">
                    <a:xfrm>
                      <a:off x="0" y="0"/>
                      <a:ext cx="3657600" cy="126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advised that we are members of the Bar of the State of New York. In rendering the opinions set forth below, our examination of matters of law has been limited to, and we express no opinion as to the laws of any state or jurisdiction other than, (i) the applicable laws of the State of New York, (ii)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as the same appear on the date hereof at http://www.delcode.state.de.us/ and (iii) the federal securities laws of the United States of America ((i), (ii) and (iii) together,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We express no opinion concerning any matters respecting or affected by any laws other than laws that a lawyer in New York exercising customary professional diligence would reasonably recognize as being directly applicable to the Company, the Securities Purchase Agreement, the Note, the Buyer Warrant, and the transactions contemplated thereby or any of them. Without limiting the generality of the foregoing, we express no opinion herein as to any body of law of the State of Delaware other than the DGCL. When any opinion is given herein with respect to an issue where any law other than the laws of the State of New York may apply, except to the extent the DGCL or U.S. federal law would apply, the opinion assumes that consideration of the laws of such jurisdiction would lead to the same result as consideration of the laws of the State of New York. For purposes of our opinions, we have assumed that the Securities Purchase Agreement and related documents are governed exclusively by the internal, substantive laws and judicial interpretations of the State of New York. We express no opinion as to any county, municipal, city, town or village ordinance, rule, regulation, or administrative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having regard to legal considerations which we deem relevant, and subject to the qualifications, limitations and assumptions set forth herein, we are of the opinion that when the Registration Statement becomes effective under the Securities Act and when the Resale Shares are sold and transferred in accordance with the Registration Statement, the Resale Shares will have been duly authorized for issuance and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connection with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as it appears under the caption “Legal Matters” in the prospectus forming part of the Registration Statement. In giving such consent, we do not thereby admit that we come within the category of persons whose consent is required under Section 7 of the Securities Act or the rules and regulations of the U.S. Securities and Exchange Commission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3005" w:type="dxa"/>
        <w:jc w:val="left"/>
        <w:tblInd w:w="0" w:type="dxa"/>
        <w:tblLayout w:type="fixed"/>
        <w:tblCellMar>
          <w:top w:w="0" w:type="dxa"/>
          <w:left w:w="0" w:type="dxa"/>
          <w:bottom w:w="0" w:type="dxa"/>
          <w:right w:w="0" w:type="dxa"/>
        </w:tblCellMar>
      </w:tblPr>
      <w:tblGrid>
        <w:gridCol w:w="75"/>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Hunter Taubman Fischer &amp;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Hunter Taubman Fischer &amp; Li LLC</w:t>
            </w:r>
          </w:p>
        </w:tc>
      </w:tr>
    </w:tbl>
    <w:p>
      <w:pPr>
        <w:pStyle w:val="TextBody"/>
        <w:bidi w:val="0"/>
        <w:spacing w:before="0" w:after="0"/>
        <w:ind w:left="0" w:right="0" w:hanging="0"/>
        <w:jc w:val="left"/>
        <w:rPr>
          <w:caps w:val="false"/>
          <w:smallCaps w:val="false"/>
        </w:rPr>
      </w:pPr>
      <w:r>
        <w:rPr>
          <w:caps w:val="false"/>
          <w:smallCaps w:val="false"/>
        </w:rPr>
        <w:t> </w:t>
      </w:r>
    </w:p>
    <w:tbl>
      <w:tblPr>
        <w:tblW w:w="8856" w:type="dxa"/>
        <w:jc w:val="left"/>
        <w:tblInd w:w="0" w:type="dxa"/>
        <w:tblLayout w:type="fixed"/>
        <w:tblCellMar>
          <w:top w:w="0" w:type="dxa"/>
          <w:left w:w="0" w:type="dxa"/>
          <w:bottom w:w="0" w:type="dxa"/>
          <w:right w:w="0" w:type="dxa"/>
        </w:tblCellMar>
      </w:tblPr>
      <w:tblGrid>
        <w:gridCol w:w="8856"/>
      </w:tblGrid>
      <w:tr>
        <w:trPr/>
        <w:tc>
          <w:tcPr>
            <w:tcW w:w="8856"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950 Third Avenue, 19</w:t>
            </w:r>
            <w:r>
              <w:rPr>
                <w:rFonts w:ascii="Times New Roman;Times;Serif" w:hAnsi="Times New Roman;Times;Serif"/>
                <w:b w:val="false"/>
                <w:i w:val="false"/>
                <w:caps w:val="false"/>
                <w:smallCaps w:val="false"/>
                <w:spacing w:val="4"/>
                <w:position w:val="7"/>
                <w:sz w:val="16"/>
                <w:sz w:val="20"/>
              </w:rPr>
              <w:t>th</w:t>
            </w:r>
            <w:r>
              <w:rPr>
                <w:rFonts w:ascii="Times New Roman;Times;Serif" w:hAnsi="Times New Roman;Times;Serif"/>
                <w:b w:val="false"/>
                <w:i w:val="false"/>
                <w:caps w:val="false"/>
                <w:smallCaps w:val="false"/>
                <w:spacing w:val="4"/>
                <w:sz w:val="20"/>
              </w:rPr>
              <w:t xml:space="preserve"> Floor, New York, New York 10022| Office: (212) 530-2210 | Fax: (212) 202-6380</w:t>
            </w:r>
          </w:p>
        </w:tc>
      </w:tr>
    </w:tbl>
    <w:p>
      <w:pPr>
        <w:pStyle w:val="TextBody"/>
        <w:bidi w:val="0"/>
        <w:spacing w:before="0" w:after="0"/>
        <w:ind w:left="0" w:right="0" w:hanging="0"/>
        <w:jc w:val="center"/>
        <w:rPr>
          <w:caps w:val="false"/>
          <w:smallCaps w:val="false"/>
        </w:rPr>
      </w:pPr>
      <w:bookmarkStart w:id="3265" w:name="ex23-1.htm"/>
      <w:bookmarkStart w:id="3266" w:name="ksex231"/>
      <w:bookmarkEnd w:id="3265"/>
      <w:bookmarkEnd w:id="326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our report dated April 15, 2025, except for Note 1 as to which the data is September 12, 2025, relating to the financial statements of Banzai International, Inc. for the year ended December 31, 2024, before the effects of the retrospective adjustments related to the 1-for-20 reverse stock split of Banzai International, Inc.’s Class A and Class B common stock, effective May 8, 2026, as disclosed in Note 1 to the financial statements, appearing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267" w:name="ex23-2.htm"/>
      <w:bookmarkStart w:id="3268" w:name="ksex232"/>
      <w:bookmarkEnd w:id="3267"/>
      <w:bookmarkEnd w:id="326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095875" cy="1038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2"/>
                    <a:stretch>
                      <a:fillRect/>
                    </a:stretch>
                  </pic:blipFill>
                  <pic:spPr bwMode="auto">
                    <a:xfrm>
                      <a:off x="0" y="0"/>
                      <a:ext cx="5095875" cy="1038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the Registration Statement on Form S-1 (Amended) of Banzai International, Inc. (the “Registrant”) of our audit report dated March 31, 2026, except for Note 1 (stock split adjustment), as to which the date is June 4, 2026 relating to the consolidated financial statements of Banzai International, Inc. as of December 31, 2025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inclusion of the split-adjusted per-share data (including earnings per share, common shares outstanding, and other per-share amounts) for the years ended December 31, 2025 and December 31, 2024, which has been retrospectively adjusted to give effect to the 1-for-20 reverse stock split of the Registrant’s Class A and Class B common stock effective May 8, 2026. With respect to the December 31, 2024 split-adjusted per-share data included in the Registration Statement, we consent to our name being referenced in connection with the retrospective split-adjustment calculation applied to the per-share amounts for the year ended December 31, 2024, as presented in the financial statements included in the Registration Statement. We do not assume responsibility for the underlying financial statements for the year ended December 31, 2024 or the audit opinion thereon expressed by the predecessor auditors, and our consent is limited solely to the reverse stock split adjustment impact on the per-share data for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 (PCAOB 6797)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 S Eastern Ave., Suite 280, Las Vegas, NV 89123 ● 702.703.5979 ● www.bushandassociatescpas.com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3269" w:name="ex23-3.htm"/>
      <w:bookmarkStart w:id="3270" w:name="ksex233"/>
      <w:bookmarkEnd w:id="3269"/>
      <w:bookmarkEnd w:id="327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Pre-Effective Amendment No. 1 to the Registration Statement (No. 333-296516) on Form S-1 of Banzai International, Inc. of our report dated May 18, 2026, relating to the financial statements of ConnectAndSell, Inc., appearing in the Prospectus, which is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/s/SingerLewak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71" w:name="ex107.htm"/>
      <w:bookmarkStart w:id="3272" w:name="ksex107"/>
      <w:bookmarkStart w:id="3273" w:name="ex107.htm"/>
      <w:bookmarkStart w:id="3274" w:name="ksex107"/>
      <w:bookmarkEnd w:id="3273"/>
      <w:bookmarkEnd w:id="3274"/>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Banzai International,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26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Shares of Common Stock underlying Buyer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225,222 </w:t>
            </w:r>
          </w:p>
        </w:tc>
        <w:tc>
          <w:tcPr>
            <w:tcW w:w="1156" w:type="dxa"/>
            <w:tcBorders/>
            <w:shd w:fill="E7E7E2" w:val="clear"/>
            <w:vAlign w:val="center"/>
          </w:tcPr>
          <w:p>
            <w:pPr>
              <w:pStyle w:val="TableContents"/>
              <w:bidi w:val="0"/>
              <w:spacing w:before="0" w:after="283"/>
              <w:jc w:val="right"/>
              <w:rPr/>
            </w:pPr>
            <w:r>
              <w:rPr/>
              <w:t xml:space="preserve">$ 3.303 </w:t>
            </w:r>
          </w:p>
        </w:tc>
        <w:tc>
          <w:tcPr>
            <w:tcW w:w="1666" w:type="dxa"/>
            <w:tcBorders/>
            <w:shd w:fill="E7E7E2" w:val="clear"/>
            <w:vAlign w:val="center"/>
          </w:tcPr>
          <w:p>
            <w:pPr>
              <w:pStyle w:val="TableContents"/>
              <w:bidi w:val="0"/>
              <w:spacing w:before="0" w:after="283"/>
              <w:jc w:val="right"/>
              <w:rPr/>
            </w:pPr>
            <w:r>
              <w:rPr/>
              <w:t xml:space="preserve">$ 743,908.27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$ 102.73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Shares of Common Stock, par value $0.0001 per share ("Common Stock") underlying the Notes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2,309,107 </w:t>
            </w:r>
          </w:p>
        </w:tc>
        <w:tc>
          <w:tcPr>
            <w:tcW w:w="1156" w:type="dxa"/>
            <w:tcBorders/>
            <w:shd w:fill="E7E7E2" w:val="clear"/>
            <w:vAlign w:val="center"/>
          </w:tcPr>
          <w:p>
            <w:pPr>
              <w:pStyle w:val="TableContents"/>
              <w:bidi w:val="0"/>
              <w:spacing w:before="0" w:after="283"/>
              <w:jc w:val="right"/>
              <w:rPr/>
            </w:pPr>
            <w:r>
              <w:rPr/>
              <w:t xml:space="preserve">$ 3.303 </w:t>
            </w:r>
          </w:p>
        </w:tc>
        <w:tc>
          <w:tcPr>
            <w:tcW w:w="1666" w:type="dxa"/>
            <w:tcBorders/>
            <w:shd w:fill="E7E7E2" w:val="clear"/>
            <w:vAlign w:val="center"/>
          </w:tcPr>
          <w:p>
            <w:pPr>
              <w:pStyle w:val="TableContents"/>
              <w:bidi w:val="0"/>
              <w:spacing w:before="0" w:after="283"/>
              <w:jc w:val="right"/>
              <w:rPr/>
            </w:pPr>
            <w:r>
              <w:rPr/>
              <w:t xml:space="preserve">$ 7,626,980.42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$ 1,053.29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Shares of Common Stock underlying Buyer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1,422,639 </w:t>
            </w:r>
          </w:p>
        </w:tc>
        <w:tc>
          <w:tcPr>
            <w:tcW w:w="1156" w:type="dxa"/>
            <w:tcBorders/>
            <w:shd w:fill="E7E7E2" w:val="clear"/>
            <w:vAlign w:val="center"/>
          </w:tcPr>
          <w:p>
            <w:pPr>
              <w:pStyle w:val="TableContents"/>
              <w:bidi w:val="0"/>
              <w:spacing w:before="0" w:after="283"/>
              <w:jc w:val="right"/>
              <w:rPr/>
            </w:pPr>
            <w:r>
              <w:rPr/>
              <w:t xml:space="preserve">$ 3.303 </w:t>
            </w:r>
          </w:p>
        </w:tc>
        <w:tc>
          <w:tcPr>
            <w:tcW w:w="1666" w:type="dxa"/>
            <w:tcBorders/>
            <w:shd w:fill="E7E7E2" w:val="clear"/>
            <w:vAlign w:val="center"/>
          </w:tcPr>
          <w:p>
            <w:pPr>
              <w:pStyle w:val="TableContents"/>
              <w:bidi w:val="0"/>
              <w:spacing w:before="0" w:after="283"/>
              <w:jc w:val="right"/>
              <w:rPr/>
            </w:pPr>
            <w:r>
              <w:rPr/>
              <w:t xml:space="preserve">$ 4,698,976.62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$ 648.93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275" w:name="MaxAggtOfferingPrice"/>
            <w:bookmarkEnd w:id="3275"/>
            <w:r>
              <w:rPr/>
              <w:t xml:space="preserve">$ 13,069,865.31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76" w:name="TotalFeeAmt"/>
            <w:bookmarkEnd w:id="3276"/>
            <w:r>
              <w:rPr/>
              <w:t xml:space="preserve">$ 1,804.95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77" w:name="TotalPreviouslyPaidAmt"/>
            <w:bookmarkEnd w:id="3277"/>
            <w:r>
              <w:rPr/>
              <w:t xml:space="preserve">$ 1,702.22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78" w:name="TotalOffsetAmt"/>
            <w:bookmarkEnd w:id="327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79" w:name="NetFeeAmt"/>
            <w:bookmarkEnd w:id="3279"/>
            <w:r>
              <w:rPr/>
              <w:t xml:space="preserve">$ 102.73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6"/>
        <w:gridCol w:w="8706"/>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Banzai International,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Calculated in accordance with Rule 457(g) under the Securities Act, based on the exercise price of the Buyer Warrants, which equals $3.303 per share.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Banzai International,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Calculated in accordance with Rule 457(g) under the Securities Act, based on the conversion price of the Notes, which equals $3.303 per share.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2"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Banzai International,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Calculated in accordance with Rule 457(g) under the Securities Act, based on the exercise price of the Buyer Warrants, which equals $3.303 per share.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6011/000149315226027350/forms-1.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1.jpeg"/><Relationship Id="rId8" Type="http://schemas.openxmlformats.org/officeDocument/2006/relationships/hyperlink" Target="https://www.sec.gov/Archives/edgar/data/1826011/000149315225012412/ex1-1.htm" TargetMode="External"/><Relationship Id="rId9" Type="http://schemas.openxmlformats.org/officeDocument/2006/relationships/hyperlink" Target="https://www.sec.gov/Archives/edgar/data/1826011/000119312526297663/bnzi-ex2_1.htm" TargetMode="External"/><Relationship Id="rId10" Type="http://schemas.openxmlformats.org/officeDocument/2006/relationships/hyperlink" Target="https://www.sec.gov/Archives/edgar/data/1826011/000119312523300033/d449527dex31.htm" TargetMode="External"/><Relationship Id="rId11" Type="http://schemas.openxmlformats.org/officeDocument/2006/relationships/hyperlink" Target="https://www.sec.gov/Archives/edgar/data/1826011/000119312523300033/d449527dex32.htm" TargetMode="External"/><Relationship Id="rId12" Type="http://schemas.openxmlformats.org/officeDocument/2006/relationships/hyperlink" Target="https://www.sec.gov/Archives/edgar/data/1826011/000149315225009079/ex3-2.htm" TargetMode="External"/><Relationship Id="rId13" Type="http://schemas.openxmlformats.org/officeDocument/2006/relationships/hyperlink" Target="https://www.sec.gov/Archives/edgar/data/1826011/000149315224036413/ex3-1.htm" TargetMode="External"/><Relationship Id="rId14" Type="http://schemas.openxmlformats.org/officeDocument/2006/relationships/hyperlink" Target="https://www.sec.gov/Archives/edgar/data/1826011/000149315225028196/ex3-1.htm" TargetMode="External"/><Relationship Id="rId15" Type="http://schemas.openxmlformats.org/officeDocument/2006/relationships/hyperlink" Target="https://www.sec.gov/Archives/edgar/data/1826011/000149315225009079/ex3-1.htm" TargetMode="External"/><Relationship Id="rId16" Type="http://schemas.openxmlformats.org/officeDocument/2006/relationships/hyperlink" Target="https://www.sec.gov/Archives/edgar/data/1826011/000119312523300033/d449527dex41.htm" TargetMode="External"/><Relationship Id="rId17" Type="http://schemas.openxmlformats.org/officeDocument/2006/relationships/hyperlink" Target="https://www.sec.gov/Archives/edgar/data/1826011/000119312523300033/d449527dex42.htm" TargetMode="External"/><Relationship Id="rId18" Type="http://schemas.openxmlformats.org/officeDocument/2006/relationships/hyperlink" Target="https://www.sec.gov/Archives/edgar/data/1826011/000119312523300033/d449527dex43.htm" TargetMode="External"/><Relationship Id="rId19" Type="http://schemas.openxmlformats.org/officeDocument/2006/relationships/hyperlink" Target="https://www.sec.gov/Archives/edgar/data/1826011/000121390020044825/ea132294ex4-1_7gcholdings.htm" TargetMode="External"/><Relationship Id="rId20" Type="http://schemas.openxmlformats.org/officeDocument/2006/relationships/hyperlink" Target="https://www.sec.gov/Archives/edgar/data/1826011/000119312523225201/d441541dex47.htm" TargetMode="External"/><Relationship Id="rId21" Type="http://schemas.openxmlformats.org/officeDocument/2006/relationships/hyperlink" Target="https://www.sec.gov/Archives/edgar/data/1826011/000119312523300033/d449527dex45.htm" TargetMode="External"/><Relationship Id="rId22" Type="http://schemas.openxmlformats.org/officeDocument/2006/relationships/hyperlink" Target="https://www.sec.gov/Archives/edgar/data/1826011/000119312523300033/d449527dex47.htm" TargetMode="External"/><Relationship Id="rId23" Type="http://schemas.openxmlformats.org/officeDocument/2006/relationships/hyperlink" Target="https://www.sec.gov/Archives/edgar/data/1826011/000119312523297160/d564833dex102.htm" TargetMode="External"/><Relationship Id="rId24" Type="http://schemas.openxmlformats.org/officeDocument/2006/relationships/hyperlink" Target="https://www.sec.gov/Archives/edgar/data/1826011/000119312524023808/d567008dex411.htm" TargetMode="External"/><Relationship Id="rId25" Type="http://schemas.openxmlformats.org/officeDocument/2006/relationships/hyperlink" Target="https://www.sec.gov/Archives/edgar/data/1826011/000095017024039543/bnzi-ex4_10.htm" TargetMode="External"/><Relationship Id="rId26" Type="http://schemas.openxmlformats.org/officeDocument/2006/relationships/hyperlink" Target="https://www.sec.gov/Archives/edgar/data/1826011/000119312524139915/d842344dex992.htm" TargetMode="External"/><Relationship Id="rId27" Type="http://schemas.openxmlformats.org/officeDocument/2006/relationships/hyperlink" Target="https://www.sec.gov/Archives/edgar/data/1826011/000119312524148209/d647173dex991.htm" TargetMode="External"/><Relationship Id="rId28" Type="http://schemas.openxmlformats.org/officeDocument/2006/relationships/hyperlink" Target="https://www.sec.gov/Archives/edgar/data/1826011/000149315224038146/ex4-1.htm" TargetMode="External"/><Relationship Id="rId29" Type="http://schemas.openxmlformats.org/officeDocument/2006/relationships/hyperlink" Target="https://www.sec.gov/Archives/edgar/data/1826011/000119312524148209/d647173dex103.htm" TargetMode="External"/><Relationship Id="rId30" Type="http://schemas.openxmlformats.org/officeDocument/2006/relationships/hyperlink" Target="https://www.sec.gov/Archives/edgar/data/1826011/000149315224038146/ex10-27.htm" TargetMode="External"/><Relationship Id="rId31" Type="http://schemas.openxmlformats.org/officeDocument/2006/relationships/hyperlink" Target="https://www.sec.gov/Archives/edgar/data/1826011/000149315224038146/ex10-26.htm" TargetMode="External"/><Relationship Id="rId32" Type="http://schemas.openxmlformats.org/officeDocument/2006/relationships/hyperlink" Target="https://www.sec.gov/Archives/edgar/data/1826011/000149315224037198/ex4-21.htm" TargetMode="External"/><Relationship Id="rId33" Type="http://schemas.openxmlformats.org/officeDocument/2006/relationships/hyperlink" Target="https://www.sec.gov/Archives/edgar/data/1826011/000149315224037198/ex4-22.htm" TargetMode="External"/><Relationship Id="rId34" Type="http://schemas.openxmlformats.org/officeDocument/2006/relationships/hyperlink" Target="https://www.sec.gov/Archives/edgar/data/1826011/000149315224037198/ex4-23.htm" TargetMode="External"/><Relationship Id="rId35" Type="http://schemas.openxmlformats.org/officeDocument/2006/relationships/hyperlink" Target="https://www.sec.gov/Archives/edgar/data/1826011/000149315224037198/ex4-24.htm" TargetMode="External"/><Relationship Id="rId36" Type="http://schemas.openxmlformats.org/officeDocument/2006/relationships/hyperlink" Target="https://www.sec.gov/Archives/edgar/data/1826011/000149315225011764/ex4-1.htm" TargetMode="External"/><Relationship Id="rId37" Type="http://schemas.openxmlformats.org/officeDocument/2006/relationships/hyperlink" Target="https://www.sec.gov/Archives/edgar/data/1826011/000164117225017861/ex4-2.htm" TargetMode="External"/><Relationship Id="rId38" Type="http://schemas.openxmlformats.org/officeDocument/2006/relationships/hyperlink" Target="https://www.sec.gov/Archives/edgar/data/1826011/000164117225017861/ex4-1.htm" TargetMode="External"/><Relationship Id="rId39" Type="http://schemas.openxmlformats.org/officeDocument/2006/relationships/hyperlink" Target="https://www.sec.gov/Archives/edgar/data/1826011/000164117225017861/ex4-2.htm" TargetMode="External"/><Relationship Id="rId40" Type="http://schemas.openxmlformats.org/officeDocument/2006/relationships/hyperlink" Target="https://www.sec.gov/Archives/edgar/data/1826011/000119312524148209/d647173dex104.htm" TargetMode="External"/><Relationship Id="rId41" Type="http://schemas.openxmlformats.org/officeDocument/2006/relationships/hyperlink" Target="https://www.sec.gov/Archives/edgar/data/1826011/000119312526187087/bnzi-ex3_1.htm" TargetMode="External"/><Relationship Id="rId42" Type="http://schemas.openxmlformats.org/officeDocument/2006/relationships/hyperlink" Target="https://www.sec.gov/Archives/edgar/data/1826011/000119312526297663/bnzi-ex4_1.htm" TargetMode="External"/><Relationship Id="rId43" Type="http://schemas.openxmlformats.org/officeDocument/2006/relationships/hyperlink" Target="https://www.sec.gov/Archives/edgar/data/1826011/000119312526297663/bnzi-ex4_2.htm" TargetMode="External"/><Relationship Id="rId44" Type="http://schemas.openxmlformats.org/officeDocument/2006/relationships/hyperlink" Target="https://www.sec.gov/Archives/edgar/data/1826011/000121390020044825/ea132294ex10-1_7gcholdings.htm" TargetMode="External"/><Relationship Id="rId45" Type="http://schemas.openxmlformats.org/officeDocument/2006/relationships/hyperlink" Target="https://www.sec.gov/Archives/edgar/data/1826011/000121390020044825/ea132294ex10-5_7gcholdings.htm" TargetMode="External"/><Relationship Id="rId46" Type="http://schemas.openxmlformats.org/officeDocument/2006/relationships/hyperlink" Target="https://www.sec.gov/Archives/edgar/data/1826011/000119312523300033/d449527dex106.htm" TargetMode="External"/><Relationship Id="rId47" Type="http://schemas.openxmlformats.org/officeDocument/2006/relationships/hyperlink" Target="https://www.sec.gov/Archives/edgar/data/1826011/000119312524076619/d810637dex991.htm" TargetMode="External"/><Relationship Id="rId48" Type="http://schemas.openxmlformats.org/officeDocument/2006/relationships/hyperlink" Target="https://www.sec.gov/Archives/edgar/data/1826011/000119312524076619/d810637dex992.htm" TargetMode="External"/><Relationship Id="rId49" Type="http://schemas.openxmlformats.org/officeDocument/2006/relationships/hyperlink" Target="https://www.sec.gov/Archives/edgar/data/1826011/000119312523225201/d441541dex1016.htm" TargetMode="External"/><Relationship Id="rId50" Type="http://schemas.openxmlformats.org/officeDocument/2006/relationships/hyperlink" Target="https://www.sec.gov/Archives/edgar/data/1826011/000119312523225201/d441541dex1018.htm" TargetMode="External"/><Relationship Id="rId51" Type="http://schemas.openxmlformats.org/officeDocument/2006/relationships/hyperlink" Target="https://www.sec.gov/Archives/edgar/data/1826011/000119312523250809/d548057dex101.htm" TargetMode="External"/><Relationship Id="rId52" Type="http://schemas.openxmlformats.org/officeDocument/2006/relationships/hyperlink" Target="https://www.sec.gov/Archives/edgar/data/1826011/000119312523297160/d564833dex101.htm" TargetMode="External"/><Relationship Id="rId53" Type="http://schemas.openxmlformats.org/officeDocument/2006/relationships/hyperlink" Target="https://www.sec.gov/Archives/edgar/data/1826011/000119312523297160/d564833dex103.htm" TargetMode="External"/><Relationship Id="rId54" Type="http://schemas.openxmlformats.org/officeDocument/2006/relationships/hyperlink" Target="https://www.sec.gov/Archives/edgar/data/1826011/000119312523300033/d449527dex105.htm" TargetMode="External"/><Relationship Id="rId55" Type="http://schemas.openxmlformats.org/officeDocument/2006/relationships/hyperlink" Target="https://www.sec.gov/Archives/edgar/data/1826011/000119312523300033/d449527dex108.htm" TargetMode="External"/><Relationship Id="rId56" Type="http://schemas.openxmlformats.org/officeDocument/2006/relationships/hyperlink" Target="https://www.sec.gov/Archives/edgar/data/1826011/000119312524023808/d567008dex1026.htm" TargetMode="External"/><Relationship Id="rId57" Type="http://schemas.openxmlformats.org/officeDocument/2006/relationships/hyperlink" Target="https://www.sec.gov/Archives/edgar/data/1826011/000119312524023808/d567008dex1027.htm" TargetMode="External"/><Relationship Id="rId58" Type="http://schemas.openxmlformats.org/officeDocument/2006/relationships/hyperlink" Target="https://www.sec.gov/Archives/edgar/data/1826011/000119312524028341/d744391dex104.htm" TargetMode="External"/><Relationship Id="rId59" Type="http://schemas.openxmlformats.org/officeDocument/2006/relationships/hyperlink" Target="https://www.sec.gov/Archives/edgar/data/1826011/000119312524023808/d567008dex1029.htm" TargetMode="External"/><Relationship Id="rId60" Type="http://schemas.openxmlformats.org/officeDocument/2006/relationships/hyperlink" Target="https://www.sec.gov/Archives/edgar/data/1826011/000119312524023808/d567008dex1030.htm" TargetMode="External"/><Relationship Id="rId61" Type="http://schemas.openxmlformats.org/officeDocument/2006/relationships/hyperlink" Target="https://www.sec.gov/Archives/edgar/data/1826011/000149315224038146/ex10-6.htm" TargetMode="External"/><Relationship Id="rId62" Type="http://schemas.openxmlformats.org/officeDocument/2006/relationships/hyperlink" Target="https://www.sec.gov/Archives/edgar/data/1826011/000149315224038146/ex10-11.htm" TargetMode="External"/><Relationship Id="rId63" Type="http://schemas.openxmlformats.org/officeDocument/2006/relationships/hyperlink" Target="https://www.sec.gov/Archives/edgar/data/1826011/000149315224038146/ex10-16.htm" TargetMode="External"/><Relationship Id="rId64" Type="http://schemas.openxmlformats.org/officeDocument/2006/relationships/hyperlink" Target="https://www.sec.gov/Archives/edgar/data/1826011/000149315224038146/ex10-17.htm" TargetMode="External"/><Relationship Id="rId65" Type="http://schemas.openxmlformats.org/officeDocument/2006/relationships/hyperlink" Target="https://www.sec.gov/Archives/edgar/data/1826011/000149315224038146/ex10-19.htm" TargetMode="External"/><Relationship Id="rId66" Type="http://schemas.openxmlformats.org/officeDocument/2006/relationships/hyperlink" Target="https://www.sec.gov/Archives/edgar/data/1826011/000149315224038146/ex10-20.htm" TargetMode="External"/><Relationship Id="rId67" Type="http://schemas.openxmlformats.org/officeDocument/2006/relationships/hyperlink" Target="https://www.sec.gov/Archives/edgar/data/1826011/000149315224038146/ex10-25.htm" TargetMode="External"/><Relationship Id="rId68" Type="http://schemas.openxmlformats.org/officeDocument/2006/relationships/hyperlink" Target="https://www.sec.gov/Archives/edgar/data/1826011/000149315224038146/ex10-24.htm" TargetMode="External"/><Relationship Id="rId69" Type="http://schemas.openxmlformats.org/officeDocument/2006/relationships/hyperlink" Target="https://www.sec.gov/Archives/edgar/data/1826011/000149315224041316/forms-1.htm" TargetMode="External"/><Relationship Id="rId70" Type="http://schemas.openxmlformats.org/officeDocument/2006/relationships/hyperlink" Target="https://www.sec.gov/Archives/edgar/data/1826011/000149315224049374/ex10-1.htm" TargetMode="External"/><Relationship Id="rId71" Type="http://schemas.openxmlformats.org/officeDocument/2006/relationships/hyperlink" Target="https://www.sec.gov/Archives/edgar/data/1826011/000149315224049374/ex10-2.htm" TargetMode="External"/><Relationship Id="rId72" Type="http://schemas.openxmlformats.org/officeDocument/2006/relationships/hyperlink" Target="https://www.sec.gov/Archives/edgar/data/1826011/000149315224049374/ex10-3.htm" TargetMode="External"/><Relationship Id="rId73" Type="http://schemas.openxmlformats.org/officeDocument/2006/relationships/hyperlink" Target="https://www.sec.gov/Archives/edgar/data/1826011/000149315224050891/ex10-1.htm" TargetMode="External"/><Relationship Id="rId74" Type="http://schemas.openxmlformats.org/officeDocument/2006/relationships/hyperlink" Target="https://www.sec.gov/Archives/edgar/data/1826011/000149315224050891/ex10-2.htm" TargetMode="External"/><Relationship Id="rId75" Type="http://schemas.openxmlformats.org/officeDocument/2006/relationships/hyperlink" Target="https://www.sec.gov/Archives/edgar/data/1826011/000149315224050891/ex10-3.htm" TargetMode="External"/><Relationship Id="rId76" Type="http://schemas.openxmlformats.org/officeDocument/2006/relationships/hyperlink" Target="https://www.sec.gov/Archives/edgar/data/1826011/000149315225004502/ex10-3.htm" TargetMode="External"/><Relationship Id="rId77" Type="http://schemas.openxmlformats.org/officeDocument/2006/relationships/hyperlink" Target="https://www.sec.gov/Archives/edgar/data/1826011/000149315225004641/ex10-1.htm" TargetMode="External"/><Relationship Id="rId78" Type="http://schemas.openxmlformats.org/officeDocument/2006/relationships/hyperlink" Target="https://www.sec.gov/Archives/edgar/data/1826011/000149315225003319/ex10-1.htm" TargetMode="External"/><Relationship Id="rId79" Type="http://schemas.openxmlformats.org/officeDocument/2006/relationships/hyperlink" Target="https://www.sec.gov/Archives/edgar/data/1826011/000149315225003319/ex10-2.htm" TargetMode="External"/><Relationship Id="rId80" Type="http://schemas.openxmlformats.org/officeDocument/2006/relationships/hyperlink" Target="https://www.sec.gov/Archives/edgar/data/1826011/000149315225003319/ex10-4.htm" TargetMode="External"/><Relationship Id="rId81" Type="http://schemas.openxmlformats.org/officeDocument/2006/relationships/hyperlink" Target="https://www.sec.gov/Archives/edgar/data/1826011/000149315225003319/ex10-5.htm" TargetMode="External"/><Relationship Id="rId82" Type="http://schemas.openxmlformats.org/officeDocument/2006/relationships/hyperlink" Target="https://www.sec.gov/Archives/edgar/data/1826011/000164117225018464/ex10-1.htm" TargetMode="External"/><Relationship Id="rId83" Type="http://schemas.openxmlformats.org/officeDocument/2006/relationships/hyperlink" Target="https://www.sec.gov/Archives/edgar/data/1826011/000164117225017861/ex10-1.htm" TargetMode="External"/><Relationship Id="rId84" Type="http://schemas.openxmlformats.org/officeDocument/2006/relationships/hyperlink" Target="https://www.sec.gov/Archives/edgar/data/1826011/000164117225017861/ex10-2.htm" TargetMode="External"/><Relationship Id="rId85" Type="http://schemas.openxmlformats.org/officeDocument/2006/relationships/hyperlink" Target="https://www.sec.gov/Archives/edgar/data/1826011/000164117225017861/ex10-3.htm" TargetMode="External"/><Relationship Id="rId86" Type="http://schemas.openxmlformats.org/officeDocument/2006/relationships/hyperlink" Target="https://www.sec.gov/Archives/edgar/data/1826011/000119312524148209/d647173dex101.htm" TargetMode="External"/><Relationship Id="rId87" Type="http://schemas.openxmlformats.org/officeDocument/2006/relationships/hyperlink" Target="https://www.sec.gov/Archives/edgar/data/1826011/000149315225028196/ex10-1.htm" TargetMode="External"/><Relationship Id="rId88" Type="http://schemas.openxmlformats.org/officeDocument/2006/relationships/hyperlink" Target="https://www.sec.gov/Archives/edgar/data/1826011/000149315225028196/ex10-2.htm" TargetMode="External"/><Relationship Id="rId89" Type="http://schemas.openxmlformats.org/officeDocument/2006/relationships/hyperlink" Target="https://www.sec.gov/Archives/edgar/data/1826011/000149315225018364/ex10-5.htm" TargetMode="External"/><Relationship Id="rId90" Type="http://schemas.openxmlformats.org/officeDocument/2006/relationships/hyperlink" Target="https://www.sec.gov/Archives/edgar/data/1826011/000149315225018364/ex10-6.htm" TargetMode="External"/><Relationship Id="rId91" Type="http://schemas.openxmlformats.org/officeDocument/2006/relationships/hyperlink" Target="https://www.sec.gov/Archives/edgar/data/1826011/000119312526206397/bnzi-ex10_3.htm" TargetMode="External"/><Relationship Id="rId92" Type="http://schemas.openxmlformats.org/officeDocument/2006/relationships/hyperlink" Target="https://www.sec.gov/Archives/edgar/data/1826011/000119312526227353/bnzi-ex10_7.htm" TargetMode="External"/><Relationship Id="rId93" Type="http://schemas.openxmlformats.org/officeDocument/2006/relationships/hyperlink" Target="https://www.sec.gov/Archives/edgar/data/1826011/000119312526297663/bnzi-ex10_1.htm" TargetMode="External"/><Relationship Id="rId94" Type="http://schemas.openxmlformats.org/officeDocument/2006/relationships/hyperlink" Target="https://www.sec.gov/Archives/edgar/data/1826011/000119312526297663/bnzi-ex10_2.htm" TargetMode="External"/><Relationship Id="rId95" Type="http://schemas.openxmlformats.org/officeDocument/2006/relationships/hyperlink" Target="https://www.sec.gov/Archives/edgar/data/1826011/000119312526297663/bnzi-ex10_3.htm" TargetMode="External"/><Relationship Id="rId96" Type="http://schemas.openxmlformats.org/officeDocument/2006/relationships/hyperlink" Target="https://www.sec.gov/Archives/edgar/data/1826011/000119312526297663/bnzi-ex10_4.htm" TargetMode="External"/><Relationship Id="rId97" Type="http://schemas.openxmlformats.org/officeDocument/2006/relationships/hyperlink" Target="https://www.sec.gov/Archives/edgar/data/1826011/000119312526297663/bnzi-ex10_5.htm" TargetMode="External"/><Relationship Id="rId98" Type="http://schemas.openxmlformats.org/officeDocument/2006/relationships/hyperlink" Target="https://www.sec.gov/Archives/edgar/data/1826011/000119312526297663/bnzi-ex10_6.htm" TargetMode="External"/><Relationship Id="rId99" Type="http://schemas.openxmlformats.org/officeDocument/2006/relationships/hyperlink" Target="https://www.sec.gov/Archives/edgar/data/1826011/000119312526134714/bnzi-ex21_1.htm" TargetMode="External"/><Relationship Id="rId100" Type="http://schemas.openxmlformats.org/officeDocument/2006/relationships/image" Target="media/image5.jpeg"/><Relationship Id="rId101" Type="http://schemas.openxmlformats.org/officeDocument/2006/relationships/image" Target="media/image5.jpeg"/><Relationship Id="rId102" Type="http://schemas.openxmlformats.org/officeDocument/2006/relationships/image" Target="media/image6.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180218</Words>
  <Characters>965355</Characters>
  <CharactersWithSpaces>1158408</CharactersWithSpaces>
  <Paragraphs>37930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