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3a.htm"/>
      <w:bookmarkStart w:id="1" w:name="ksforms3a"/>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U.S. Securities and Exchange Commission on August 6, 2025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333-288935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4"/>
        </w:rPr>
        <w:t>Washington, D.C. 20549</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Pre-Effective No. 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to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FORM S-3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b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BANZAI INTERNATIONAL, INC.</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85-3118980</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435 Ericksen Ave, Suite 250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Bainbridge Island, Washington 98110</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(206) 414-1777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Joseph Davy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435 Ericksen Ave, Suite 250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Bainbridge Island, Washington 98110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(206) 414-1777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Copies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Louis Taubman,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Hunter Taubman Fischer &amp; Li,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950 Third Avenue, 19th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212- 530-2206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such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These securities may not be sold until the registration statement filed with the U.S.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SUBJECT TO COMPLETION</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PRELIMINARY PROSPECTUS DATED August 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1,502,826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covers the resale by certain selling stockholders described herein (collectively, the “Selling Stockholders”) of up to an aggregate of 1,502,826 shares of Class A common stock, par value $0.0001 per share (the “Class A common stock”) of Banzai, International, Inc., a Delaware corporation (the “Resale Shares”), consisting of: (i) 93,056 shares of Class A common stock issued pursuant to that certain Agreement and Plan of Merger, dated as of December 10, 2024 (the “OR Merger Agreement”), by and among the Company, ClearDoc, Inc., a Delaware corporation doing business as OpenReel (“OpenReel”), certain stockholders of OpenReel (the “OpenReel Stockholders”) and Banzai Reel Acquisition, Inc.; (ii) 1,176,950 shares of Class A common stock issuable upon the exercise of Pre-Funded Warrants, with an exercise price of $0.0001 per share, that were issued to one of the OpenReel Stockholders pursuant to the OR Merger Agreement; (iii) 89,820 shares of Class A common stock issued pursuant to that certain Acquisition Agreement dated as of December 19, 2024, by and among the Company, Vidello Limited, a private limited company registered in England and Wales (“Vidello”), and certain shareholders of Vidello (the “Vidello Shareholders”); (iv) 130,000 shares issuable to Perkins Coie LLP (“Perkins”), pursuant to the Repayment Agreement we entered into with Perkins on September 9, 2024 and (v) 13,000 shares issuable to Houlihan Capital, LLC, pursuant to the Repayment Agreement we entered into with them on June 5,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sell, transfer, or otherwise dispose of any or all of their Class A common stock on any stock exchange, market, or trading facility on which the Class A common stock is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or other disposition of the Class A common stock by the Selling Stockholders, but we will bear all costs, fees, and expenses in connection with the registration of the Class A common stock offered by the Selling Stockholders. The Selling Stockholders will bear all commissions or discounts, if any, attributable to the sale of the Class A common stock offered for resale through this prospectus. For information regarding the Selling Stockholders and the times and manner in which they may offer or sell the Class A common stock, see “Selling Stockholders” and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on the Nasdaq Capital Market under the symbol “BNZI.” On August 4, 2025, the last reported sale price of our Class A common stock on Nasdaq was $3.79 per share. Our warrants, each exercisable for one share of Common Stock at a price of $5,750.00 per share, originally issued in our initial public offering (the “Public Warrants”), are currently listed on The Nasdaq Capital Market under the symbol “BNZIW.”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4, 2025, the aggregate market value of our Class A common stock held by non-affiliates was $10,432,706, based on 2,752,693 shares of outstanding Class A common stock held by non-affiliates and the closing price of $3.79 on August 4, 2025.</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that term is used in the Jumpstart Our Business Startups Act of 2012 (the “JOBS Act”) and, as such, have elected to comply with certain reduced public company reporting requirements for this prospectus and future filings. See “Prospectus Summary—Implications of Being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the section entitled “Risk Factors” beginning on page 8 of this prospectus for a discussion of the risks that you should consider in connection with an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nor any other regulatory body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August 6, 2025.</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Explanatory Note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filing this Pre-Effective Amendment No. 1 to the Registration Statement on Form S-3 originally filed with the U.S. Securities and Exchange Commission (the “SEC”) on July 24, 2025, to remove the financial statements included therein for ClearDoc, Inc., a Delaware corporation doing business as OpenReel (“OpenReel”), for the three month period ended March 31, 2025, as per a verbal comment from the SEC to do so since OpenReel is consolidated into Banzai’s financial statements for that same period.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4685"/>
        <w:gridCol w:w="455"/>
      </w:tblGrid>
      <w:tr>
        <w:trPr/>
        <w:tc>
          <w:tcPr>
            <w:tcW w:w="4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4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4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4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Determination of Offering Price</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Selling Stockholders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4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Where You Can Find Additional Information</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Incorporation of Documents by Reference</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we nor the Selling Stockholders have authorized any other person to provide you with different or additional information other than that contained in this prospectus. We and the Selling Stockholders take no responsibility for, and can provide no assurance as to the reliability of, any other information that others may provide. We and the Selling Stockholders are not making an offer to sell these securities in any jurisdiction where the offer or sale is not permitted. The information contained in this prospectus is accurate only as of the date of this prospectus or such other date stated in this prospectus, and our business, financial condition, results of operations, and/or prospects may have changed since those dates. You should also read this prospectus together with the additional information described under “Where You Can Find Additional Information” and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be supplemented from time to time to add, update, or change information in this prospectus. Any statement contained in this prospectus will be deemed to be modified or superseded for purposes of this prospectus to the extent that a statement contained in a prospectus supplement modifies or supersedes such statement. Any statement so modified will be deemed to constitute a part of this prospectus only as so modified, and any statement so superseded will be deemed not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the United States: we have not, and the Selling Stockholders have not, taken any action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covered hereby and the distribution of this prospectus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requires otherwise, references in this prospectus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caps w:val="false"/>
                <w:smallCaps w:val="false"/>
              </w:rPr>
            </w:pPr>
            <w:r>
              <w:rPr>
                <w:caps w:val="false"/>
                <w:smallCaps w:val="false"/>
              </w:rPr>
              <w:t>●</w:t>
            </w:r>
          </w:p>
        </w:tc>
        <w:tc>
          <w:tcPr>
            <w:tcW w:w="999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U.S. dollars,” “USD,” “$,” and “dollars” are to the legal currency of the United States; </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t>
            </w:r>
          </w:p>
        </w:tc>
        <w:tc>
          <w:tcPr>
            <w:tcW w:w="999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the Company,” “Banzai,” “we,” “us,” “our” and similar terms refer to Banzai International, Inc. (f/k/a 7GC &amp; Co. Holdings Inc.) and its consolidated subsidiaries (including Legacy Banzai); and </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w:t>
            </w:r>
          </w:p>
        </w:tc>
        <w:tc>
          <w:tcPr>
            <w:tcW w:w="999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7GC” refers to our predecessor company prior to the consummation of the Business Combination.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our SEC filings that are incorporated by reference into this prospectus contain or incorporate by reference forward-looking statements within the meaning of Section 27A of the Securities Act and Section 21E of the Securities Exchange Act of 1934, as amended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is qualified in its entirety by, and should be read in conjunction with, the more detailed information and financial statements included elsewhere in this prospectus or incorporated herein by reference. In addition to this summary, we urge you to read the entire prospectus carefully, especially the risks of investing in our securities, discussed under “Risk Factors,” before deciding whether to buy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otherwise indicated, all references to our common shares, share data, per share data and related information depict the effect of the 1-for-10 reverse stock split of the shares of the Company’s common stock, effective as of July 8, 2025 (the “July Reverse Stock Split”), as if it had occurred at the beginning of the earliest period presented. The July Reverse Stock Split combined each ten shares of our outstanding common shares into one common share, without any change in the par value per share, and the July Reverse Stock Split correspondingly adjusted, among other things, the number of common shares issuable upon exercise of outstanding options and warrants and the exercise price of such options and warrants and shares issuable upon conversion of convertible securities. No fractional shares were issued in connection with the July Reverse Stock Split, and any fractional shares resulting from the July Reverse Stock Split were rounded to the nearest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Company</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(f/k/a 7GC &amp; Co. Holdings Inc.) is a Software as a Service (“SaaS”) company operating in the marketing technology (“MarTech”) industry. We provide our customers with tools to help them market and sell with greater efficiency and impact. To date, Banzai has supported over 90,000 global customers, including entrepreneurs and Fortune 500 companies. Our customers include Amazon, Dell, Salesforce, Aflac, Thermo Fisher Scientific, and many other globally recognized brands.</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to build a suite of mission-critical solutions that address a broad spectrum of customer needs. By integrating these tools, we aim to create efficiencies and unlock shared data and assets that power more advanced AI capabilities. Between the first quarter of 2024 and the first quarter of 2025, Banzai has acquired two companies, ClearDoc, Inc. (d/b/a OpenReel) and Vidello, Ltd. Our platform currently includes several products, ranging across demand generation, webinar hosting, video creation and email newsletters.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most of our products using a recurring subscription license model typical in SaaS businesses, with customer contracts that vary in term length from single months to multiple years. As of December 31, 2024, our customer base included over 3,070 customers operating in over 90 countries, across numerous different industries, including healthcare, financial services, e-commerce, technology, media and others. No single customer represents more than 10% of our revenue.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incorporated in Delaware in September 2020 as a blank check company formed for the purpose of effecting a merger, share exchange, asset acquisition, stock purchase, reorganization or similar business combination with one or more businesses or entities. Upon closing our initial business combination on December 14, 2023 (the “Business Combination”) pursuant to that certain Agreement and Plan of Merger and Reorganization, dated as of December 8, 2022, with Banzai Operating Co LLC (f/k/a Banzai International, Inc.) (“Legacy Banzai”), 7GC Merger Sub I, Inc. (“First Merger Sub”), and 7GC Merger Sub II, LLC (“Second Merger Sub”) (as amended by the Amendment to Agreement and Plan of Merger, dated as of August 4, 2023, the “Merger Agreement”), we acquired Legacy Banzai. Legacy Banzai operates under the name “Banzai Operating Co Inc.” (the “Operating Company”) and is one of our two wholly owned subsidiaries. Legacy Banzai was incorporated in Delaware in September 2015. Our business operations are currently conducted by the Operating Company and two of our subsidiaries, OpenReel and Vidello.</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holders of our Common Stock and Public Warrants are governed by our second amended and restated certificate of incorporation, as amended (the “Charter”), our second amended and restated bylaws (the “Bylaws”) and the Delaware General Corporation Law (the “DGCL”), and, in the case of the Public Warrants, the Warrant Agreement, dated December 22, 2020 (the “Warrant Agreement”), between 7GC and the Continental Stock Transfer &amp; Trust Company, as the warrant agent.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Corporate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7GC &amp; Co. Holdings Inc. On December 14, 2023, 7GC consummated the Business Combination with Legacy Banzai pursuant to the Merger Agreement. In connection with the Closing of the Business Combination, 7GC changed its name to Banzai International, Inc. Legacy Banzai was deemed to be the accounting acquirer in the transactions based on an analysis of the criteria outlined in Accounting Standards Codification 805. While 7GC was the legal acquirer in the transactions, because Legacy Banzai was deemed the accounting acquirer, the historical financial statements of Legacy Banzai became the historical financial statements of the combined company upon the consummation of the transactions.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Open Reel Merger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(the “OR Closing Date”), we closed a merger (the “OR Merger”, the consummation of the Merger, the “OR Closing”) with ClearDoc, Inc., a Delaware corporation doing business as OpenReel (“OpenReel”), pursuant to an Agreement and Plan of Merger (the “OR Merger Agreement”), dated December 10, 2024, by and among the Company, OpenReel, certain stockholders of OpenReel (the “OpenReel Stockholders”), and Banzai Reel Acquisition, Inc., a Delaware corporation and wholly owned subsidiary of Banzai (“OR Merger Sub”) that was formed solely for purposes of consummating the OR Merger. Upon the OR Closing, OR Merger Sub merged with and into OpenReel, with OpenReel being the surviving entity thereafter as our direct and wholly owned subsidiary named “OpenReel, Inc.”</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OpenReel is a leading enterprise video creation and management solution that empowers companies to create high-quality content at scale and on brand. OpenReel enables businesses of all sizes to cut down on the time-and resource-intensive process of video creation and scale content creation initiatives efficiently, effectively, and securely. OpenReel is trusted by a wide range of customers from small businesses to the Fortune 500. OpenReel is based in New York, with its team distributed worldwide. OpenReel’s enterprise customer base includes global organizations, such as Bristol Myers Squibb, Ingram Micro, DXC Technology, Insider Inc., and US Steel.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OR Merger, each share of capital stock of OpenReel issued and outstanding immediately prior to the effective time was converted into the right to receive (i) shares of Class A common stock and/or (ii) in lieu of Common Stock, pre-funded warrants, each exercisable for one (1) share of Common Stock at an exercise price of US$0.0001 (the “Pre-Funded Warrants”). We issued such shares of Common Stock and Pre-Funded Warrants (the “OR Merger Consideration”) in a total amount equal to the quotient of $19,600,000 divided by the Conversion Price (as defined in the OR Merger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 Merger Consideration consisted of an aggregate of 93,056 shares of Common Stock and 1,176,950 Pre-Funded Warrants. The shares of Common Stock and Pre-Funded Warrants issued by Banzai to the OpenReel Stockholders pursuant to the OR Merger Agreement were issued in reliance upon the exemption from registration provided by Section 4(a)(2) of the Securities Act of 1933, as amended (the “Securities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to closing under the OR Merger Agreement, on the OR Closing Date, we executed and delivered to each OpenReel Stockholder a registration rights agreement (the “OR Registration Rights Agreement”), pursuant to which, among other things, Banzai agreed to register for resale, following the OR Closing, the shares of Common Stock that were issued as OR Merger Consideration and the shares of Common Stock issuable upon the exercise of the Pre-Funded Warrants. We are filing this registration statement in part to comply with our obligations under the OR Registration Rights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to closing under the OR Merger Agreement, on the OR Closing Date, the Company issued one (1) share of Series FE preferred stock, par value US$0.0001 per share (the “Series FE Preferred Stock”), to one of the OpenReel Stockholders, FE IV OR Aggregator, LLC.</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the OR Closing, the previous directors and officers of OpenReel resigned. Effective upon the OR Closing, Joseph P. Davy was appointed as the sole director and President, and Alvin Yip was appointed as Secretary and Treasurer, of OpenReel, Inc., the surviving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closed on the Vidello Limited acquisition, a private limited company registered in England and Wales for approximately $2.7 million in cash ($2,500,000 are withheld for indemnification expenses and other holdback provisions in accordance with the Acquisition Agreement) and 89,820 shares of Class A common stock, pursuant to an Acquisition Agreement (the “Vidello Acquisition Agreement”), dated December 19, 2024, by and among the Company, Vidello, and certain shareholders of Vidello (the “Vidello Shareholders”). Vidello Shareholders transferred all the outstanding shares of Vidello to the Company, therefore, Vidello became a direct and wholly owned subsidiary of the Company (the “Vidello Acquisition”). The share consideration to the Vidello Shareholders pursuant to the Vidello Acquisition Agreement were issued in reliance upon the exemption from registration provided by Regulation D as promulgated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Vidello provides a suite of products for 3D video creation, royalty free music, and video marketing, with over $6.5 million in TTM revenue, $2 million in TTM EBITDA, while expected to reduce the combined company in operating losses to approximately $1.3 million per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the Vidello Acquisition, each of the Vidello Shareholders entered into a lock-up agreement, pursuant to which, among other things, the Vidello Shareholders agreed, with respect to the shares of Class A common stock and any other securities convertible or exercisable into the shares of Class A common stock beneficially owned by them, during the 180-day period following the closing of the Vidello Acquisition, not to complete certain transfers.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Vidello Acquisition Agreement, effective as of the related closing date, Mr. Davy shall be the sole member of the board of directors of Vidello effective upon closing, holding office in accordance with the organizational documents of Vidello, which will be a direct, wholly owned subsidiary of Banzai.</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details on our corporate history, please refer to “Part II—Item 7. </w:t>
      </w:r>
      <w:r>
        <w:rPr>
          <w:rFonts w:ascii="Times New Roman;Times;Serif" w:hAnsi="Times New Roman;Times;Serif"/>
          <w:b w:val="false"/>
          <w:i w:val="false"/>
          <w:caps w:val="false"/>
          <w:smallCaps w:val="false"/>
          <w:sz w:val="20"/>
          <w:shd w:fill="FFFFFF" w:val="clear"/>
        </w:rPr>
        <w:t>Management’s Discussion and Analysis of Financial Condition and Results of Operations</w:t>
      </w:r>
      <w:r>
        <w:rPr>
          <w:rFonts w:ascii="Times New Roman;Times;Serif" w:hAnsi="Times New Roman;Times;Serif"/>
          <w:b w:val="false"/>
          <w:i w:val="false"/>
          <w:caps w:val="false"/>
          <w:smallCaps w:val="false"/>
          <w:sz w:val="20"/>
        </w:rPr>
        <w:t>” in our Annual Report on Form 10-K, filed with the SEC on April 15, 2025 (the “2024 Annual Report”).</w:t>
      </w:r>
    </w:p>
    <w:p>
      <w:pPr>
        <w:pStyle w:val="TextBody"/>
        <w:shd w:fill="FFFFFF" w:val="clear"/>
        <w:bidi w:val="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Securities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consists of 350,000,000 shares, consisting of 250,000,000 shares of Class A common stock, 25,000,000 shares of Class B common stock, $0.0001 per share (the “Class B common stock”), 74,999,999 shares of Preferred Stock and 1 share of Series FE Preferred Stock. As of August 4, we have 2,942,956 shares of Class A common stock, 231,114 shares of Class B common stock, 0 shares of Preferred Stock and 1 share of Series FE Preferred Stock issued and outstanding, respectively. Holders of Class A common stock and Class B common stock have the same rights except for voting rights. In respect of matters requiring the votes of stockholders, each share of Class A common stock is entitled to one vote, and each share of Class B common stock is entitled to 10 votes. Except with respect to an amendment, alteration or repeal of any provisions of the current Certificate of Incorporation or the related Certificate of Designation that materially and adversely affects the rights, preferences or voting power of the Series FE Preferred Stock or as otherwise required by law, the Series FE Preferred Stock vote separately as a class, the Series FE Preferred Stock does not have any voting rights and is not convertible; the Series FE Preferred Stock does however contain certain preemptive rights and some protective provisions, both of which are in effect until December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Pre-Funded Warrants provide that, absent shareholder approval, we cannot issue shares of Common Stock to any holder of a Pre-Funded Warrant upon the exercise thereof to the extent that the number of shares to be issued pursuant to such exercise, taken together with the number of shares issued pursuant to the OR Merger Agreement and the number of shares issued pursuant to the exercise of other Pre-Funded Warrants, would exceed 19.99% of number of shares of Class A common stock and Class B common stock issued and outstanding immediately prior to the closing of the OR Merger. Our shareholders approved issuing all of the shares of Class A common stock underlying the Pre-Funded Warrants at a special meeting of shareholders on February 28, 2025.</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securities listed below are also outstanding as of August 4, 2025. </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75"/>
        <w:gridCol w:w="170"/>
        <w:gridCol w:w="8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23,000 shares issuable upon exercise of outstanding Public Warrants with an exercise price of $5,750.00;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1,657 shares issuable upon exercise of the GEM Warrant with an exercise price of $3,245.00 per share, which will be adjusted downward to 105% of the per share consideration received in this offering pursuant to anti-dilution price protections contained within those warrants (See “Description of Securities-Warrants-GEM Warrant”);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12,567 shares issuable upon exercise of outstanding stock options with a weighted average exercise price of $346.73 granted through August 4, 2025;</w:t>
            </w:r>
          </w:p>
        </w:tc>
      </w:tr>
    </w:tbl>
    <w:p>
      <w:pPr>
        <w:pStyle w:val="TextBody"/>
        <w:bidi w:val="0"/>
        <w:spacing w:before="0" w:after="0"/>
        <w:ind w:left="0" w:right="0" w:hanging="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75"/>
        <w:gridCol w:w="170"/>
        <w:gridCol w:w="87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201,291 shares issuable upon vesting of outstanding restricted stock units granted through August 4,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222,367 shares issuable upon conversion of Senior Convertible Notes with an exercise price of $38.90; </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9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231,114 shares issuable upon conversion of outstanding shares of Class B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27,778 shares issuable upon exercise of outstanding Common Stock Purchase Warrants with an exercise price of $90.00;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1,667 shares issuable upon exercise of Placement Agent Warrants issued pursuant to the “best efforts” public offering the Company completed in May 2024 with an exercise price of $100,00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189,689 shares are issuable upon exercise of the Alco / CPBF Common stock Warrant with an exercise price of $38.90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117,647 shares issuable upon exercise of outstanding Common Stock Purchase Warrants that were issued on November 6, 2024, with an exercise price of $25.00;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117,647 shares issuable upon exercise of outstanding Class B Common Stock Purchase Warrants that were issued on November 6, 2024, with an exercise price of $25.00;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8,824 shares issuable upon exercise of Placement Agent Warrants issued pursuant to the “PIPE” with an exercise price of $53.13;</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June Private Financing </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(the “Buyer”) for the issuance and sale in a private placement (the “Offering”) of senior secured convertible notes of the Company, in the aggregate original principal amount of $11,000,000 (the “Notes”) which Notes shall be convertible into shares of common stock, par value $0.0001, of the Company (the “Common Stock”) (the shares of Common Stock issuable pursuant to the terms of the Notes, including, without limitation, upon conversion or otherwise, collectively, the “Conversion Shares”), in accordance with the terms of the Notes. The Buyer is purchasing (i) a Note in the aggregate original principal amount of $11,000,000 and (ii) a warrant to initially acquire up to 67,124 shares of Common Stock (the “Buyer Warrants”) (as exercised, collectively, the “Warrant Shares”). 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“Warrants”). The Offering closed on June 30, 2025 (the “Closing Date”). Capitalized terms used but not otherwise defined herein shall have the meanings assigned to such terms in the Purchase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issued with an original issue discount of 10.0% (the “OID”) and accrue interest at a rate of 10.0% per annum. The Notes mature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Note is subject to a floor price of $1.10.</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 Event of Default (as defined in the Notes) has occurred under the Notes,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$183,333.33 towards the principal balance of the Notes plus any then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also agreed to enter into Leak-Out Agreement governing the sale of Company shares until the earlier to occur of (i) such date as the Buyer no longer holds any Notes, (ii) the date of any Redemption Notice (as defined in the Notes) of any Notes then outstanding, (iii) such date upon which any breach by the Company of any term of the Purchase Agreement occurs, regardless of whether such breach is subsequently cured and (iv) such date any Event of Default (as defined in the Notes) occurs, regardless of whether such Event of Default is subsequently cured (such period, the “Restricted Period”), with sale limitations tied to the Company’s daily trading volume, as detailed in the Leak-Out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Warrants are to purchase up to 67,124 shares of Common Stock, at an exercise price of $6.60 per share. The Buyer Warrants are exercisable immediately upon issuance and have a term of exercise equal to three years from the date of issuance.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Buyer Warrants may not exercise any portion of such holder’s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a Change of Control, holders of the Warrants will have the right to receive the Black Scholes Value of their Warrants calculated pursuant to a formula set forth in the Warrants, payable in cash.</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Company entered into a registration rights agreement (the “Rodman Registration Rights Agreement”), with the Buyer, pursuant to which the Company agreed to prepare and file a registration statement with the Securities and Exchange Commission (the “SEC”) registering the resale of the Conversion Shares, the Warrant Shares and the shares of Common Stock underlying the Financial Advisor Warrants, no later than thirty (30) days after the date of the Rodman Registration Rights Agreement and to use its best efforts to have the registration statement declared effective as promptly as practical thereafter, and in any event no later than sixty (60) days following the date of the Rodman Registration Rights Agreement (or ninety (90) days following the date of the Rodman Registration Rights Agreement in the event of a “full review” by the SEC).</w:t>
      </w:r>
    </w:p>
    <w:p>
      <w:pPr>
        <w:pStyle w:val="TextBody"/>
        <w:shd w:fill="FFFFFF" w:val="clear"/>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net proceeds to the Company from the Offering were approximately $1.725 million, after deducting financial advisory fees and estimated offering expenses payable by the Company. The Company intends to use the net proceeds received from the Offering for general corporate purposes and working capital.</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Rodman &amp; Renshaw LLC (“Rodman”) acted as the Company’s exclusive financial advisor in connection with the Offering, pursuant to that certain Letter Agreement, dated as of April 30, 2025, as amended, between the Company and Rodman. Pursuant to the Letter Agreement, the Company paid Rodman (i) a total cash fee equal to 7% of the aggregate gross proceeds of the Offering (inclusive of the gross proceeds to be received from the exercise of any Buyer Warrants), (ii) a management fee of 1.0% of the aggregate gross proceeds of the Offering (inclusive of the gross proceeds to be received from the exercise of any Buyer Warrants), and (iii) a non-accountable expense allowance of $75,000. In addition, the Company issued to Rodman or its designees the Financial Advisor Warrants to purchase up to an aggregate of 21,212 shares of Common Stock at an exercise price equal to $8.25 per share, which represents 125% of the Offering price. The Financial Advisor Warrants have substantially the same terms as the Buyer Warrants, are exercisable immediately upon issuance and have a term of exercise equal to five (5) years from the date of issuance.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not to issue any Notes (other than to the Buyers as contemplated hereby) without the prior written consent of the Required Holders (as defined in the Purchase Agreement), issue any other securities that would cause a breach or default under the Notes or the Warrants, or to file any other registration statement with the SEC (in each case, subject to certain exceptions) until after the effective date of the Registration Statement. The Company has also agreed not to effect any Variable Rate Transaction (as defined in the Purchase Agreement), other than a Permitted ATM (as defined in the Purchase Agreement) until the later of (x) the 180th calendar day after the Initial Closing Date (the “Additional Closing Expiration Date”) and (y) such date as no Notes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June 2025 Agile Promissory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we entered into a subordinated business loan and security agreement (the “June Loan Agreement”) with Agile Capital Funding, LLC (“Agile”), and Agile Lending, LLC, a Virginia limited liability company (“Lender”). Pursuant to the June Loan Agreement, the Company issued a subordinated secured promissory note (the “June Agile Note”) for an aggregate principal amount of $262,500.00 and received $250,000.00 of proceeds, net of administrative agent fees of $12,500.00 paid to Agile. The total repayment amount of the June Agile Note, including all interest, Lender fees, and third-party fees, assuming all payments are made on time, is $388,500. The June Agile Note has a maturity date of December 15, 2025, and maintains a total interest payment of $126,000, assuming all payments are made on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2025 Houlihan Capital Repayment Agreement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entered into a Repayment Agreement with Houlihan Capital, LLC (“Houlihan”), an entity that provided services to our predecessor company. Unfortunately, we owed Houlihan $107,500 for prior services rendered to our predecessor company. In satisfaction of the outstanding amount, Houlihan agreed to accept (i) $64,500, to be made in 3 equal installments, and (ii) a number of shares of our Class A common stock having a market value of $43,000, within 60 days of entering into the agreement (the “Houlihan Shares”). We also agreed to register the Houlihan Shares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2025 1800 Diagonal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2025, we entered into a Securities Purchase Agreement with 1800 Diagonal, in connection with the issuance of a convertible promissory note, in the aggregate principal amount of $163,300. The maturity date of the note is February 15, 2026. The note was issued with an approximately thirteen percent (13%) original issue discount and bears interest at an annual rate of twelve percent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shall repay the note in installments, beginning on June 15, 2025, and continuing on monthly through February 15, 2026 (each, an “Installment Date”) in an amount equal to the sum of (i) $91,448 of principal in respect to the first Installment Date, and (ii) $11,431 in respect of each following monthly Installment Date, respectively (or the outstanding principal if less than such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convertible into shares of Class A common stock at a conversion price equal to 75% of the Market Price (as defined within the agreement), but only on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2025 1800 Diagonal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we entered into a Securities Purchase Agreement with 1800 Diagonal, in connection with the issuance of a convertible promissory note, in the aggregate principal amount of $230,000. The maturity date of the note is February 15, 2026. The note was issued with an approximately thirteen percent (13%) original issue discount and bears interest at an annual rate of twelve percent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shall repay the note in installments, beginning on October 15, 2025, and continuing on November 15, 2025, December 15, 2025, January 15, 2026 and on February 15, 2026 (each, an “Installment Date”) in an amount equal to the sum of (i) $128,800 of principal in respect to the first Installment Date, and (ii) $32,200 in respect of the second, third, fourth and fifth Installment Dates (or the outstanding principal if less than such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convertible into shares of Class A common stock at a conversion price equal to 75% of the Market Price (as defined within the agreement), but only on an event of default.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March 2025 Agile Promissory Note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we entered into a subordinated business loan and security agreement (the “Loan Agreement”) with Agile and the Lender. Pursuant to the Loan Agreement, the Company issued a subordinated secured promissory note (the “March Agile Note”) for an aggregate principal amount of $4,000,000 and received $2,044,105 of proceeds, net of administrative agent fees of $200,000 paid to Agile, and net of payments to the Lender of $1,755,895 as early prepayment of the remaining outstanding balance of the subordinated secured promissory note the Company has with the Lender dated December 12, 2024. The March Agile Note has a maturity date of November 12, 2025, and interest accrues at the annual rate of 44%. Interest on the March Agile Note shall accrue commencing on the effective date pursuant to the March Agile Note Agreement’s weekly repayment and amortization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SEPA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April 1, 2025 and August 4, 2025, we drew down on our outstanding SEPA by selling an aggregate of 1,387,117 shares of Class A common stock to Yorkville for an aggregate total purchase price of approximately $8,409,899.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7GC, our predecessor company, was incorporated in the State of Delaware in September 2020 for the purpose of effecting a merger, capital stock exchange, asset acquisition, stock purchase, reorganization or similar business combination involving 7GC and one or more businesses. 7GC completed its IPO in December 2020. In December 2023, First Merger Sub merged with and into Legacy Banzai, and Legacy Banzai, as the Surviving Corporation, merged with and into Second Merger Sub, with Second Merger Sub being the surviving entity, which ultimately resulted in Legacy Banzai becoming a wholly-owned direct subsidiary of 7GC. In connection with the Mergers, 7GC changed its name to 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435 Ericksen Ave NE, Suite 250, Bainbridge Island, WA 98110. Our telephone number is (206) 414-1777. Our website address is www.banzai.io. The information on our corporate website is not part of, and is not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significant risks. You should carefully consider all of the information in this prospectus before making an investment in our securities. Below please find a summary of the principal risks we face, organized under relevant headings. These risks are discussed more fully in the section titled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Associated with 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Industry</w:t>
      </w:r>
    </w:p>
    <w:p>
      <w:pPr>
        <w:pStyle w:val="TextBody"/>
        <w:bidi w:val="0"/>
        <w:spacing w:before="0" w:after="0"/>
        <w:ind w:left="0" w:right="0" w:hanging="0"/>
        <w:jc w:val="center"/>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75"/>
        <w:gridCol w:w="170"/>
        <w:gridCol w:w="86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incurred significant operating losses in the past and may never achieve or maintain profitability.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substantial doubt about our ability to continue as a going concern, and holders of our securities could suffer a total loss of their investment. We may need to raise additional capital to continue our operations. Such capital may not be available to us or may not be available at terms we deem acceptable, either of which could reduce our ability to compete and could negatively affect our business.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 limited operating history with our current offerings, which makes it difficult to evaluate our current and future business prospects and increases the risk of your investment.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revenue growth rate depends on existing customers renewing and maintaining or expanding their subscriptions, and if we fail to retain our customers at current or expanded subscriptions, our business will be harmed.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assumptions, analyses, and estimates upon which our forecasts, projections and outlook are based prove to be incorrect or inaccurate, our actual results may differ materially from those forecasted or projected.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not successfully develop or introduce new and enhanced products that achieve market acceptance, or successfully integrate acquired products or services with our existing products, and our business could be harmed, and our revenue could suffer as a result.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acquisitions of, and investments in, other businesses, products, or technologies may not yield expected benefits and our inability to successfully integrate acquisitions may negatively impact our business, financial condition, and results of operations.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we recognize revenue from subscriptions for our product offerings over the terms of the subscriptions, our financial results in any period may not be indicative of our financial health and future performance.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Cybersecurity and data security breaches and ransomware attacks may create financial liabilities for us, damage our reputation, and harm our business. </w:t>
            </w:r>
          </w:p>
        </w:tc>
      </w:tr>
    </w:tbl>
    <w:p>
      <w:pPr>
        <w:pStyle w:val="TextBody"/>
        <w:bidi w:val="0"/>
        <w:spacing w:before="0" w:after="0"/>
        <w:ind w:left="0" w:right="0" w:hanging="0"/>
        <w:jc w:val="center"/>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170"/>
        <w:gridCol w:w="93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Privacy and data security laws and regulations could impose additional costs and reduce demand for our solutions. </w:t>
            </w:r>
          </w:p>
        </w:tc>
      </w:tr>
    </w:tbl>
    <w:p>
      <w:pPr>
        <w:pStyle w:val="TextBody"/>
        <w:bidi w:val="0"/>
        <w:spacing w:before="0" w:after="0"/>
        <w:ind w:left="0" w:right="0" w:hanging="0"/>
        <w:jc w:val="center"/>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75"/>
        <w:gridCol w:w="170"/>
        <w:gridCol w:w="8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use our net operating loss to offset future taxable income may be subject to certain limitations. </w:t>
            </w:r>
          </w:p>
        </w:tc>
      </w:tr>
    </w:tbl>
    <w:p>
      <w:pPr>
        <w:pStyle w:val="TextBody"/>
        <w:bidi w:val="0"/>
        <w:spacing w:before="0" w:after="0"/>
        <w:ind w:left="0" w:right="0" w:hanging="0"/>
        <w:jc w:val="both"/>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70"/>
        <w:gridCol w:w="65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Adverse litigation results could have a material adverse impact on our business.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Third parties may initiate legal proceedings alleging that we are infringing or otherwise violating their intellectual property rights, the outcome of which would be uncertain and could harm our business.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use of open source software could adversely affect our ability to offer our solutions and subject us to possible litigation.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Offering and Ownership of Our Securities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 </w:t>
            </w:r>
          </w:p>
        </w:tc>
      </w:tr>
    </w:tbl>
    <w:p>
      <w:pPr>
        <w:pStyle w:val="TextBody"/>
        <w:bidi w:val="0"/>
        <w:spacing w:before="0" w:after="0"/>
        <w:ind w:left="0" w:right="0" w:hanging="0"/>
        <w:jc w:val="center"/>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sales of shares of Class A common stock may depress their stock price.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Issuances of shares of our Class A common stock pursuant to any Advances under the SEPA and conversion of any amounts under the Yorkville Promissory Notes, exercise of the GEM Warrant and conversion of any amounts under the GEM Promissory Note, and conversion of any amounts under the Senior Convertible Notes (the “Notes”) would result in substantial dilution of our stockholders and may have a negative impact on the market price of our Class A common stock.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Nasdaq Stock Market LLC (“Nasdaq”) may delist our securities from trading on its exchange, which could limit investors’ ability to make transactions in our securities and subject us to additional trading restrictions.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Class A common stock ceases to be listed on a national securities exchange it will become subject to the so-called “penny stock” rules that impose restrictive sales practice requirements.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dual classes of common stock structure have the effect of concentrating voting power with our Chief Executive Officer and Co-Founder, Joseph Davy, which limits an investor’s ability to influence the outcome of important transactions, including a change in control.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market price of Class A common stock is likely to be highly volatile, and you may lose some or all of your investment. This volatility could also subject us to securities class action litigation.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or industry analysts do not publish research or reports about us, or publish negative reports, then our stock price and trading volume could decline.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incurred and will continue to incur increased costs and demands upon management as a result of complying with the laws and regulations affecting public companies, which could adversely affect our business, results of operations, and financial condition.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identified material weaknesses in our internal control over financial reporting in the past.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executive officers and directors collectively beneficially own approximately 44.98% of the voting power of our outstanding Class A common stock and Class B common stock and have substantial control over us, which will limit your ability to influence the outcome of important transactions, including a change in control.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issue additional shares of Class A common stock or Preferred Stock, including under our equity incentive plan. Any such issuances would dilute the interest of our stockholders and likely present other risks.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certain holders of Class A common stock sell a significant portion of their securities, it may negatively impact the market price of the shares of Class A common stock and such holders still may receive significant proceeds.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is not possible to predict the actual number of shares we will sell under the SEPA, or the actual gross proceeds resulting from those sales. Further, we may not have access to any or the full amount available under the SEPA.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$1.235 billion in revenue during our last fiscal year, we qualify as an “emerging growth company” as defined in the JOBS Act. An “emerging growth company” may take advantage of reduced reporting requirements that are otherwise applicable to larger public companies. In particular, as an emerging growth company, we: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present only two years of audited financial statements and only two years of related Management’s Discussion and Analysis of Financial Condition and Results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required to provide a detailed narrative disclosure discussing our compensation principles, objectives, and elements and analyzing how those elements fit with our principles and objectives, which is commonly referred to as “compensation discussion and analysis”;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required to obtain an attestation and report from our auditors on our management’s assessment of our internal control over financial reporting pursuant to the Sarbanes-Oxley Act of 2002;</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required to obtain a non-binding advisory vote from our stockholders on executive compensation or golden parachute arrangements (commonly referred to as the “say-on-pay,” “say-on frequency,” and “say-on-golden-parachute” votes);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are exempt from certain executive compensation disclosure provisions requiring a pay-for-performance graph and CEO pay ratio disclosure; and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eligible to claim longer phase-in periods for the adoption of new or revised financial accounting standards under §107 of the JOBS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take advantage of all of these reduced reporting requirements and exemptions, including the longer phase-in periods for the adoption of new or revised financial accounting standards under §107 of the JOBS Act. Our election to use the phase-in periods may make it difficult to compare our financial statements to those of non-emerging growth companies and other emerging growth companies that have opted out of the phase-in periods under §107 of the JOBS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JOBS Act, we may take advantage of the above-described reduced reporting requirements and exemptions until we no longer meet the definition of an emerging growth company. The JOBS Act provides that we would cease to be an “emerging growth company” at the end of the fiscal year in which the fifth anniversary of our initial sale of common equity pursuant to a registration statement declared effective under the Securities Act occurred, if we have more than $1.235 billion in annual revenue, have more than $700 million in market value of our Class A common stock held by non-affiliates, or issue more than $1 billion in principal amount of non-convertible debt over a three-year period.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making an investment decision, you should carefully consider the risks, uncertainties and other factors described in our most recent Annual Report on Form 10-K, as supplemented and updated by subsequent quarterly reports on Form 10-Q and current reports on Form 8-K that we have filed or will file with the SEC, which are incorporated by reference into this prospectus. Please also see the risk factor stated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is subject to minimum requirements to remain listed on the Nasdaq Capital Market, including a minimum bid price requirement and stockholders’ equity requirement, and may be delisted if it does not maintain or regain, as applicable, compliance with those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Marketplace Rule 5550(a)(2) requires a minimum bid price of $1.00 per share for primary equity securities listed on the Nasdaq Capital Market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regain compliance with the Minimum Bid Price Rule, the Company effected a reverse stock split at a ratio of 1-for-50, effective as of September 19, 2024 (the “September Reverse Stock Split”). Subsequently, the Company effected a 1-for-10 reverse stock split of the shares of the Company’s common stock, effective as of July 8, 2025 (the “July Reverse Stock Split”). Following the July Reverse Stock Split, the bid price of the Company’s common stock surpassed $1.00 per share. However, we have not yet been notified that we regained compliance with the Minimum Bid Price Requirement and cannot guarantee that Nasdaq will decide that we have.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Nasdaq rules do not impose a specific limit on the number of times a listed company may effect a reverse stock split to maintain or regain compliance with the Minimum Bid Price Requirement, Nasdaq has stated that a series of reverse stock splits may undermine investor confidence in securities listed on Nasdaq. In addition, Nasdaq Listing </w:t>
      </w:r>
      <w:r>
        <w:rPr>
          <w:rFonts w:ascii="Times New Roman;Times;Serif" w:hAnsi="Times New Roman;Times;Serif"/>
          <w:b w:val="false"/>
          <w:i/>
          <w:caps w:val="false"/>
          <w:smallCaps w:val="false"/>
          <w:sz w:val="20"/>
        </w:rPr>
        <w:t>Rule 5810</w:t>
      </w:r>
      <w:r>
        <w:rPr>
          <w:rFonts w:ascii="Times New Roman;Times;Serif" w:hAnsi="Times New Roman;Times;Serif"/>
          <w:b w:val="false"/>
          <w:i w:val="false"/>
          <w:caps w:val="false"/>
          <w:smallCaps w:val="false"/>
          <w:sz w:val="20"/>
        </w:rPr>
        <w:t>(c)(3)(A)(iv) states that if any listed company that fails to meet the Minimum Bid Price Requirement after effecting one or more reverse stock splits over the prior two-year period with a cumulative ratio of 250 shares or more to one, then the company is not eligible for a Minimum Bid Price Requirement compliance period of 180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since the Company has effected the 1-for-50 September Reverse Stock Split and the 1-for-10 July Reverse Split, Nasdaq would begin the process of delisting our common stock without providing a Minimum Bid Price Requirement compliance period. However, the Company could still be eligible to request a hearing before the Nasdaq Panel to present its plan for regaining and sustaining compliance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common stock ceases to be listed for trading on the Nasdaq Capital Market, we expect that our common stock would be traded on one of the three tiered marketplaces of the OTC Markets Group. If Nasdaq were to delist our common stock, it would be more difficult for our stockholders to dispose of our common stock and more difficult to obtain accurate price quotations on our common stock. Our ability to issue additional securities for financing or other purposes, or otherwise to arrange for any financing we may need in the future, may also be materially and adversely affected if our common stock or warrants are not listed on a national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FINANCIAL DATA REFLECTING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2025, we effected a 1-for-10 reverse </w:t>
      </w:r>
      <w:r>
        <w:rPr>
          <w:rFonts w:ascii="Times New Roman;Times;Serif" w:hAnsi="Times New Roman;Times;Serif"/>
          <w:b w:val="false"/>
          <w:i/>
          <w:caps w:val="false"/>
          <w:smallCaps w:val="false"/>
          <w:sz w:val="20"/>
        </w:rPr>
        <w:t>stock split</w:t>
      </w:r>
      <w:r>
        <w:rPr>
          <w:rFonts w:ascii="Times New Roman;Times;Serif" w:hAnsi="Times New Roman;Times;Serif"/>
          <w:b w:val="false"/>
          <w:i w:val="false"/>
          <w:caps w:val="false"/>
          <w:smallCaps w:val="false"/>
          <w:sz w:val="20"/>
        </w:rPr>
        <w:t> of our Class A common stock and Class B common stock. Based on such reverse </w:t>
      </w:r>
      <w:r>
        <w:rPr>
          <w:rFonts w:ascii="Times New Roman;Times;Serif" w:hAnsi="Times New Roman;Times;Serif"/>
          <w:b w:val="false"/>
          <w:i/>
          <w:caps w:val="false"/>
          <w:smallCaps w:val="false"/>
          <w:sz w:val="20"/>
        </w:rPr>
        <w:t>stock split</w:t>
      </w:r>
      <w:r>
        <w:rPr>
          <w:rFonts w:ascii="Times New Roman;Times;Serif" w:hAnsi="Times New Roman;Times;Serif"/>
          <w:b w:val="false"/>
          <w:i w:val="false"/>
          <w:caps w:val="false"/>
          <w:smallCaps w:val="false"/>
          <w:sz w:val="20"/>
        </w:rPr>
        <w:t>, the total number of outstanding shares of Class A common stock was adjusted from 22,710,739 to approximately 2,271,074 and the total number of outstanding shares of Class B common stock was adjusted from 2,311,134 to approximately 231,114. The par value per common share remained unchanged at $0.0001. Our audited consolidated financial statements included in the Annual Report on Form 10-K for the year ended December 31, 2024, and the unaudited condensed consolidated financial statements included in our Quarterly Report on Form 10-Q for the quarterly period ended March 31, 2025, which are incorporated by reference into this prospectus are presented without giving effect to the reverse </w:t>
      </w:r>
      <w:r>
        <w:rPr>
          <w:rFonts w:ascii="Times New Roman;Times;Serif" w:hAnsi="Times New Roman;Times;Serif"/>
          <w:b w:val="false"/>
          <w:i/>
          <w:caps w:val="false"/>
          <w:smallCaps w:val="false"/>
          <w:sz w:val="20"/>
        </w:rPr>
        <w:t>stock split</w:t>
      </w:r>
      <w:r>
        <w:rPr>
          <w:rFonts w:ascii="Times New Roman;Times;Serif" w:hAnsi="Times New Roman;Times;Serif"/>
          <w:b w:val="false"/>
          <w:i w:val="false"/>
          <w:caps w:val="false"/>
          <w:smallCaps w:val="false"/>
          <w:sz w:val="20"/>
        </w:rPr>
        <w:t>. Except where the context otherwise requires, share numbers in this prospectus that is a part of this registration statement reflect the 1-for-10 reverse </w:t>
      </w:r>
      <w:r>
        <w:rPr>
          <w:rFonts w:ascii="Times New Roman;Times;Serif" w:hAnsi="Times New Roman;Times;Serif"/>
          <w:b w:val="false"/>
          <w:i/>
          <w:caps w:val="false"/>
          <w:smallCaps w:val="false"/>
          <w:sz w:val="20"/>
        </w:rPr>
        <w:t>stock split</w:t>
      </w:r>
      <w:r>
        <w:rPr>
          <w:rFonts w:ascii="Times New Roman;Times;Serif" w:hAnsi="Times New Roman;Times;Serif"/>
          <w:b w:val="false"/>
          <w:i w:val="false"/>
          <w:caps w:val="false"/>
          <w:smallCaps w:val="false"/>
          <w:sz w:val="20"/>
        </w:rPr>
        <w:t> of both classes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selected financial data has been derived from our audited consolidated financial statements included in our Annual Report on Form 10-K filed with the SEC on April 15, 2025, and our unaudited condensed consolidated financial statements included in our Quarterly Report on Form 10-Q filed with the SEC on May 15, 2025, as adjusted to reflect the reverse </w:t>
      </w:r>
      <w:r>
        <w:rPr>
          <w:rFonts w:ascii="Times New Roman;Times;Serif" w:hAnsi="Times New Roman;Times;Serif"/>
          <w:b w:val="false"/>
          <w:i/>
          <w:caps w:val="false"/>
          <w:smallCaps w:val="false"/>
          <w:sz w:val="20"/>
        </w:rPr>
        <w:t>stock split</w:t>
      </w:r>
      <w:r>
        <w:rPr>
          <w:rFonts w:ascii="Times New Roman;Times;Serif" w:hAnsi="Times New Roman;Times;Serif"/>
          <w:b w:val="false"/>
          <w:i w:val="false"/>
          <w:caps w:val="false"/>
          <w:smallCaps w:val="false"/>
          <w:sz w:val="20"/>
        </w:rPr>
        <w:t> for all periods presented. Our historical results are not indicative of the results that may be expected in the future and results of interim periods are not indicative of the results for the entire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w:t>
      </w:r>
    </w:p>
    <w:p>
      <w:pPr>
        <w:pStyle w:val="TextBody"/>
        <w:bidi w:val="0"/>
        <w:spacing w:before="0" w:after="0"/>
        <w:ind w:left="0" w:right="0" w:hanging="0"/>
        <w:jc w:val="both"/>
        <w:rPr>
          <w:caps w:val="false"/>
          <w:smallCaps w:val="false"/>
        </w:rPr>
      </w:pPr>
      <w:r>
        <w:rPr>
          <w:caps w:val="false"/>
          <w:smallCaps w:val="false"/>
        </w:rPr>
        <w:t> </w:t>
      </w:r>
    </w:p>
    <w:tbl>
      <w:tblPr>
        <w:tblW w:w="9095" w:type="dxa"/>
        <w:jc w:val="left"/>
        <w:tblInd w:w="0" w:type="dxa"/>
        <w:tblLayout w:type="fixed"/>
        <w:tblCellMar>
          <w:top w:w="0" w:type="dxa"/>
          <w:left w:w="0" w:type="dxa"/>
          <w:bottom w:w="0" w:type="dxa"/>
          <w:right w:w="0" w:type="dxa"/>
        </w:tblCellMar>
      </w:tblPr>
      <w:tblGrid>
        <w:gridCol w:w="6140"/>
        <w:gridCol w:w="60"/>
        <w:gridCol w:w="140"/>
        <w:gridCol w:w="1175"/>
        <w:gridCol w:w="95"/>
        <w:gridCol w:w="60"/>
        <w:gridCol w:w="140"/>
        <w:gridCol w:w="1175"/>
        <w:gridCol w:w="110"/>
      </w:tblGrid>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(31,095,029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(14,406,262</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both"/>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(6.00</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both"/>
              <w:rPr/>
            </w:pPr>
            <w:r>
              <w:rPr/>
              <w:t>Weighted 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4,458,169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2,401,988</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Common shares outstanding at year 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8,195,163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2,585,297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900" w:type="dxa"/>
        <w:jc w:val="left"/>
        <w:tblInd w:w="0" w:type="dxa"/>
        <w:tblLayout w:type="fixed"/>
        <w:tblCellMar>
          <w:top w:w="0" w:type="dxa"/>
          <w:left w:w="0" w:type="dxa"/>
          <w:bottom w:w="0" w:type="dxa"/>
          <w:right w:w="0" w:type="dxa"/>
        </w:tblCellMar>
      </w:tblPr>
      <w:tblGrid>
        <w:gridCol w:w="6140"/>
        <w:gridCol w:w="60"/>
        <w:gridCol w:w="140"/>
        <w:gridCol w:w="1100"/>
        <w:gridCol w:w="95"/>
        <w:gridCol w:w="60"/>
        <w:gridCol w:w="140"/>
        <w:gridCol w:w="1055"/>
        <w:gridCol w:w="110"/>
      </w:tblGrid>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0"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(3,643,479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(4,290,132</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both"/>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(1.64</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both"/>
              <w:rPr/>
            </w:pPr>
            <w:r>
              <w:rPr/>
              <w:t>Weighted 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23,963,166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2,612,025</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Common shares outstanding at period 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14,686,775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2,669,346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ADJUSTED FOR 1-FOR-10 REVERSE </w:t>
      </w:r>
      <w:r>
        <w:rPr>
          <w:rFonts w:ascii="Times New Roman;Times;Serif" w:hAnsi="Times New Roman;Times;Serif"/>
          <w:b/>
          <w:i/>
          <w:caps w:val="false"/>
          <w:smallCaps w:val="false"/>
          <w:sz w:val="20"/>
        </w:rPr>
        <w:t>STOCK SPLIT</w:t>
      </w:r>
      <w:r>
        <w:rPr>
          <w:rFonts w:ascii="Times New Roman;Times;Serif" w:hAnsi="Times New Roman;Times;Serif"/>
          <w:b/>
          <w:i w:val="false"/>
          <w:caps w:val="false"/>
          <w:smallCaps w:val="false"/>
          <w:sz w:val="20"/>
        </w:rPr>
        <w:t> (unaudited)</w:t>
      </w:r>
    </w:p>
    <w:p>
      <w:pPr>
        <w:pStyle w:val="TextBody"/>
        <w:bidi w:val="0"/>
        <w:spacing w:before="0" w:after="0"/>
        <w:ind w:left="0" w:right="0" w:hanging="0"/>
        <w:jc w:val="left"/>
        <w:rPr>
          <w:caps w:val="false"/>
          <w:smallCaps w:val="false"/>
        </w:rPr>
      </w:pPr>
      <w:r>
        <w:rPr>
          <w:caps w:val="false"/>
          <w:smallCaps w:val="false"/>
        </w:rPr>
        <w:t> </w:t>
      </w:r>
    </w:p>
    <w:tbl>
      <w:tblPr>
        <w:tblW w:w="9095" w:type="dxa"/>
        <w:jc w:val="left"/>
        <w:tblInd w:w="0" w:type="dxa"/>
        <w:tblLayout w:type="fixed"/>
        <w:tblCellMar>
          <w:top w:w="0" w:type="dxa"/>
          <w:left w:w="0" w:type="dxa"/>
          <w:bottom w:w="0" w:type="dxa"/>
          <w:right w:w="0" w:type="dxa"/>
        </w:tblCellMar>
      </w:tblPr>
      <w:tblGrid>
        <w:gridCol w:w="6140"/>
        <w:gridCol w:w="60"/>
        <w:gridCol w:w="140"/>
        <w:gridCol w:w="1175"/>
        <w:gridCol w:w="95"/>
        <w:gridCol w:w="60"/>
        <w:gridCol w:w="140"/>
        <w:gridCol w:w="1175"/>
        <w:gridCol w:w="110"/>
      </w:tblGrid>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(31,095,029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(14,406,262</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both"/>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(69.75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(59.98</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both"/>
              <w:rPr/>
            </w:pPr>
            <w:r>
              <w:rPr/>
              <w:t>Weighted 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445,817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240,199</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Common shares outstanding at year 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819,516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258,530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855" w:type="dxa"/>
        <w:jc w:val="left"/>
        <w:tblInd w:w="0" w:type="dxa"/>
        <w:tblLayout w:type="fixed"/>
        <w:tblCellMar>
          <w:top w:w="0" w:type="dxa"/>
          <w:left w:w="0" w:type="dxa"/>
          <w:bottom w:w="0" w:type="dxa"/>
          <w:right w:w="0" w:type="dxa"/>
        </w:tblCellMar>
      </w:tblPr>
      <w:tblGrid>
        <w:gridCol w:w="6140"/>
        <w:gridCol w:w="60"/>
        <w:gridCol w:w="140"/>
        <w:gridCol w:w="1055"/>
        <w:gridCol w:w="95"/>
        <w:gridCol w:w="60"/>
        <w:gridCol w:w="140"/>
        <w:gridCol w:w="1055"/>
        <w:gridCol w:w="110"/>
      </w:tblGrid>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6140" w:type="dxa"/>
            <w:tcBorders/>
            <w:shd w:fill="CCEEFF" w:val="clear"/>
            <w:vAlign w:val="center"/>
          </w:tcPr>
          <w:p>
            <w:pPr>
              <w:pStyle w:val="TableContents"/>
              <w:bidi w:val="0"/>
              <w:spacing w:before="0" w:after="283"/>
              <w:jc w:val="both"/>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(3,643,479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(4,290,132</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both"/>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(16.42</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both"/>
              <w:rPr/>
            </w:pPr>
            <w:r>
              <w:rPr/>
              <w:t>Weighted 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2,396,317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261,203</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Common shares outstanding at period 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1,468,678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266,935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USE OF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any of the shares of Class A common stock by the Selling Stockholders. We have agreed to pay all expenses relating to registering the shares of Class A common stock covered by this prospectus. The Selling Stockholders will pay any brokerage commissions and/or similar charges incurred in connection with the sale of the shares of Class A common stock covered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529"/>
          <w:sz w:val="20"/>
        </w:rPr>
        <w:t xml:space="preserve">In the event any Pre-Funded Warrants are exercised for cash, we would receive the proceeds from any such cash exercise, provided, however, we will not receive any proceeds from the sale of the shares of Common Stock issuable upon such exercise. The current exercise price of the Pre-Funded Warrants is $0.0001 per share of Common Stock and therefore </w:t>
      </w:r>
      <w:r>
        <w:rPr>
          <w:rFonts w:ascii="Times New Roman;Times;Serif" w:hAnsi="Times New Roman;Times;Serif"/>
          <w:b w:val="false"/>
          <w:i w:val="false"/>
          <w:caps w:val="false"/>
          <w:smallCaps w:val="false"/>
          <w:sz w:val="20"/>
        </w:rPr>
        <w:t>proceeds to us from any such cash exercise would not be significant</w:t>
      </w:r>
      <w:r>
        <w:rPr>
          <w:rFonts w:ascii="Times New Roman;Times;Serif" w:hAnsi="Times New Roman;Times;Serif"/>
          <w:b w:val="false"/>
          <w:i w:val="false"/>
          <w:caps w:val="false"/>
          <w:smallCaps w:val="false"/>
          <w:color w:val="212529"/>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DETERMINATION OF OFFERING PRICE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shares of Class A common stock issued to them from time-to-time at prices and at terms then prevailing or at prices related to the then current market price, or in negotiated transactions.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SELLING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covers the resale or other disposition of up to 1,502,826 shares of Class A common stock, consisting of (i) 182,876 outstanding shares of Class A common stock held by the Selling Stockholders, (ii) 143,000 shares of Class A common stock to be issued to the Selling Stockholders after this registration statement is effective and (iii) 1,176,950 shares of Class A common stock issuable upon the exercise of outstanding Pre-Funded Warrants held by the Selling Stockholders. </w:t>
      </w:r>
      <w:r>
        <w:rPr>
          <w:rFonts w:ascii="Times New Roman;Times;Serif" w:hAnsi="Times New Roman;Times;Serif"/>
          <w:b w:val="false"/>
          <w:i w:val="false"/>
          <w:caps w:val="false"/>
          <w:smallCaps w:val="false"/>
          <w:sz w:val="20"/>
          <w:shd w:fill="FFFFFF" w:val="clear"/>
        </w:rPr>
        <w:t>The Pre-Funded Warrants are exercisable at any time after their original issuance and will not expire until they have been exercised in full. We cannot predict when or whether any of the Selling Stockholders will exercise their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Pre-Funded Warrants provide that a holder of Pre-Funded Warrants does not have the right to exercise Pre-Funded Warrants to the extent that after giving effect to such exercise, such holder, together with its affiliates and other attribution parties, would beneficially own, as determined in accordance with Section 13(d) of the Exchange Act more than 9.99% of the number of shares of Class A common stock issued and outstanding immediately after giving effect to such exercise (the “Beneficial Ownership Limitation”); provided, however, that a holder of Pre-Funded Warrants may increase the Beneficial Ownership Limitation by giving notice to the Company, but not in excess of 19.99%. Throughout this prospectus, when we refer to the shares of Class A common stock being registered on behalf of the Selling Stockholders, we are referring to the outstanding shares of Class A common stock and the shares issuable upon the exercise of outstanding Pre-Funded Warrants without giving effect to the Beneficial Ownership Limitation.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the name of each Selling Stockholder; (b) the number of shares of Class A common stock beneficially owned (as such term is defined in Rule 13d-3 under the Exchange Act) by each Selling Stockholder as of the date of this prospectus; (c) the number of shares of Class A common stock that each Selling Stockholder may offer for sale from time to time pursuant to this prospectus, whether or not such Selling Stockholder has a present intention to do so; and (d) the number of shares of Class A common stock to be beneficially owned by each Selling Stockholder following the sale of all shares that may be so offered pursuant to this prospectus, assuming no other change in ownership of shares of Class A common stock by such Selling Stockholder after the date of this prospectus. Unless otherwise indicated, beneficial ownership is direct and the person indicated has sole voting and investment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Unless otherwise indicated, 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of the date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Inclusion of an individual’s or entity’s name in the table below does not constitute an admission that such individual or entity is an “affiliate”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13"/>
        <w:gridCol w:w="60"/>
        <w:gridCol w:w="90"/>
        <w:gridCol w:w="1298"/>
        <w:gridCol w:w="60"/>
        <w:gridCol w:w="60"/>
        <w:gridCol w:w="115"/>
        <w:gridCol w:w="1626"/>
        <w:gridCol w:w="60"/>
        <w:gridCol w:w="60"/>
        <w:gridCol w:w="772"/>
        <w:gridCol w:w="1611"/>
        <w:gridCol w:w="60"/>
        <w:gridCol w:w="60"/>
        <w:gridCol w:w="1260"/>
      </w:tblGrid>
      <w:tr>
        <w:trPr/>
        <w:tc>
          <w:tcPr>
            <w:tcW w:w="3013" w:type="dxa"/>
            <w:tcBorders>
              <w:bottom w:val="single" w:sz="8" w:space="0" w:color="000000"/>
            </w:tcBorders>
            <w:vAlign w:val="center"/>
          </w:tcPr>
          <w:p>
            <w:pPr>
              <w:pStyle w:val="TableContents"/>
              <w:bidi w:val="0"/>
              <w:spacing w:before="0" w:after="283"/>
              <w:jc w:val="left"/>
              <w:rPr>
                <w:b/>
                <w:sz w:val="20"/>
              </w:rPr>
            </w:pPr>
            <w:r>
              <w:rPr>
                <w:b/>
                <w:sz w:val="20"/>
              </w:rPr>
              <w:t>Name of Selling Securityholder</w:t>
            </w:r>
          </w:p>
        </w:tc>
        <w:tc>
          <w:tcPr>
            <w:tcW w:w="60" w:type="dxa"/>
            <w:tcBorders/>
            <w:tcMar>
              <w:bottom w:w="0" w:type="dxa"/>
            </w:tcMar>
            <w:vAlign w:val="center"/>
          </w:tcPr>
          <w:p>
            <w:pPr>
              <w:pStyle w:val="TableContents"/>
              <w:bidi w:val="0"/>
              <w:spacing w:before="0" w:after="283"/>
              <w:jc w:val="left"/>
              <w:rPr/>
            </w:pPr>
            <w:r>
              <w:rPr/>
              <w:t> </w:t>
            </w:r>
          </w:p>
        </w:tc>
        <w:tc>
          <w:tcPr>
            <w:tcW w:w="138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Prior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1"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to be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83"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Beneficially Owned 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Ownership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p>
            <w:pPr>
              <w:pStyle w:val="TableContents"/>
              <w:bidi w:val="0"/>
              <w:spacing w:before="0" w:after="0"/>
              <w:ind w:left="0" w:right="0" w:hanging="0"/>
              <w:jc w:val="center"/>
              <w:rPr>
                <w:rFonts w:ascii="Times New Roman;Times;Serif" w:hAnsi="Times New Roman;Times;Serif"/>
                <w:b/>
                <w:i w:val="false"/>
                <w:caps w:val="false"/>
                <w:smallCaps w:val="false"/>
                <w:position w:val="7"/>
                <w:sz w:val="16"/>
                <w:sz w:val="20"/>
              </w:rPr>
            </w:pPr>
            <w:r>
              <w:rPr>
                <w:rFonts w:ascii="Times New Roman;Times;Serif" w:hAnsi="Times New Roman;Times;Serif"/>
                <w:b/>
                <w:i w:val="false"/>
                <w:caps w:val="false"/>
                <w:smallCaps w:val="false"/>
                <w:position w:val="7"/>
                <w:sz w:val="16"/>
                <w:sz w:val="20"/>
              </w:rPr>
              <w:t>(1)</w:t>
            </w:r>
          </w:p>
        </w:tc>
      </w:tr>
      <w:tr>
        <w:trPr/>
        <w:tc>
          <w:tcPr>
            <w:tcW w:w="3013" w:type="dxa"/>
            <w:tcBorders/>
            <w:shd w:fill="CCEEFF" w:val="clear"/>
            <w:tcMar>
              <w:bottom w:w="0" w:type="dxa"/>
            </w:tcMar>
            <w:vAlign w:val="center"/>
          </w:tcPr>
          <w:p>
            <w:pPr>
              <w:pStyle w:val="TableContents"/>
              <w:bidi w:val="0"/>
              <w:spacing w:before="0" w:after="283"/>
              <w:jc w:val="left"/>
              <w:rPr>
                <w:sz w:val="20"/>
              </w:rPr>
            </w:pPr>
            <w:r>
              <w:rPr>
                <w:sz w:val="20"/>
              </w:rPr>
              <w:t>FE IV OR Aggregator, LLC</w:t>
            </w:r>
            <w:r>
              <w:rPr>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8" w:type="dxa"/>
            <w:tcBorders/>
            <w:shd w:fill="CCEEFF" w:val="clear"/>
            <w:tcMar>
              <w:bottom w:w="0" w:type="dxa"/>
            </w:tcMar>
            <w:vAlign w:val="center"/>
          </w:tcPr>
          <w:p>
            <w:pPr>
              <w:pStyle w:val="TableContents"/>
              <w:bidi w:val="0"/>
              <w:spacing w:before="0" w:after="283"/>
              <w:jc w:val="right"/>
              <w:rPr>
                <w:sz w:val="20"/>
              </w:rPr>
            </w:pPr>
            <w:r>
              <w:rPr>
                <w:sz w:val="20"/>
              </w:rPr>
              <w:t>1,226,946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626" w:type="dxa"/>
            <w:tcBorders/>
            <w:shd w:fill="CCEEFF" w:val="clear"/>
            <w:tcMar>
              <w:bottom w:w="0" w:type="dxa"/>
            </w:tcMar>
            <w:vAlign w:val="center"/>
          </w:tcPr>
          <w:p>
            <w:pPr>
              <w:pStyle w:val="TableContents"/>
              <w:bidi w:val="0"/>
              <w:spacing w:before="0" w:after="283"/>
              <w:jc w:val="right"/>
              <w:rPr>
                <w:sz w:val="20"/>
              </w:rPr>
            </w:pPr>
            <w:r>
              <w:rPr>
                <w:sz w:val="20"/>
              </w:rPr>
              <w:t>1,226,946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left"/>
              <w:rPr/>
            </w:pPr>
            <w:r>
              <w:rPr/>
              <w:t> </w:t>
            </w:r>
          </w:p>
        </w:tc>
        <w:tc>
          <w:tcPr>
            <w:tcW w:w="1611" w:type="dxa"/>
            <w:tcBorders/>
            <w:shd w:fill="CCEEFF" w:val="clear"/>
            <w:tcMar>
              <w:bottom w:w="0" w:type="dxa"/>
            </w:tcMar>
            <w:vAlign w:val="center"/>
          </w:tcPr>
          <w:p>
            <w:pPr>
              <w:pStyle w:val="TableContents"/>
              <w:bidi w:val="0"/>
              <w:spacing w:before="0" w:after="283"/>
              <w:jc w:val="right"/>
              <w:rPr>
                <w:sz w:val="20"/>
              </w:rPr>
            </w:pPr>
            <w:r>
              <w:rPr>
                <w:sz w:val="20"/>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sz w:val="20"/>
              </w:rPr>
            </w:pPr>
            <w:r>
              <w:rPr>
                <w:sz w:val="20"/>
              </w:rPr>
              <w:t>*</w:t>
            </w:r>
          </w:p>
        </w:tc>
      </w:tr>
      <w:tr>
        <w:trPr/>
        <w:tc>
          <w:tcPr>
            <w:tcW w:w="3013" w:type="dxa"/>
            <w:tcBorders/>
            <w:shd w:fill="FFFFFF" w:val="clear"/>
            <w:tcMar>
              <w:bottom w:w="0" w:type="dxa"/>
            </w:tcMar>
            <w:vAlign w:val="center"/>
          </w:tcPr>
          <w:p>
            <w:pPr>
              <w:pStyle w:val="TableContents"/>
              <w:bidi w:val="0"/>
              <w:spacing w:before="0" w:after="283"/>
              <w:jc w:val="left"/>
              <w:rPr>
                <w:sz w:val="20"/>
              </w:rPr>
            </w:pPr>
            <w:r>
              <w:rPr>
                <w:sz w:val="20"/>
              </w:rPr>
              <w:t>OP Fund II, a series of AngelList-Forefront Venture Partners-Funds, LP</w:t>
            </w:r>
            <w:r>
              <w:rPr>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98" w:type="dxa"/>
            <w:tcBorders/>
            <w:shd w:fill="FFFFFF" w:val="clear"/>
            <w:tcMar>
              <w:bottom w:w="0" w:type="dxa"/>
            </w:tcMar>
            <w:vAlign w:val="center"/>
          </w:tcPr>
          <w:p>
            <w:pPr>
              <w:pStyle w:val="TableContents"/>
              <w:bidi w:val="0"/>
              <w:spacing w:before="0" w:after="283"/>
              <w:jc w:val="right"/>
              <w:rPr>
                <w:sz w:val="20"/>
              </w:rPr>
            </w:pPr>
            <w:r>
              <w:rPr>
                <w:sz w:val="20"/>
              </w:rPr>
              <w:t>4,182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626" w:type="dxa"/>
            <w:tcBorders/>
            <w:shd w:fill="FFFFFF" w:val="clear"/>
            <w:tcMar>
              <w:bottom w:w="0" w:type="dxa"/>
            </w:tcMar>
            <w:vAlign w:val="center"/>
          </w:tcPr>
          <w:p>
            <w:pPr>
              <w:pStyle w:val="TableContents"/>
              <w:bidi w:val="0"/>
              <w:spacing w:before="0" w:after="283"/>
              <w:jc w:val="right"/>
              <w:rPr>
                <w:sz w:val="20"/>
              </w:rPr>
            </w:pPr>
            <w:r>
              <w:rPr>
                <w:sz w:val="20"/>
              </w:rPr>
              <w:t>4,182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left"/>
              <w:rPr/>
            </w:pPr>
            <w:r>
              <w:rPr/>
              <w:t> </w:t>
            </w:r>
          </w:p>
        </w:tc>
        <w:tc>
          <w:tcPr>
            <w:tcW w:w="1611" w:type="dxa"/>
            <w:tcBorders/>
            <w:shd w:fill="FFFFFF" w:val="clear"/>
            <w:tcMar>
              <w:bottom w:w="0" w:type="dxa"/>
            </w:tcMar>
            <w:vAlign w:val="center"/>
          </w:tcPr>
          <w:p>
            <w:pPr>
              <w:pStyle w:val="TableContents"/>
              <w:bidi w:val="0"/>
              <w:spacing w:before="0" w:after="283"/>
              <w:jc w:val="right"/>
              <w:rPr>
                <w:sz w:val="20"/>
              </w:rPr>
            </w:pPr>
            <w:r>
              <w:rPr>
                <w:sz w:val="20"/>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sz w:val="20"/>
              </w:rPr>
            </w:pPr>
            <w:r>
              <w:rPr>
                <w:sz w:val="20"/>
              </w:rPr>
              <w:t>*</w:t>
            </w:r>
          </w:p>
        </w:tc>
      </w:tr>
      <w:tr>
        <w:trPr/>
        <w:tc>
          <w:tcPr>
            <w:tcW w:w="3013" w:type="dxa"/>
            <w:tcBorders/>
            <w:shd w:fill="CCEEFF" w:val="clear"/>
            <w:tcMar>
              <w:bottom w:w="0" w:type="dxa"/>
            </w:tcMar>
            <w:vAlign w:val="center"/>
          </w:tcPr>
          <w:p>
            <w:pPr>
              <w:pStyle w:val="TableContents"/>
              <w:bidi w:val="0"/>
              <w:spacing w:before="0" w:after="283"/>
              <w:jc w:val="left"/>
              <w:rPr>
                <w:sz w:val="20"/>
              </w:rPr>
            </w:pPr>
            <w:r>
              <w:rPr>
                <w:sz w:val="20"/>
              </w:rPr>
              <w:t>Lee Firestone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8" w:type="dxa"/>
            <w:tcBorders/>
            <w:shd w:fill="CCEEFF" w:val="clear"/>
            <w:tcMar>
              <w:bottom w:w="0" w:type="dxa"/>
            </w:tcMar>
            <w:vAlign w:val="center"/>
          </w:tcPr>
          <w:p>
            <w:pPr>
              <w:pStyle w:val="TableContents"/>
              <w:bidi w:val="0"/>
              <w:spacing w:before="0" w:after="283"/>
              <w:jc w:val="right"/>
              <w:rPr>
                <w:sz w:val="20"/>
              </w:rPr>
            </w:pPr>
            <w:r>
              <w:rPr>
                <w:sz w:val="20"/>
              </w:rPr>
              <w:t>19,439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626" w:type="dxa"/>
            <w:tcBorders/>
            <w:shd w:fill="CCEEFF" w:val="clear"/>
            <w:tcMar>
              <w:bottom w:w="0" w:type="dxa"/>
            </w:tcMar>
            <w:vAlign w:val="center"/>
          </w:tcPr>
          <w:p>
            <w:pPr>
              <w:pStyle w:val="TableContents"/>
              <w:bidi w:val="0"/>
              <w:spacing w:before="0" w:after="283"/>
              <w:jc w:val="right"/>
              <w:rPr>
                <w:sz w:val="20"/>
              </w:rPr>
            </w:pPr>
            <w:r>
              <w:rPr>
                <w:sz w:val="20"/>
              </w:rPr>
              <w:t>19,439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left"/>
              <w:rPr/>
            </w:pPr>
            <w:r>
              <w:rPr/>
              <w:t> </w:t>
            </w:r>
          </w:p>
        </w:tc>
        <w:tc>
          <w:tcPr>
            <w:tcW w:w="1611" w:type="dxa"/>
            <w:tcBorders/>
            <w:shd w:fill="CCEEFF" w:val="clear"/>
            <w:tcMar>
              <w:bottom w:w="0" w:type="dxa"/>
            </w:tcMar>
            <w:vAlign w:val="center"/>
          </w:tcPr>
          <w:p>
            <w:pPr>
              <w:pStyle w:val="TableContents"/>
              <w:bidi w:val="0"/>
              <w:spacing w:before="0" w:after="283"/>
              <w:jc w:val="right"/>
              <w:rPr>
                <w:sz w:val="20"/>
              </w:rPr>
            </w:pPr>
            <w:r>
              <w:rPr>
                <w:sz w:val="20"/>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sz w:val="20"/>
              </w:rPr>
            </w:pPr>
            <w:r>
              <w:rPr>
                <w:sz w:val="20"/>
              </w:rPr>
              <w:t>*</w:t>
            </w:r>
          </w:p>
        </w:tc>
      </w:tr>
      <w:tr>
        <w:trPr/>
        <w:tc>
          <w:tcPr>
            <w:tcW w:w="3013" w:type="dxa"/>
            <w:tcBorders/>
            <w:shd w:fill="FFFFFF" w:val="clear"/>
            <w:tcMar>
              <w:bottom w:w="0" w:type="dxa"/>
            </w:tcMar>
            <w:vAlign w:val="center"/>
          </w:tcPr>
          <w:p>
            <w:pPr>
              <w:pStyle w:val="TableContents"/>
              <w:bidi w:val="0"/>
              <w:spacing w:before="0" w:after="283"/>
              <w:jc w:val="left"/>
              <w:rPr>
                <w:sz w:val="20"/>
              </w:rPr>
            </w:pPr>
            <w:r>
              <w:rPr>
                <w:sz w:val="20"/>
              </w:rPr>
              <w:t>Shijo (Joe) Mathew</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98" w:type="dxa"/>
            <w:tcBorders/>
            <w:shd w:fill="FFFFFF" w:val="clear"/>
            <w:tcMar>
              <w:bottom w:w="0" w:type="dxa"/>
            </w:tcMar>
            <w:vAlign w:val="center"/>
          </w:tcPr>
          <w:p>
            <w:pPr>
              <w:pStyle w:val="TableContents"/>
              <w:bidi w:val="0"/>
              <w:spacing w:before="0" w:after="283"/>
              <w:jc w:val="right"/>
              <w:rPr>
                <w:sz w:val="20"/>
              </w:rPr>
            </w:pPr>
            <w:r>
              <w:rPr>
                <w:sz w:val="20"/>
              </w:rPr>
              <w:t>19,439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626" w:type="dxa"/>
            <w:tcBorders/>
            <w:shd w:fill="FFFFFF" w:val="clear"/>
            <w:tcMar>
              <w:bottom w:w="0" w:type="dxa"/>
            </w:tcMar>
            <w:vAlign w:val="center"/>
          </w:tcPr>
          <w:p>
            <w:pPr>
              <w:pStyle w:val="TableContents"/>
              <w:bidi w:val="0"/>
              <w:spacing w:before="0" w:after="283"/>
              <w:jc w:val="right"/>
              <w:rPr>
                <w:sz w:val="20"/>
              </w:rPr>
            </w:pPr>
            <w:r>
              <w:rPr>
                <w:sz w:val="20"/>
              </w:rPr>
              <w:t>19,439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left"/>
              <w:rPr/>
            </w:pPr>
            <w:r>
              <w:rPr/>
              <w:t> </w:t>
            </w:r>
          </w:p>
        </w:tc>
        <w:tc>
          <w:tcPr>
            <w:tcW w:w="1611" w:type="dxa"/>
            <w:tcBorders/>
            <w:shd w:fill="FFFFFF" w:val="clear"/>
            <w:tcMar>
              <w:bottom w:w="0" w:type="dxa"/>
            </w:tcMar>
            <w:vAlign w:val="center"/>
          </w:tcPr>
          <w:p>
            <w:pPr>
              <w:pStyle w:val="TableContents"/>
              <w:bidi w:val="0"/>
              <w:spacing w:before="0" w:after="283"/>
              <w:jc w:val="right"/>
              <w:rPr>
                <w:sz w:val="20"/>
              </w:rPr>
            </w:pPr>
            <w:r>
              <w:rPr>
                <w:sz w:val="20"/>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sz w:val="20"/>
              </w:rPr>
            </w:pPr>
            <w:r>
              <w:rPr>
                <w:sz w:val="20"/>
              </w:rPr>
              <w:t>*</w:t>
            </w:r>
          </w:p>
        </w:tc>
      </w:tr>
      <w:tr>
        <w:trPr/>
        <w:tc>
          <w:tcPr>
            <w:tcW w:w="3013" w:type="dxa"/>
            <w:tcBorders/>
            <w:shd w:fill="CCEEFF" w:val="clear"/>
            <w:tcMar>
              <w:bottom w:w="0" w:type="dxa"/>
            </w:tcMar>
            <w:vAlign w:val="center"/>
          </w:tcPr>
          <w:p>
            <w:pPr>
              <w:pStyle w:val="TableContents"/>
              <w:bidi w:val="0"/>
              <w:spacing w:before="0" w:after="283"/>
              <w:jc w:val="left"/>
              <w:rPr>
                <w:sz w:val="20"/>
              </w:rPr>
            </w:pPr>
            <w:r>
              <w:rPr>
                <w:sz w:val="20"/>
              </w:rPr>
              <w:t>Thomas Luca Dolso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8" w:type="dxa"/>
            <w:tcBorders/>
            <w:shd w:fill="CCEEFF" w:val="clear"/>
            <w:tcMar>
              <w:bottom w:w="0" w:type="dxa"/>
            </w:tcMar>
            <w:vAlign w:val="center"/>
          </w:tcPr>
          <w:p>
            <w:pPr>
              <w:pStyle w:val="TableContents"/>
              <w:bidi w:val="0"/>
              <w:spacing w:before="0" w:after="283"/>
              <w:jc w:val="right"/>
              <w:rPr>
                <w:sz w:val="20"/>
              </w:rPr>
            </w:pPr>
            <w:r>
              <w:rPr>
                <w:sz w:val="20"/>
              </w:rPr>
              <w:t>44,438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626" w:type="dxa"/>
            <w:tcBorders/>
            <w:shd w:fill="CCEEFF" w:val="clear"/>
            <w:tcMar>
              <w:bottom w:w="0" w:type="dxa"/>
            </w:tcMar>
            <w:vAlign w:val="center"/>
          </w:tcPr>
          <w:p>
            <w:pPr>
              <w:pStyle w:val="TableContents"/>
              <w:bidi w:val="0"/>
              <w:spacing w:before="0" w:after="283"/>
              <w:jc w:val="right"/>
              <w:rPr>
                <w:sz w:val="20"/>
              </w:rPr>
            </w:pPr>
            <w:r>
              <w:rPr>
                <w:sz w:val="20"/>
              </w:rPr>
              <w:t>44,438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left"/>
              <w:rPr/>
            </w:pPr>
            <w:r>
              <w:rPr/>
              <w:t> </w:t>
            </w:r>
          </w:p>
        </w:tc>
        <w:tc>
          <w:tcPr>
            <w:tcW w:w="1611" w:type="dxa"/>
            <w:tcBorders/>
            <w:shd w:fill="CCEEFF" w:val="clear"/>
            <w:tcMar>
              <w:bottom w:w="0" w:type="dxa"/>
            </w:tcMar>
            <w:vAlign w:val="center"/>
          </w:tcPr>
          <w:p>
            <w:pPr>
              <w:pStyle w:val="TableContents"/>
              <w:bidi w:val="0"/>
              <w:spacing w:before="0" w:after="283"/>
              <w:jc w:val="right"/>
              <w:rPr>
                <w:sz w:val="20"/>
              </w:rPr>
            </w:pPr>
            <w:r>
              <w:rPr>
                <w:sz w:val="20"/>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sz w:val="20"/>
              </w:rPr>
            </w:pPr>
            <w:r>
              <w:rPr>
                <w:sz w:val="20"/>
              </w:rPr>
              <w:t>*</w:t>
            </w:r>
          </w:p>
        </w:tc>
      </w:tr>
      <w:tr>
        <w:trPr/>
        <w:tc>
          <w:tcPr>
            <w:tcW w:w="3013" w:type="dxa"/>
            <w:tcBorders/>
            <w:shd w:fill="FFFFFF" w:val="clear"/>
            <w:tcMar>
              <w:bottom w:w="0" w:type="dxa"/>
            </w:tcMar>
            <w:vAlign w:val="center"/>
          </w:tcPr>
          <w:p>
            <w:pPr>
              <w:pStyle w:val="TableContents"/>
              <w:bidi w:val="0"/>
              <w:spacing w:before="0" w:after="283"/>
              <w:jc w:val="left"/>
              <w:rPr>
                <w:sz w:val="20"/>
              </w:rPr>
            </w:pPr>
            <w:r>
              <w:rPr>
                <w:sz w:val="20"/>
              </w:rPr>
              <w:t>Joshua Rattanong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98" w:type="dxa"/>
            <w:tcBorders/>
            <w:shd w:fill="FFFFFF" w:val="clear"/>
            <w:tcMar>
              <w:bottom w:w="0" w:type="dxa"/>
            </w:tcMar>
            <w:vAlign w:val="center"/>
          </w:tcPr>
          <w:p>
            <w:pPr>
              <w:pStyle w:val="TableContents"/>
              <w:bidi w:val="0"/>
              <w:spacing w:before="0" w:after="283"/>
              <w:jc w:val="right"/>
              <w:rPr>
                <w:sz w:val="20"/>
              </w:rPr>
            </w:pPr>
            <w:r>
              <w:rPr>
                <w:sz w:val="20"/>
              </w:rPr>
              <w:t>22,691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626" w:type="dxa"/>
            <w:tcBorders/>
            <w:shd w:fill="FFFFFF" w:val="clear"/>
            <w:tcMar>
              <w:bottom w:w="0" w:type="dxa"/>
            </w:tcMar>
            <w:vAlign w:val="center"/>
          </w:tcPr>
          <w:p>
            <w:pPr>
              <w:pStyle w:val="TableContents"/>
              <w:bidi w:val="0"/>
              <w:spacing w:before="0" w:after="283"/>
              <w:jc w:val="right"/>
              <w:rPr>
                <w:sz w:val="20"/>
              </w:rPr>
            </w:pPr>
            <w:r>
              <w:rPr>
                <w:sz w:val="20"/>
              </w:rPr>
              <w:t>22,691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left"/>
              <w:rPr/>
            </w:pPr>
            <w:r>
              <w:rPr/>
              <w:t> </w:t>
            </w:r>
          </w:p>
        </w:tc>
        <w:tc>
          <w:tcPr>
            <w:tcW w:w="1611" w:type="dxa"/>
            <w:tcBorders/>
            <w:shd w:fill="FFFFFF" w:val="clear"/>
            <w:tcMar>
              <w:bottom w:w="0" w:type="dxa"/>
            </w:tcMar>
            <w:vAlign w:val="center"/>
          </w:tcPr>
          <w:p>
            <w:pPr>
              <w:pStyle w:val="TableContents"/>
              <w:bidi w:val="0"/>
              <w:spacing w:before="0" w:after="283"/>
              <w:jc w:val="right"/>
              <w:rPr>
                <w:sz w:val="20"/>
              </w:rPr>
            </w:pPr>
            <w:r>
              <w:rPr>
                <w:sz w:val="20"/>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sz w:val="20"/>
              </w:rPr>
            </w:pPr>
            <w:r>
              <w:rPr>
                <w:sz w:val="20"/>
              </w:rPr>
              <w:t>*</w:t>
            </w:r>
          </w:p>
        </w:tc>
      </w:tr>
      <w:tr>
        <w:trPr/>
        <w:tc>
          <w:tcPr>
            <w:tcW w:w="3013" w:type="dxa"/>
            <w:tcBorders/>
            <w:shd w:fill="CCEEFF" w:val="clear"/>
            <w:tcMar>
              <w:bottom w:w="0" w:type="dxa"/>
            </w:tcMar>
            <w:vAlign w:val="center"/>
          </w:tcPr>
          <w:p>
            <w:pPr>
              <w:pStyle w:val="TableContents"/>
              <w:bidi w:val="0"/>
              <w:spacing w:before="0" w:after="283"/>
              <w:jc w:val="left"/>
              <w:rPr>
                <w:sz w:val="20"/>
              </w:rPr>
            </w:pPr>
            <w:r>
              <w:rPr>
                <w:sz w:val="20"/>
              </w:rPr>
              <w:t>Lenka Rattanong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8" w:type="dxa"/>
            <w:tcBorders/>
            <w:shd w:fill="CCEEFF" w:val="clear"/>
            <w:tcMar>
              <w:bottom w:w="0" w:type="dxa"/>
            </w:tcMar>
            <w:vAlign w:val="center"/>
          </w:tcPr>
          <w:p>
            <w:pPr>
              <w:pStyle w:val="TableContents"/>
              <w:bidi w:val="0"/>
              <w:spacing w:before="0" w:after="283"/>
              <w:jc w:val="right"/>
              <w:rPr>
                <w:sz w:val="20"/>
              </w:rPr>
            </w:pPr>
            <w:r>
              <w:rPr>
                <w:sz w:val="20"/>
              </w:rPr>
              <w:t>22,691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626" w:type="dxa"/>
            <w:tcBorders/>
            <w:shd w:fill="CCEEFF" w:val="clear"/>
            <w:tcMar>
              <w:bottom w:w="0" w:type="dxa"/>
            </w:tcMar>
            <w:vAlign w:val="center"/>
          </w:tcPr>
          <w:p>
            <w:pPr>
              <w:pStyle w:val="TableContents"/>
              <w:bidi w:val="0"/>
              <w:spacing w:before="0" w:after="283"/>
              <w:jc w:val="right"/>
              <w:rPr>
                <w:sz w:val="20"/>
              </w:rPr>
            </w:pPr>
            <w:r>
              <w:rPr>
                <w:sz w:val="20"/>
              </w:rPr>
              <w:t>22,691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left"/>
              <w:rPr/>
            </w:pPr>
            <w:r>
              <w:rPr/>
              <w:t> </w:t>
            </w:r>
          </w:p>
        </w:tc>
        <w:tc>
          <w:tcPr>
            <w:tcW w:w="1611" w:type="dxa"/>
            <w:tcBorders/>
            <w:shd w:fill="CCEEFF" w:val="clear"/>
            <w:tcMar>
              <w:bottom w:w="0" w:type="dxa"/>
            </w:tcMar>
            <w:vAlign w:val="center"/>
          </w:tcPr>
          <w:p>
            <w:pPr>
              <w:pStyle w:val="TableContents"/>
              <w:bidi w:val="0"/>
              <w:spacing w:before="0" w:after="283"/>
              <w:jc w:val="right"/>
              <w:rPr>
                <w:sz w:val="20"/>
              </w:rPr>
            </w:pPr>
            <w:r>
              <w:rPr>
                <w:sz w:val="20"/>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sz w:val="20"/>
              </w:rPr>
            </w:pPr>
            <w:r>
              <w:rPr>
                <w:sz w:val="20"/>
              </w:rPr>
              <w:t>*</w:t>
            </w:r>
          </w:p>
        </w:tc>
      </w:tr>
      <w:tr>
        <w:trPr/>
        <w:tc>
          <w:tcPr>
            <w:tcW w:w="3013" w:type="dxa"/>
            <w:tcBorders/>
            <w:shd w:fill="FFFFFF" w:val="clear"/>
            <w:tcMar>
              <w:bottom w:w="0" w:type="dxa"/>
            </w:tcMar>
            <w:vAlign w:val="center"/>
          </w:tcPr>
          <w:p>
            <w:pPr>
              <w:pStyle w:val="TableContents"/>
              <w:bidi w:val="0"/>
              <w:spacing w:before="0" w:after="283"/>
              <w:jc w:val="left"/>
              <w:rPr>
                <w:sz w:val="20"/>
              </w:rPr>
            </w:pPr>
            <w:r>
              <w:rPr>
                <w:sz w:val="20"/>
              </w:rPr>
              <w:t>Perkins Coie LLP</w:t>
            </w:r>
            <w:r>
              <w:rPr>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98" w:type="dxa"/>
            <w:tcBorders/>
            <w:shd w:fill="FFFFFF" w:val="clear"/>
            <w:tcMar>
              <w:bottom w:w="0" w:type="dxa"/>
            </w:tcMar>
            <w:vAlign w:val="center"/>
          </w:tcPr>
          <w:p>
            <w:pPr>
              <w:pStyle w:val="TableContents"/>
              <w:bidi w:val="0"/>
              <w:spacing w:before="0" w:after="283"/>
              <w:jc w:val="right"/>
              <w:rPr>
                <w:sz w:val="20"/>
              </w:rPr>
            </w:pPr>
            <w:r>
              <w:rPr>
                <w:sz w:val="20"/>
              </w:rPr>
              <w:t>60,000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626" w:type="dxa"/>
            <w:tcBorders/>
            <w:shd w:fill="FFFFFF" w:val="clear"/>
            <w:tcMar>
              <w:bottom w:w="0" w:type="dxa"/>
            </w:tcMar>
            <w:vAlign w:val="center"/>
          </w:tcPr>
          <w:p>
            <w:pPr>
              <w:pStyle w:val="TableContents"/>
              <w:bidi w:val="0"/>
              <w:spacing w:before="0" w:after="283"/>
              <w:jc w:val="right"/>
              <w:rPr>
                <w:sz w:val="20"/>
              </w:rPr>
            </w:pPr>
            <w:r>
              <w:rPr>
                <w:sz w:val="20"/>
              </w:rPr>
              <w:t>130,000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left"/>
              <w:rPr/>
            </w:pPr>
            <w:r>
              <w:rPr/>
              <w:t> </w:t>
            </w:r>
          </w:p>
        </w:tc>
        <w:tc>
          <w:tcPr>
            <w:tcW w:w="1611" w:type="dxa"/>
            <w:tcBorders/>
            <w:shd w:fill="FFFFFF" w:val="clear"/>
            <w:tcMar>
              <w:bottom w:w="0" w:type="dxa"/>
            </w:tcMar>
            <w:vAlign w:val="center"/>
          </w:tcPr>
          <w:p>
            <w:pPr>
              <w:pStyle w:val="TableContents"/>
              <w:bidi w:val="0"/>
              <w:spacing w:before="0" w:after="283"/>
              <w:jc w:val="right"/>
              <w:rPr>
                <w:sz w:val="20"/>
              </w:rPr>
            </w:pPr>
            <w:r>
              <w:rPr>
                <w:sz w:val="20"/>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sz w:val="20"/>
              </w:rPr>
            </w:pPr>
            <w:r>
              <w:rPr>
                <w:sz w:val="20"/>
              </w:rPr>
              <w:t>*</w:t>
            </w:r>
          </w:p>
        </w:tc>
      </w:tr>
      <w:tr>
        <w:trPr/>
        <w:tc>
          <w:tcPr>
            <w:tcW w:w="3013" w:type="dxa"/>
            <w:tcBorders/>
            <w:shd w:fill="CCEEFF" w:val="clear"/>
            <w:tcMar>
              <w:bottom w:w="0" w:type="dxa"/>
            </w:tcMar>
            <w:vAlign w:val="center"/>
          </w:tcPr>
          <w:p>
            <w:pPr>
              <w:pStyle w:val="TableContents"/>
              <w:bidi w:val="0"/>
              <w:spacing w:before="0" w:after="283"/>
              <w:jc w:val="left"/>
              <w:rPr>
                <w:sz w:val="20"/>
              </w:rPr>
            </w:pPr>
            <w:r>
              <w:rPr>
                <w:sz w:val="20"/>
              </w:rPr>
              <w:t>Houlihan Capital, LLC</w:t>
            </w:r>
            <w:r>
              <w:rPr>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8" w:type="dxa"/>
            <w:tcBorders/>
            <w:shd w:fill="CCEEFF" w:val="clear"/>
            <w:tcMar>
              <w:bottom w:w="0" w:type="dxa"/>
            </w:tcMar>
            <w:vAlign w:val="center"/>
          </w:tcPr>
          <w:p>
            <w:pPr>
              <w:pStyle w:val="TableContents"/>
              <w:bidi w:val="0"/>
              <w:spacing w:before="0" w:after="283"/>
              <w:jc w:val="right"/>
              <w:rPr>
                <w:sz w:val="20"/>
              </w:rPr>
            </w:pPr>
            <w:r>
              <w:rPr>
                <w:sz w:val="20"/>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626" w:type="dxa"/>
            <w:tcBorders/>
            <w:shd w:fill="CCEEFF" w:val="clear"/>
            <w:tcMar>
              <w:bottom w:w="0" w:type="dxa"/>
            </w:tcMar>
            <w:vAlign w:val="center"/>
          </w:tcPr>
          <w:p>
            <w:pPr>
              <w:pStyle w:val="TableContents"/>
              <w:bidi w:val="0"/>
              <w:spacing w:before="0" w:after="283"/>
              <w:jc w:val="right"/>
              <w:rPr>
                <w:sz w:val="20"/>
              </w:rPr>
            </w:pPr>
            <w:r>
              <w:rPr>
                <w:sz w:val="20"/>
              </w:rPr>
              <w:t>13,000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left"/>
              <w:rPr/>
            </w:pPr>
            <w:r>
              <w:rPr/>
              <w:t> </w:t>
            </w:r>
          </w:p>
        </w:tc>
        <w:tc>
          <w:tcPr>
            <w:tcW w:w="1611" w:type="dxa"/>
            <w:tcBorders/>
            <w:shd w:fill="CCEEFF" w:val="clear"/>
            <w:tcMar>
              <w:bottom w:w="0" w:type="dxa"/>
            </w:tcMar>
            <w:vAlign w:val="center"/>
          </w:tcPr>
          <w:p>
            <w:pPr>
              <w:pStyle w:val="TableContents"/>
              <w:bidi w:val="0"/>
              <w:spacing w:before="0" w:after="283"/>
              <w:jc w:val="right"/>
              <w:rPr>
                <w:sz w:val="20"/>
              </w:rPr>
            </w:pPr>
            <w:r>
              <w:rPr>
                <w:sz w:val="20"/>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our outstanding shares (assuming all of the offered shares are sold by the Selling Stockholders).</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percentages have been rounded up to the nearest one hundredth of one percent.</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49,996 shares of Class A common stock held by FE IV OR Aggregator, LLC (“FE Aggregator”) and (ii) 1,176,950 shares of Class A common stock issuable upon the exercise of Pre-Funded Warrants held by FE Aggregator. FE Aggregator’s right to exercise Pre-Funded Warrants at any particular time is subject to the Beneficial Ownership Limitation described above, however, for purposes of the second column of the above table, all shares of Class A common stock underlying the Pre-Funded Warrants have been included. As the manager, of FE Aggregator, Frederick N. Coulson, IV may be deemed to have voting and dispositive power over the shares of Class A common stock held by FE Aggregator. The address of FE Aggregator and Mr. Coulson is 4801 Main Street, Suite 700, Kansas City, MO 64112.</w:t>
            </w:r>
          </w:p>
        </w:tc>
      </w:tr>
    </w:tbl>
    <w:p>
      <w:pPr>
        <w:pStyle w:val="TextBody"/>
        <w:bidi w:val="0"/>
        <w:jc w:val="center"/>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person having voting and dispositive power over OP Fund II, a series of AngelList-Forefront Venture Partners-Funds, LP is Joshua Cowdin. The address of OP Fund II and Mr. Cowdin is PO Box 3217, Seattle, WA 98114. </w:t>
            </w:r>
          </w:p>
        </w:tc>
      </w:tr>
      <w:tr>
        <w:trPr/>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Perkins as an entity does not have an individual with the power to vote or dispose the securities on behalf of the firm, and no partner or employee of the firm has, or in the last three years has had, in its individual capacity, a material relationship with the Company. The address of Perkins is 1120 NW Couch Street, 10th Floor, Portland, OR 97209. These shares represent additional shares issued to Perkins pursuant to the Repayment Agreement we entered into with them on September 9, 2024, since the amount issuable under the agreement was to be based upon </w:t>
            </w:r>
            <w:r>
              <w:rPr>
                <w:rFonts w:ascii="Times New Roman;Times;Serif" w:hAnsi="Times New Roman;Times;Serif"/>
                <w:b w:val="false"/>
                <w:i w:val="false"/>
                <w:caps w:val="false"/>
                <w:smallCaps w:val="false"/>
                <w:sz w:val="20"/>
                <w:shd w:fill="FFFFFF" w:val="clear"/>
              </w:rPr>
              <w:t>the lower of: (i) the closing price reported by Nasdaq on the date immediately preceding the date of issuance and (ii) the average closing price reported by Nasdaq for the five trading days immediately preceding the date of issuance; we also rounded up the number of shares to be registered to a round number to account for fluctuating market prices.</w:t>
            </w:r>
          </w:p>
        </w:tc>
      </w:tr>
      <w:tr>
        <w:trPr/>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Houlihan Capital, LLC as an entity does not have an individual with the power to vote or dispose the securities on behalf of the firm, and no partner or employee of the firm has, or in the last three years has had, in its individual capacity, a material relationship with the Company. The address of Houlihan is 200 W. Madison Street, Suite 2150 Chicago, IL 60606. These shares represent shares issued to Houlihan pursuant to the Repayment Agreement we entered into with them on June 5, 2025. As per the Repayment Agreement with Houlihan we agreed to issue them a number of shares of our Class A common stock having a market value of $43,000, within 60 days of the date of such agreement. To calculate the number of shares of Class A common stock to include herein, we used the closing price of our Class A common stock on July 22, 2025, which was $3.79 per share and rounded up the number of shares to be registered to a round number to account for fluctuating market prices.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supplement this prospectus from time to time as required by the rules of the SEC to include certain information concerning the security ownership of the Selling Stockholders, the number of securities offered for resale and the position, office, or other material relationship which a Selling Stockholder has had within the past three years with the Company or any of its predecessors or affiliates.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Securityholder and any of its donees, pledgees, assignees and successors-in-interest may, from time to time, sell, transfer, or otherwise dispose of any or all of its shares of Class A common stock covered hereby or interests therein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A Selling Securityholder may use any one or more of the following methods when disposing of shares or interests therein: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through broker-dealers that agree with the Selling Stockholders to sell a specified number of such securities at a stipulated price per security;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or any other exemption from registration under the Securities Act, if available, rather than under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aggregate proceeds to the Selling Stockholders from the sale of the Class A common stock offered by them will be the purchase price of the Class A common stock less discounts or commissions, if any. Each of the Selling Stockholders reserves the right to accept and, together with their agents from time to time, to reject, in whole or in part, any proposed purchase of Class A common stock to be made directly or through agents. We will not receive any of the proceeds from this offering. Upon any exercise of the Pre-Funded Warrants by payment of cash, however, we will receive the exercise price of the Pre-Funded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Securityholder has informed the Company that it does not have any written or oral agreement or understanding, directly or indirectly, with any person to distribute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keep this prospectus effective until the earliest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or (ii) all of the securities have been sold pursuant to this prospectus or Rule 144 under the Securities Act or any other rule of similar effect. The Resale Shares will be sold only through registered or licensed brokers or dealers if required under applicable state securities laws. In addition, in certain states, the Resale Shares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Resale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 short sale is deemed to be a stabilizing activity, then the Selling Stockholders will not be permitted to engage in a short sale of our Class A common stock. All of these limitations may affect the marketability of the shares.</w:t>
      </w:r>
    </w:p>
    <w:p>
      <w:pPr>
        <w:pStyle w:val="TextBody"/>
        <w:shd w:fill="FFFFFF" w:val="clear"/>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Selling Securityholder notifies us that it has a material arrangement with a broker-dealer for the resale of the Class A common stock, then we would be required to amend the registration statement of which this prospectus is a part, and file a prospectus supplement to describe the agreements between the Selling Securityholder and the broker-dealer.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the guidelines of the Financial Industry Regulatory Authority, Inc., or FINRA, the maximum consideration or discount to be received by any member of the FINRA may not exceed 8% of the aggregate amount of the securities offered pursuant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Class A common stock offered by this prospectus have been sold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Selling Stockholders will sell any or all of the securities offered by them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indicates otherwise, the validity of any securities offered by this prospectus and any related prospectus supplement will be passed upon for us by Hunter Taubman Fischer &amp; Li LLC,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LLP (“Marcum”), an independent registered public accounting firm, audited our financial statements for the years ended December 31, 2024 and 2023 included in our Annual Report on Form 10-K for the year ended December 31, 2024, as set forth in their report included therein, which report includes an explanatory paragraph regarding the Company’s ability to continue as a going concern, and is incorporated by reference in this prospectus and elsewhere in the registration statement. Our financial statements are incorporated by reference in reliance on Marcum’s report, given on their authority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CBIZ CPAs P.C., an independent registered public accounting firm (“CBIZ CPAs”), has audited ClearDoc, Inc.’s financial statements for the years ended December 31, 2023 and 2022, as set forth in their report. The office of CBIZ CPAs is located at 700 W 47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 Ste. 1100 Kansas City, MO 64112. ClearDoc, Inc.’s financial statements are incorporated by reference in reliance on CBIZ CPAs’ report, given on their authority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Bush &amp; Associates CPA LLC, an independent registered public accounting firm (“B&amp;A”), has audited Vidello’s financial statements for the years ended March 31, 2024 and 2023, as set forth in their report. The office of B&amp;A is located at 179 N. Gibson Rd., Henderson, NV 89014. Vidello’s financial statements are incorporated by reference in reliance on B&amp;A’s report, given on their authority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with respect to the shares of Class A common stock offered by the Selling Stockholders pursuant to this prospectus. This prospectus does not contain all of the information set forth in the registration statement and its exhibits, certain portions of which are omitted as permitted by the rules and regulations of the SEC. For further information pertaining to us and the shares of Class A common stock covered by this prospectus, we refer you to the registration statement and the exhibits thereto. Statements contained in or incorporated by reference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 web site at www.sec.gov that contains reports, proxy, and information statements and other information regarding registrants that file electronically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and reporting requirements of the Exchange Act and, in accordance therewith, file periodic reports, proxy statements, and other information with the SEC. These periodic reports, proxy statements, and other information, when filed, will be available on the website of the SEC referred to above. We also maintain a website at www.banzai.io. You may access these materials free of charge as soon as reasonably practicable after they are electronically filed with, or furnished to, the SEC. Information contained in, or accessible through, our website does not constitute part of this prospectus.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INCORPORATION OF CERTAIN DOCUMENTS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INCORPORATES DOCUMENTS BY REFERENCE THAT ARE NOT PRESENTED IN OR DELIVERED WITH THIS PROSPECTUS. YOU SHOULD RELY ONLY ON THE INFORMATION CONTAINED IN THIS PROSPECTUS AND IN THE DOCUMENTS THAT WE HAVE INCORPORATED BY REFERENCE INTO THIS PROSPECTUS. WE HAVE NOT AUTHORIZED ANYONE TO PROVIDE YOU WITH INFORMATION THAT IS DIFFERENT FROM OR IN ADDITION TO THE INFORMATION CONTAINED IN THIS DOCUMENT AND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information into this prospectus by reference, which means that we can disclose important information to you by referring you to those documents. The information incorporated by reference is considered to be part of this prospectus. We incorporate by reference the documents listed below and all documents subsequently filed with the SEC pursuant to Section 13(a), 13(c), 14, or 15(d) of the Exchange Act, after the date of this prospectus and prior to the termination of the offering under this prospectus: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2024 Annual Report, filed with the SEC on </w:t>
            </w:r>
            <w:hyperlink r:id="rId2">
              <w:r>
                <w:rPr>
                  <w:rStyle w:val="InternetLink"/>
                  <w:rFonts w:ascii="Times New Roman;Times;Serif" w:hAnsi="Times New Roman;Times;Serif"/>
                  <w:b w:val="false"/>
                  <w:i w:val="false"/>
                  <w:caps w:val="false"/>
                  <w:smallCaps w:val="false"/>
                  <w:sz w:val="20"/>
                </w:rPr>
                <w:t>April 15, 2025</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for the quarter ended March 31, 2025, filed with the SEC on </w:t>
            </w:r>
            <w:hyperlink r:id="rId3">
              <w:r>
                <w:rPr>
                  <w:rStyle w:val="InternetLink"/>
                  <w:rFonts w:ascii="Times New Roman;Times;Serif" w:hAnsi="Times New Roman;Times;Serif"/>
                  <w:b w:val="false"/>
                  <w:i w:val="false"/>
                  <w:caps w:val="false"/>
                  <w:smallCaps w:val="false"/>
                  <w:sz w:val="20"/>
                </w:rPr>
                <w:t>May 15, 2025</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and Form 8-K/A filed with the SEC on </w:t>
            </w:r>
            <w:hyperlink r:id="rId4">
              <w:r>
                <w:rPr>
                  <w:rStyle w:val="InternetLink"/>
                  <w:rFonts w:ascii="Times New Roman;Times;Serif" w:hAnsi="Times New Roman;Times;Serif"/>
                  <w:b w:val="false"/>
                  <w:i w:val="false"/>
                  <w:caps w:val="false"/>
                  <w:smallCaps w:val="false"/>
                  <w:sz w:val="20"/>
                </w:rPr>
                <w:t>January 23, 2025</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January 31, 2025</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February 3, 2025</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February 13, 2025</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March 3, 2025</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March 4, 2025</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April 11, 2025</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April 15, 2025</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April 18, 2025</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April 25, 2025</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June 10, 2025,</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June 27, 2025</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July 2, 2025</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July 3, 2025</w:t>
              </w:r>
            </w:hyperlink>
            <w:r>
              <w:rPr>
                <w:rFonts w:ascii="Times New Roman;Times;Serif" w:hAnsi="Times New Roman;Times;Serif"/>
                <w:b w:val="false"/>
                <w:i w:val="false"/>
                <w:caps w:val="false"/>
                <w:smallCaps w:val="false"/>
                <w:sz w:val="20"/>
              </w:rPr>
              <w:t xml:space="preserve"> and </w:t>
            </w:r>
            <w:hyperlink r:id="rId18">
              <w:r>
                <w:rPr>
                  <w:rStyle w:val="InternetLink"/>
                  <w:rFonts w:ascii="Times New Roman;Times;Serif" w:hAnsi="Times New Roman;Times;Serif"/>
                  <w:b w:val="false"/>
                  <w:i w:val="false"/>
                  <w:caps w:val="false"/>
                  <w:smallCaps w:val="false"/>
                  <w:sz w:val="20"/>
                </w:rPr>
                <w:t>July 9, 2025</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set forth in the Annual Report on Form 10-K, filed with the SEC on </w:t>
            </w:r>
            <w:hyperlink r:id="rId19">
              <w:r>
                <w:rPr>
                  <w:rStyle w:val="InternetLink"/>
                  <w:rFonts w:ascii="Times New Roman;Times;Serif" w:hAnsi="Times New Roman;Times;Serif"/>
                  <w:b w:val="false"/>
                  <w:i w:val="false"/>
                  <w:caps w:val="false"/>
                  <w:smallCaps w:val="false"/>
                  <w:sz w:val="20"/>
                </w:rPr>
                <w:t>April 15, 2025</w:t>
              </w:r>
            </w:hyperlink>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in the documents referred to above that are incorporated by reference in this prospectus and that were filed prior to the 1-for-10 reverse split of our common stock that was effective on July 8, 2025, do not reflect the effects of such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prospectus shall be deemed to incorporate information furnished, but not filed, with the SEC pursuant to Item 2.02 or Item 7.01 of Form 8-K and corresponding information furnished under Item 9.01 of Form 8-K or included as an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in this prospectus supersedes related information in the documents listed above and information in subsequently filed documents supersedes related information in both this prospectus and the incorporated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request orally or in writing, and we will provide you with, a copy of these filings, at no cost, by calling us at </w:t>
      </w:r>
      <w:r>
        <w:rPr>
          <w:rFonts w:ascii="Times New Roman;Times;Serif" w:hAnsi="Times New Roman;Times;Serif"/>
          <w:b w:val="false"/>
          <w:i w:val="false"/>
          <w:caps w:val="false"/>
          <w:smallCaps w:val="false"/>
          <w:sz w:val="20"/>
          <w:shd w:fill="FFFFFF" w:val="clear"/>
        </w:rPr>
        <w:t>(206) 414-1777</w:t>
      </w:r>
      <w:r>
        <w:rPr>
          <w:rFonts w:ascii="Times New Roman;Times;Serif" w:hAnsi="Times New Roman;Times;Serif"/>
          <w:b w:val="false"/>
          <w:i w:val="false"/>
          <w:caps w:val="false"/>
          <w:smallCaps w:val="false"/>
          <w:sz w:val="20"/>
        </w:rPr>
        <w:t xml:space="preserve"> or by writing to us at the following address: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 Ericksen Ave., Suite 250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Bainbridge Island, Washington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filings and reports can also be found on our website, located at www.banzai.io. Our website and the information contained on, or that can be accessed through, our website will not be deemed to be incorporated by reference in, and are not considered part of, this prospectus or the registration statement of which it forms a part. You should not rely on any information on our website in making your decision to purchase our securities.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1,502,826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shares of Class A common stock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August 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2025</w:t>
      </w:r>
    </w:p>
    <w:p>
      <w:pPr>
        <w:pStyle w:val="TextBody"/>
        <w:pBd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pBdr/>
        <w:bidi w:val="0"/>
        <w:spacing w:before="0" w:after="0"/>
        <w:ind w:left="0" w:right="0" w:firstLine="72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payable by us in connection with the sale of the securities being registered. All amounts shown are estimates except the U.S. Securities and Exchange Commission registration fee.</w:t>
      </w:r>
    </w:p>
    <w:p>
      <w:pPr>
        <w:pStyle w:val="TextBody"/>
        <w:pBdr/>
        <w:bidi w:val="0"/>
        <w:spacing w:before="0" w:after="0"/>
        <w:ind w:left="0" w:right="0" w:hanging="0"/>
        <w:jc w:val="left"/>
        <w:rPr>
          <w:caps w:val="false"/>
          <w:smallCaps w:val="false"/>
        </w:rPr>
      </w:pPr>
      <w:r>
        <w:rPr>
          <w:caps w:val="false"/>
          <w:smallCaps w:val="false"/>
        </w:rPr>
        <w:t> </w:t>
      </w:r>
    </w:p>
    <w:tbl>
      <w:tblPr>
        <w:tblW w:w="6488" w:type="dxa"/>
        <w:jc w:val="left"/>
        <w:tblInd w:w="0" w:type="dxa"/>
        <w:tblLayout w:type="fixed"/>
        <w:tblCellMar>
          <w:top w:w="0" w:type="dxa"/>
          <w:left w:w="0" w:type="dxa"/>
          <w:bottom w:w="0" w:type="dxa"/>
          <w:right w:w="0" w:type="dxa"/>
        </w:tblCellMar>
      </w:tblPr>
      <w:tblGrid>
        <w:gridCol w:w="5555"/>
        <w:gridCol w:w="60"/>
        <w:gridCol w:w="140"/>
        <w:gridCol w:w="695"/>
        <w:gridCol w:w="38"/>
      </w:tblGrid>
      <w:tr>
        <w:trPr/>
        <w:tc>
          <w:tcPr>
            <w:tcW w:w="5555" w:type="dxa"/>
            <w:tcBorders/>
            <w:shd w:fill="CCEEFF" w:val="clear"/>
            <w:vAlign w:val="center"/>
          </w:tcPr>
          <w:p>
            <w:pPr>
              <w:pStyle w:val="TableContents"/>
              <w:bidi w:val="0"/>
              <w:spacing w:before="0" w:after="283"/>
              <w:jc w:val="left"/>
              <w:rPr/>
            </w:pPr>
            <w:r>
              <w:rPr/>
              <w:t>U.S. 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196.25</w:t>
            </w:r>
          </w:p>
        </w:tc>
        <w:tc>
          <w:tcPr>
            <w:tcW w:w="38" w:type="dxa"/>
            <w:tcBorders/>
            <w:shd w:fill="CCEEFF" w:val="clear"/>
            <w:vAlign w:val="center"/>
          </w:tcPr>
          <w:p>
            <w:pPr>
              <w:pStyle w:val="TableContents"/>
              <w:bidi w:val="0"/>
              <w:spacing w:before="0" w:after="283"/>
              <w:jc w:val="left"/>
              <w:rPr>
                <w:sz w:val="4"/>
                <w:szCs w:val="4"/>
              </w:rPr>
            </w:pPr>
            <w:r>
              <w:rPr>
                <w:sz w:val="4"/>
                <w:szCs w:val="4"/>
              </w:rPr>
            </w:r>
          </w:p>
        </w:tc>
      </w:tr>
      <w:tr>
        <w:trPr/>
        <w:tc>
          <w:tcPr>
            <w:tcW w:w="5555"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15,750*</w:t>
            </w:r>
          </w:p>
        </w:tc>
        <w:tc>
          <w:tcPr>
            <w:tcW w:w="38" w:type="dxa"/>
            <w:tcBorders/>
            <w:shd w:fill="FFFFFF" w:val="clear"/>
            <w:vAlign w:val="center"/>
          </w:tcPr>
          <w:p>
            <w:pPr>
              <w:pStyle w:val="TableContents"/>
              <w:bidi w:val="0"/>
              <w:spacing w:before="0" w:after="283"/>
              <w:jc w:val="left"/>
              <w:rPr>
                <w:sz w:val="4"/>
                <w:szCs w:val="4"/>
              </w:rPr>
            </w:pPr>
            <w:r>
              <w:rPr>
                <w:sz w:val="4"/>
                <w:szCs w:val="4"/>
              </w:rPr>
            </w:r>
          </w:p>
        </w:tc>
      </w:tr>
      <w:tr>
        <w:trPr/>
        <w:tc>
          <w:tcPr>
            <w:tcW w:w="5555"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w:t>
            </w:r>
          </w:p>
        </w:tc>
        <w:tc>
          <w:tcPr>
            <w:tcW w:w="38" w:type="dxa"/>
            <w:tcBorders/>
            <w:shd w:fill="CCEEFF" w:val="clear"/>
            <w:vAlign w:val="center"/>
          </w:tcPr>
          <w:p>
            <w:pPr>
              <w:pStyle w:val="TableContents"/>
              <w:bidi w:val="0"/>
              <w:spacing w:before="0" w:after="283"/>
              <w:jc w:val="left"/>
              <w:rPr>
                <w:sz w:val="4"/>
                <w:szCs w:val="4"/>
              </w:rPr>
            </w:pPr>
            <w:r>
              <w:rPr>
                <w:sz w:val="4"/>
                <w:szCs w:val="4"/>
              </w:rPr>
            </w:r>
          </w:p>
        </w:tc>
      </w:tr>
      <w:tr>
        <w:trPr/>
        <w:tc>
          <w:tcPr>
            <w:tcW w:w="5555" w:type="dxa"/>
            <w:tcBorders/>
            <w:shd w:fill="FFFFFF" w:val="clear"/>
            <w:vAlign w:val="center"/>
          </w:tcPr>
          <w:p>
            <w:pPr>
              <w:pStyle w:val="TableContents"/>
              <w:bidi w:val="0"/>
              <w:spacing w:before="0" w:after="283"/>
              <w:jc w:val="left"/>
              <w:rPr/>
            </w:pPr>
            <w:r>
              <w:rPr/>
              <w:t>Miscellaneous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95" w:type="dxa"/>
            <w:tcBorders/>
            <w:shd w:fill="FFFFFF" w:val="clear"/>
            <w:vAlign w:val="center"/>
          </w:tcPr>
          <w:p>
            <w:pPr>
              <w:pStyle w:val="TableContents"/>
              <w:bidi w:val="0"/>
              <w:spacing w:before="0" w:after="283"/>
              <w:jc w:val="right"/>
              <w:rPr/>
            </w:pPr>
            <w:r>
              <w:rPr/>
              <w:t>*</w:t>
            </w:r>
          </w:p>
        </w:tc>
        <w:tc>
          <w:tcPr>
            <w:tcW w:w="38" w:type="dxa"/>
            <w:tcBorders/>
            <w:shd w:fill="FFFFFF" w:val="clear"/>
            <w:vAlign w:val="center"/>
          </w:tcPr>
          <w:p>
            <w:pPr>
              <w:pStyle w:val="TableContents"/>
              <w:bidi w:val="0"/>
              <w:spacing w:before="0" w:after="283"/>
              <w:jc w:val="left"/>
              <w:rPr>
                <w:sz w:val="4"/>
                <w:szCs w:val="4"/>
              </w:rPr>
            </w:pPr>
            <w:r>
              <w:rPr>
                <w:sz w:val="4"/>
                <w:szCs w:val="4"/>
              </w:rPr>
            </w:r>
          </w:p>
        </w:tc>
      </w:tr>
      <w:tr>
        <w:trPr/>
        <w:tc>
          <w:tcPr>
            <w:tcW w:w="5555" w:type="dxa"/>
            <w:tcBorders/>
            <w:shd w:fill="CCEEFF" w:val="clear"/>
            <w:vAlign w:val="center"/>
          </w:tcPr>
          <w:p>
            <w:pPr>
              <w:pStyle w:val="TableContents"/>
              <w:bidi w:val="0"/>
              <w:spacing w:before="0" w:after="283"/>
              <w:jc w:val="left"/>
              <w:rPr>
                <w:b/>
              </w:rPr>
            </w:pPr>
            <w:r>
              <w:rPr>
                <w:b/>
              </w:rPr>
              <w:t>Total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38"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be provided by a prospectus supplement or as an exhibit to a current report on Form 8-K that is incorporated by reference into this prospectus. Estimated solely for this item. Actual expenses may vary.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Indemnification of officers, directors, employees, and agents; insurance.</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pBdr/>
        <w:bidi w:val="0"/>
        <w:spacing w:before="0" w:after="0"/>
        <w:ind w:left="0" w:right="0" w:hanging="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pStyle w:val="TextBody"/>
        <w:pBdr/>
        <w:bidi w:val="0"/>
        <w:spacing w:before="0" w:after="0"/>
        <w:ind w:left="0" w:right="0" w:firstLine="49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102(b)(7) of the DGCL, our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liability of directors, then, in accordance with our Charter, the liability of our directors to us or our stockholders will be eliminated or limited to the fullest extent authorized by the DGCL, as so amended. Any repeal or amendment of provisions of our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person eligible for indemnification pursuant to our Charter will be indemnified by us in connection with a proceeding initiated by such person only if such proceeding was authorized by our board of directors, except for proceedings to enforce rights to indemnification.</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indemnification which will be conferred by our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Charter or otherwise.</w:t>
      </w:r>
    </w:p>
    <w:p>
      <w:pPr>
        <w:pStyle w:val="TextBody"/>
        <w:pBdr/>
        <w:bidi w:val="0"/>
        <w:spacing w:before="0" w:after="0"/>
        <w:ind w:left="0" w:right="0" w:firstLine="49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to indemnification and advancement of expenses will not be deemed exclusive of any other rights which any person covered by our Charter may have or hereafter acquire under law, our Charter, our Bylaws, an agreement, vote of stockholders or disinterested directors, or otherwise.</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repeal or amendment of provisions of our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Charter also permits us, to the extent and in the manner authorized or permitted by law, to indemnify and to advance expenses to persons other that those specifically covered by our Charter.</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include the provisions relating to advancement of expenses and indemnification rights consistent with those which are set forth in our Charter.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officers and directors.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pStyle w:val="TextBody"/>
        <w:pBdr/>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exhibits to this registration statement, including those exhibits incorporated herein by reference to a prior filing under the Securities Act or the Exchange Act, as indicated in parentheses: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"https://www.sec.gov/Archives/edgar/data/1826011/000119312523225201/d441541ds4.htm" \l "rom441541_40"</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Agreement and Plan of Merger, dated December 8, 2022, by and among Banzai, 7GC, First Merger Sub and Second Merger Sub (incorporated by reference to Annex A-1 to the Registration Statement on Form S-4 filed on August 31, 2023).</w:t>
            </w:r>
            <w:r>
              <w:rPr>
                <w:rStyle w:val="InternetLink"/>
                <w:smallCaps w:val="false"/>
                <w:caps w:val="false"/>
                <w:sz w:val="20"/>
                <w:i w:val="false"/>
                <w:b w:val="false"/>
                <w:rFonts w:ascii="Times New Roman;Times;Serif" w:hAnsi="Times New Roman;Times;Serif"/>
              </w:rPr>
              <w:fldChar w:fldCharType="end"/>
            </w:r>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"https://www.sec.gov/Archives/edgar/data/1826011/000119312523225201/d441541ds4.htm" \l "rom441541_41"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Amendment to Agreement and Plan of Merger, dated August 4, 2023, by and among the Company and 7GC (incorporated by reference to Annex A-2 to the Registration Statement on Form S-4 filed on August 31, 2023).</w:t>
            </w:r>
            <w:r>
              <w:rPr>
                <w:rStyle w:val="InternetLink"/>
                <w:smallCaps w:val="false"/>
                <w:caps w:val="false"/>
                <w:sz w:val="20"/>
                <w:i w:val="false"/>
                <w:b w:val="false"/>
                <w:rFonts w:ascii="Times New Roman;Times;Serif" w:hAnsi="Times New Roman;Times;Serif"/>
              </w:rPr>
              <w:fldChar w:fldCharType="end"/>
            </w:r>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Agreement and Plan of Merger dated December 10, 2024, by and among Banzai International, Inc., Banzai Reel Acquisition, Inc. ClearDoc, Inc., and certain stockholders of ClearDoc, Inc. (incorporated by reference to Exhibit 2.1 to the Current Report on Form 8-K filed on December 19, 2024).</w:t>
              </w:r>
            </w:hyperlink>
          </w:p>
        </w:tc>
      </w:tr>
      <w:tr>
        <w:trPr/>
        <w:tc>
          <w:tcPr>
            <w:tcW w:w="785" w:type="dxa"/>
            <w:tcBorders/>
            <w:tcMar>
              <w:bottom w:w="0" w:type="dxa"/>
            </w:tcMar>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60" w:type="dxa"/>
            <w:tcBorders/>
            <w:tcMar>
              <w:bottom w:w="0" w:type="dxa"/>
            </w:tcMar>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9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Acquisition Agreement dated December 19, 2024, by and among Banzai International, Inc., Vidello Limited, and the Shareholders of Vidello Limited (incorporated by reference to Exhibit 2.1 to the Current Report on Form 8-K filed on December 20, 2024).</w:t>
              </w:r>
            </w:hyperlink>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Second Amended and Restated Certificate of Incorporation of the Company dated December 14, 2023. (incorporated by reference to the Exhibit 3.1 to the Current Report on Form 8-K filed on December 20, 2023).</w:t>
              </w:r>
            </w:hyperlink>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Second Amended and Restated Bylaws of the Company, dated December 14, 2023 (incorporated by reference to the Exhibit 3.2 to the Current Report on Form 8-K filed on December 20, 2023).</w:t>
              </w:r>
            </w:hyperlink>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Third Amended and Restated Bylaws of the Company, dated December 14, 2023 (incorporated by reference to the Exhibit 3.2 to the Current Report on Form 8-K filed on March 4, 2025).</w:t>
              </w:r>
            </w:hyperlink>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Amendment to Second Amended and Restated Certificate of Incorporation of the Company, dated September 11, 2024. (incorporated by reference to the Exhibit 3.1 to the Current Report on Form 8-K filed on September 16, 2024).</w:t>
              </w:r>
            </w:hyperlink>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Amendment to Second Amended and Restated Certificate of Incorporation of the Company, dated March 3, 2025. (incorporated by reference to the Exhibit 3.1 to the Current Report on Form 8-K filed on March 4, 2025).</w:t>
              </w:r>
            </w:hyperlink>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Certificate of Designation of Series FE Preferred Stock (incorporated by reference to Exhibit 3.1 to the Current Report on Form 8-K filed on December 19, 2024).</w:t>
              </w:r>
            </w:hyperlink>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Certificate of Amendment (incorporated by reference to the Exhibit 3.1 to the Current Report on Form 8-K filed on June 27, 2025)</w:t>
              </w:r>
            </w:hyperlink>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Specimen Common Stock Certificate of the Company (incorporated by reference to the Exhibit 4.1 to the Current Report on Form 8-K filed on December 20, 2023).</w:t>
              </w:r>
            </w:hyperlink>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Specimen Class B common stock Certificate of the Company (incorporated by reference to the Exhibit 4.2 to the Current Report on Form 8-K filed on December 20, 2023).</w:t>
              </w:r>
            </w:hyperlink>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Specimen Warrant Certificate of the Company (incorporated by reference to the Exhibit 4.3 to the Current Report on Form 8-K filed on December 20, 2023).</w:t>
              </w:r>
            </w:hyperlink>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Warrant Agreement, dated December 22, 2020, by and between 7GC and Continental Stock Transfer &amp; Trust Company, as warrant agent (incorporated by reference to Exhibit 4.1 to the Current Report on Form 8-K filed by 7GC on December 28, 2020).</w:t>
              </w:r>
            </w:hyperlink>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Amended and Restated Convertible Promissory Note, by and among Banzai and CP BF Lending, LLC (incorporated by reference to Exhibit 4.7 to the Registration Statement on Form S-4 filed by 7GC on August 30, 2023).</w:t>
              </w:r>
            </w:hyperlink>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Subordinated Promissory Note, dated December 13, 2023, issued by the Company to Alco Investment Company (incorporated by reference to the Exhibit 4.5 to the Current Report on Form 8-K filed on December 20, 2023).</w:t>
              </w:r>
            </w:hyperlink>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Warrant to Purchase Shares of Common Stock of Banzai International, Inc., dated December 15, 2023, issued by the Company to GEM Yield Bahamas Limited (incorporated by reference to the Exhibit 4.7 to the Current Report on Form 8-K filed on December 20, 2023).</w:t>
              </w:r>
            </w:hyperlink>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tcMar>
              <w:bottom w:w="0" w:type="dxa"/>
            </w:tcM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Promissory Note, dated as of December 14, 2023, issued by Banzai International, Inc. (f/k/a 7GC &amp; Co. Holdings Inc.) to YA II PN, LTD. (incorporated by reference to Exhibit 10.2 to the Current Report on Form 8-K filed on December 18, 2023).</w:t>
              </w:r>
            </w:hyperlink>
          </w:p>
        </w:tc>
      </w:tr>
    </w:tbl>
    <w:p>
      <w:pPr>
        <w:pStyle w:val="TextBody"/>
        <w:bidi w:val="0"/>
        <w:spacing w:before="0" w:after="0"/>
        <w:ind w:left="0" w:right="0" w:hanging="0"/>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Promissory Note, dated as of February 5, 2024, issued by Banzai International, Inc. to YA II PN, LTD (incorporated by reference to the Exhibit 4.11 to the Registration Statement on Form S-1 filed on February 5, 2024).</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Promissory Note, dated as of March 26, 2024, issued by Banzai International, Inc. to YA II PN, LTD (incorporated by reference to Exhibit 4.10 to the Annual Report on Form 10-K filed on April 1, 2024).</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Promissory Note, dated October 3, 2023, issued by 7GC to the Sponsor (incorporated by reference to Exhibit 10.1 to the Current Report on Form 8-K filed by 7GC on October 4, 2023).</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Unsecured Promissory Note, dated February 5, 2024, issued by the Company to GEM Global Yield LLC SCS (incorporated by reference to Exhibit 10.4 to the Current Report on Form 8-K filed on February 8, 2024).</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Form of Common Warrant (incorporated by reference to Exhibit 10.3 to the Current Report on Form 8-K filed on May 28, 2024).</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Subordinated Promissory Note, dated as of August 30, 2023, by and between Banzai International, Inc., Alco Investment Company and CP BF Lending, LLC (incorporated by reference to Exhibit 4.21 to the Registration Statement filed on Form S-1 on September 19, 2024).</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Amendment No. 3 to August 30, 2023, Subordinated Promissory Note (incorporated by reference to Exhibit 4.22 to the Registration Statement filed on Form S-1 on September 19, 2024).</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Amendment No. 4 to November 16, 2023, Subordinated Promissory Note (incorporated by reference to Exhibit 4.24 to the Registration Statement filed on Form S-1 on September 19, 2024).</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Private Placement Warrant, dated as of September 20, 2024, by and between Banzai International, Inc. and Alco Investment Company (incorporated by reference to the Exhibit 10.23 to the Current Report on Form 8-K filed on September 25, 2024).</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Pre-funded Private Placement Warrant, dated as of September 20, 2024, by and between Banzai International, Inc. and Alco Investment Company (incorporated by reference to the Exhibit 10.22 to the Current Report on Form 8-K filed on September 25, 2024).</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Private Placement Warrant, dated as of September 23, 2024, by and between Banzai International, Inc. and CP BF Lending, LLC (incorporated by reference to the Exhibit 10.27 to the Current Report on Form 8-K filed on September 25, 2024).</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Pre-funded Private Placement Warrant, dated as of September 23, 2024, by and between Banzai International, Inc. and CP BF Lending, LLC (incorporated by reference to the Exhibit 10.26 to the Current Report on Form 8-K filed on September 25, 2024).</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Convertible Note, dated as of September 23, 2024, by and between Banzai International, Inc. and CP BF Lending, LLC (incorporated by reference to the Registration Statement on Form S-1 filed with the SEC on October 16, 2024).</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Form of Pre-Funded Warrant (incorporated by reference to the Exhibit 4.1 to the Current Report on Form 8-K filed on September 27, 2024).</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Form of Series A Warrant (incorporated by reference to the Exhibit 4.2 to the Current Report on Form 8-K filed on September 27, 2024).</w:t>
              </w:r>
            </w:hyperlink>
          </w:p>
        </w:tc>
      </w:tr>
    </w:tbl>
    <w:p>
      <w:pPr>
        <w:pStyle w:val="TextBody"/>
        <w:bidi w:val="0"/>
        <w:spacing w:before="0" w:after="0"/>
        <w:ind w:left="0" w:right="0" w:hanging="0"/>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Form of Series B Warrant (incorporated by reference to the Exhibit 4.3 to the Current Report on Form 8-K filed on September 27,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Form of Placement Agent Warrant (incorporated by reference to the Exhibit 4.4 to the Current Report on Form 8-K filed on September 27,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Form of Senior Secured Convertible Note (incorporated by reference to Exhibit 4.1 to the Current Report on Form 8-K filed on July 3, 2025).</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Form of Warrant (incorporated by reference to Exhibit 4.2 to the Current Report on Form 8-K filed on July 3, 2025).</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Opinion of Hunter Taubman Fischer &amp; Li LLC. *</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Letter Agreement, dated December 22, 2020, by and among 7GC, its officers, its directors and the Sponsor (incorporated by reference to Exhibit 10.1 to the Current Report on Form 8-K filed by 7GC on December 28, 2020).</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Private Placement Warrants Purchase Agreement, dated December 22, 2020, by and between 7GC and the Sponsor (incorporated by reference to Exhibit 10.5 to the Current Report on Form 8-K filed by 7GC on December 28, 2020).</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Amended and Restated Registration Rights Agreement, dated December 14, 2023, by and among the Company, the Sponsor, certain stockholders of the Company (incorporated by reference to Exhibit 10.6 to the Current Report on Form 8-K filed on December 20, 2023).</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"https://www.sec.gov/Archives/edgar/data/1826011/000119312523225201/d441541ds4.htm" \l "ii441541_anxd"</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Form of Lock-Up Agreement, by and between the Company and certain stockholders and executives of Legacy Banzai (incorporated by reference to Annex D to the Registration Statement on Form S-4 filed on August 31, 2023).</w:t>
            </w:r>
            <w:r>
              <w:rPr>
                <w:rStyle w:val="InternetLink"/>
                <w:smallCaps w:val="false"/>
                <w:caps w:val="false"/>
                <w:sz w:val="20"/>
                <w:i w:val="false"/>
                <w:b w:val="false"/>
                <w:rFonts w:ascii="Times New Roman;Times;Serif" w:hAnsi="Times New Roman;Times;Serif"/>
              </w:rPr>
              <w:fldChar w:fldCharType="end"/>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Banzai International, Inc. 2023 Equity Incentive Plan (incorporated by reference to Exhibit 99.1 to the Registration Statement on Form S-8 filed on March 25,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Banzai International, Inc. 2023 Employee Stock Purchase Plan (incorporated by reference to Exhibit 99.2 to the Registration Statement on Form S-8 filed on March 25,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Loan Agreement, dated February 19, 2021, by and among the Company, Joseph P. Davy as an Individual Guarantor, Demio, Inc., as an Individual Guarantor and CP BF Lending, LLC, as Lender (incorporated by reference to Exhibit 10.16 to the Registration Statement on Form S-4 filed by 7GC on August 30, 2023).</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Forbearance Agreement, dated August 24, 2023, by and among the Company, the guarantors party to the Loan Agreement (as defined therein), and CP BF Lending, LLC (incorporated by reference to Exhibit 10.18 to the Registration Statement on Form S-4 filed by 7GC on August 30, 2023).</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Standby Equity Purchase Agreement, dated as of December 14, 2023, by and among Banzai International, Inc. (f/k/a 7GC &amp; Co. Holdings Inc.), YA II PN, LTD., and Banzai Operating Co LLC (f/k/a Banzai International, Inc.) (incorporated by reference to Exhibit 10.1 to the Current Report on Form 8-K filed on December 18, 2023).</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Registration Rights Agreement, dated as of December 14, 2023, by and between Banzai International, Inc. (f/k/a 7GC &amp; Co. Holdings Inc.) and YA II PN, LTD. (incorporated by reference to Exhibit 10.3 to the Current Report on Form 8-K filed on December 18, 2023).</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Share Transfer Agreement, dated December 13, 2023, by and among the Company, the Sponsor and Alco Investment Company (incorporated by reference to Exhibit 10.5 to the Current Report on Form 8-K filed on December 20, 2023).</w:t>
              </w:r>
            </w:hyperlink>
          </w:p>
        </w:tc>
      </w:tr>
    </w:tbl>
    <w:p>
      <w:pPr>
        <w:pStyle w:val="TextBody"/>
        <w:bidi w:val="0"/>
        <w:spacing w:before="0" w:after="0"/>
        <w:ind w:left="0" w:right="0" w:hanging="0"/>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Form of Indemnification Agreement by and between the Company and its directors and officers (incorporated by reference to Exhibit 10.8 to the Current Report on Form 8-K filed on December 20, 2023).</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8">
              <w:r>
                <w:rPr>
                  <w:rStyle w:val="InternetLink"/>
                  <w:rFonts w:ascii="Times New Roman;Times;Serif" w:hAnsi="Times New Roman;Times;Serif"/>
                  <w:b w:val="false"/>
                  <w:i w:val="false"/>
                  <w:caps w:val="false"/>
                  <w:smallCaps w:val="false"/>
                  <w:sz w:val="20"/>
                </w:rPr>
                <w:t>Amendment to Fee Reduction Agreement, dated December 28, 2023, by and between Banzai International, Inc. (f/k/a 7GC &amp; Co. Holdings Inc.) and Cantor Fitzgerald (incorporated by reference to Exhibit 10.26 of Amendment No. 1 to the Registration Statement on Form S-1 filed on February 5,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Settlement Agreement, dated February 5, 2024, by and between Banzai International, Inc. (f/k/a 7GC &amp; Co. Holdings Inc.), GEM Global Yield LLC SCS and GEM Yield Bahamas Limited (incorporated by reference to Exhibit 10.27 of Amendment No. 1 to the Registration Statement on Form S-1 filed on February 5,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0">
              <w:r>
                <w:rPr>
                  <w:rStyle w:val="InternetLink"/>
                  <w:rFonts w:ascii="Times New Roman;Times;Serif" w:hAnsi="Times New Roman;Times;Serif"/>
                  <w:b w:val="false"/>
                  <w:i w:val="false"/>
                  <w:caps w:val="false"/>
                  <w:smallCaps w:val="false"/>
                  <w:sz w:val="20"/>
                </w:rPr>
                <w:t>Supplemental Agreement, dated February 5, 2024, by and between Banzai International, Inc. (f/k/a 7GC &amp; Co. Holdings Inc.) and YA II PN, LTD (incorporated by reference to Exhibit 10.29 of Amendment No. 1 to the Registration Statement on Form S-1 filed on February 5,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1">
              <w:r>
                <w:rPr>
                  <w:rStyle w:val="InternetLink"/>
                  <w:rFonts w:ascii="Times New Roman;Times;Serif" w:hAnsi="Times New Roman;Times;Serif"/>
                  <w:b w:val="false"/>
                  <w:i w:val="false"/>
                  <w:caps w:val="false"/>
                  <w:smallCaps w:val="false"/>
                  <w:sz w:val="20"/>
                </w:rPr>
                <w:t>Addendum to Letter Agreements, dated February 5, 2024, by and between Banzai International, Inc. (f/k/a 7GC &amp; Co. Holdings Inc.) and Roth Capital Partners, LLC (incorporated by reference to Exhibit 10.30 of Amendment No. 1 to the Registration Statement on Form S-1 filed on February 5,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2">
              <w:r>
                <w:rPr>
                  <w:rStyle w:val="InternetLink"/>
                  <w:rFonts w:ascii="Times New Roman;Times;Serif" w:hAnsi="Times New Roman;Times;Serif"/>
                  <w:b w:val="false"/>
                  <w:i w:val="false"/>
                  <w:caps w:val="false"/>
                  <w:smallCaps w:val="false"/>
                  <w:sz w:val="20"/>
                </w:rPr>
                <w:t>Second Amendment to Loan Agreement by and among the Company, Demio Holding Inc., Banzai Operating Co. LLC and CP BF Lending, LLC, as Lender dated as of September 23, 2024 (incorporated by reference to the Exhibit 10.19 to the Current Report on Form 8-K/A filed on September 27,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3">
              <w:r>
                <w:rPr>
                  <w:rStyle w:val="InternetLink"/>
                  <w:rFonts w:ascii="Times New Roman;Times;Serif" w:hAnsi="Times New Roman;Times;Serif"/>
                  <w:b w:val="false"/>
                  <w:i w:val="false"/>
                  <w:caps w:val="false"/>
                  <w:smallCaps w:val="false"/>
                  <w:sz w:val="20"/>
                </w:rPr>
                <w:t>Debt Repayment Agreement, dated as of May 3, 2024, by and among the Company and Yorkville (incorporated by reference to Exhibit 99.2 to the Current Report on Form 8-K filed on May 16,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4">
              <w:r>
                <w:rPr>
                  <w:rStyle w:val="InternetLink"/>
                  <w:rFonts w:ascii="Times New Roman;Times;Serif" w:hAnsi="Times New Roman;Times;Serif"/>
                  <w:b w:val="false"/>
                  <w:i w:val="false"/>
                  <w:caps w:val="false"/>
                  <w:smallCaps w:val="false"/>
                  <w:sz w:val="20"/>
                </w:rPr>
                <w:t>Amended and Restated Debt Repayment Agreement, dated as of May 22, 2024, by and between the Company and Yorkville (incorporated by reference to Exhibit 4.12 to the Registration Statement filed on Form S-1 on September 19,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5">
              <w:r>
                <w:rPr>
                  <w:rStyle w:val="InternetLink"/>
                  <w:rFonts w:ascii="Times New Roman;Times;Serif" w:hAnsi="Times New Roman;Times;Serif"/>
                  <w:b w:val="false"/>
                  <w:i w:val="false"/>
                  <w:caps w:val="false"/>
                  <w:smallCaps w:val="false"/>
                  <w:sz w:val="20"/>
                </w:rPr>
                <w:t>Form of Securities Purchase Agreement (incorporated by reference to Exhibit 10.1 to the Current Report on Form 8-K filed on May 28,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6">
              <w:r>
                <w:rPr>
                  <w:rStyle w:val="InternetLink"/>
                  <w:rFonts w:ascii="Times New Roman;Times;Serif" w:hAnsi="Times New Roman;Times;Serif"/>
                  <w:b w:val="false"/>
                  <w:i w:val="false"/>
                  <w:caps w:val="false"/>
                  <w:smallCaps w:val="false"/>
                  <w:sz w:val="20"/>
                </w:rPr>
                <w:t>Form of Securities Purchase Agreement (incorporated by reference to the Exhibit 10.1 to the Current Report on Form 8-K filed on September 27,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7">
              <w:r>
                <w:rPr>
                  <w:rStyle w:val="InternetLink"/>
                  <w:rFonts w:ascii="Times New Roman;Times;Serif" w:hAnsi="Times New Roman;Times;Serif"/>
                  <w:b w:val="false"/>
                  <w:i w:val="false"/>
                  <w:caps w:val="false"/>
                  <w:smallCaps w:val="false"/>
                  <w:sz w:val="20"/>
                </w:rPr>
                <w:t>Lock-up Agreement, dated as of September 20, 2024, by and between Banzai International, Inc. and Alco Investment Company(incorporated by reference to the Exhibit 10.21 to the Current Report on Form 8-K filed on September 25,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8">
              <w:r>
                <w:rPr>
                  <w:rStyle w:val="InternetLink"/>
                  <w:rFonts w:ascii="Times New Roman;Times;Serif" w:hAnsi="Times New Roman;Times;Serif"/>
                  <w:b w:val="false"/>
                  <w:i w:val="false"/>
                  <w:caps w:val="false"/>
                  <w:smallCaps w:val="false"/>
                  <w:sz w:val="20"/>
                </w:rPr>
                <w:t>Form of Registration Rights Agreement, by and between Banzai International, Inc. and Alco Investment Company (incorporated by reference to the Exhibit 10.20 to the Current Report on Form 8-K filed on September 25,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9">
              <w:r>
                <w:rPr>
                  <w:rStyle w:val="InternetLink"/>
                  <w:rFonts w:ascii="Times New Roman;Times;Serif" w:hAnsi="Times New Roman;Times;Serif"/>
                  <w:b w:val="false"/>
                  <w:i w:val="false"/>
                  <w:caps w:val="false"/>
                  <w:smallCaps w:val="false"/>
                  <w:sz w:val="20"/>
                </w:rPr>
                <w:t>Securities Purchase Agreement, dated as of September 23, 2024, by and between Banzai International, Inc. and CP BF Lending, LLC (incorporated by reference to the Exhibit 10.17 to the Current Report on Form 8-K filed on September 25,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0">
              <w:r>
                <w:rPr>
                  <w:rStyle w:val="InternetLink"/>
                  <w:rFonts w:ascii="Times New Roman;Times;Serif" w:hAnsi="Times New Roman;Times;Serif"/>
                  <w:b w:val="false"/>
                  <w:i w:val="false"/>
                  <w:caps w:val="false"/>
                  <w:smallCaps w:val="false"/>
                  <w:sz w:val="20"/>
                </w:rPr>
                <w:t>Lock-up Agreement, dated as of September 23, 2024, by and between Banzai International, Inc. and CP BF Lending, LLC (incorporated by reference to the Exhibit 10.25 to the Current Report on Form 8-K filed on September 25,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1">
              <w:r>
                <w:rPr>
                  <w:rStyle w:val="InternetLink"/>
                  <w:rFonts w:ascii="Times New Roman;Times;Serif" w:hAnsi="Times New Roman;Times;Serif"/>
                  <w:b w:val="false"/>
                  <w:i w:val="false"/>
                  <w:caps w:val="false"/>
                  <w:smallCaps w:val="false"/>
                  <w:sz w:val="20"/>
                </w:rPr>
                <w:t>Form of Registration Rights Agreement, by and between Banzai International, Inc. and CP BF Lending, LLC (incorporated by reference to the Exhibit 10.24 to the Current Report on Form 8-K filed on September 25, 2024).</w:t>
              </w:r>
            </w:hyperlink>
          </w:p>
        </w:tc>
      </w:tr>
    </w:tbl>
    <w:p>
      <w:pPr>
        <w:pStyle w:val="TextBody"/>
        <w:bidi w:val="0"/>
        <w:spacing w:before="0" w:after="0"/>
        <w:ind w:left="0" w:right="0" w:hanging="0"/>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II-8</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2">
              <w:r>
                <w:rPr>
                  <w:rStyle w:val="InternetLink"/>
                  <w:rFonts w:ascii="Times New Roman;Times;Serif" w:hAnsi="Times New Roman;Times;Serif"/>
                  <w:b w:val="false"/>
                  <w:i w:val="false"/>
                  <w:caps w:val="false"/>
                  <w:smallCaps w:val="false"/>
                  <w:sz w:val="20"/>
                </w:rPr>
                <w:t>Form of Registration Rights Agreement (incorporated by reference to the Exhibit 10.2 to the Current Report on Form 8-K filed on September 27,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3">
              <w:r>
                <w:rPr>
                  <w:rStyle w:val="InternetLink"/>
                  <w:rFonts w:ascii="Times New Roman;Times;Serif" w:hAnsi="Times New Roman;Times;Serif"/>
                  <w:b w:val="false"/>
                  <w:i w:val="false"/>
                  <w:caps w:val="false"/>
                  <w:smallCaps w:val="false"/>
                  <w:sz w:val="20"/>
                </w:rPr>
                <w:t>Securities Purchase Agreement, dated as of September 20, 2024, by and between Banzai International, Inc. and Alco Investment Company (incorporated by reference to the Registration Statement on Form S-1 filed with the SEC on October 16,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4">
              <w:r>
                <w:rPr>
                  <w:rStyle w:val="InternetLink"/>
                  <w:rFonts w:ascii="Times New Roman;Times;Serif" w:hAnsi="Times New Roman;Times;Serif"/>
                  <w:b w:val="false"/>
                  <w:i w:val="false"/>
                  <w:caps w:val="false"/>
                  <w:smallCaps w:val="false"/>
                  <w:sz w:val="20"/>
                </w:rPr>
                <w:t>Repayment Agreement with Perkins Coie, LLP (incorporated by reference to the Registration Statement on Form S-1 filed with the SEC on October 16,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5">
              <w:r>
                <w:rPr>
                  <w:rStyle w:val="InternetLink"/>
                  <w:rFonts w:ascii="Times New Roman;Times;Serif" w:hAnsi="Times New Roman;Times;Serif"/>
                  <w:b w:val="false"/>
                  <w:i w:val="false"/>
                  <w:caps w:val="false"/>
                  <w:smallCaps w:val="false"/>
                  <w:sz w:val="20"/>
                </w:rPr>
                <w:t>Amended and Restated Repayment Agreement with J.V.B Financial Group, LLC (incorporated by reference to the Registration Statement on Form S-1 filed with the SEC on October 16,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6">
              <w:r>
                <w:rPr>
                  <w:rStyle w:val="InternetLink"/>
                  <w:rFonts w:ascii="Times New Roman;Times;Serif" w:hAnsi="Times New Roman;Times;Serif"/>
                  <w:b w:val="false"/>
                  <w:i w:val="false"/>
                  <w:caps w:val="false"/>
                  <w:smallCaps w:val="false"/>
                  <w:sz w:val="20"/>
                </w:rPr>
                <w:t>Investor Relations Consulting Agreement with MZHCI, LLC (incorporated by reference to the Registration Statement on Form S-1 filed with the SEC on October 16,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7">
              <w:r>
                <w:rPr>
                  <w:rStyle w:val="InternetLink"/>
                  <w:rFonts w:ascii="Times New Roman;Times;Serif" w:hAnsi="Times New Roman;Times;Serif"/>
                  <w:b w:val="false"/>
                  <w:i w:val="false"/>
                  <w:caps w:val="false"/>
                  <w:smallCaps w:val="false"/>
                  <w:sz w:val="20"/>
                </w:rPr>
                <w:t>Side Letter to the Loan Agreement with CP BF Lending, LLC (incorporated by reference to the Exhibit 10.6 to the Current Report on Form 8-K filed on September 25,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8">
              <w:r>
                <w:rPr>
                  <w:rStyle w:val="InternetLink"/>
                  <w:rFonts w:ascii="Times New Roman;Times;Serif" w:hAnsi="Times New Roman;Times;Serif"/>
                  <w:b w:val="false"/>
                  <w:i w:val="false"/>
                  <w:caps w:val="false"/>
                  <w:smallCaps w:val="false"/>
                  <w:sz w:val="20"/>
                </w:rPr>
                <w:t>Floor Price Adjustment Agreement with Yorkville Advisors (incorporated by reference to the Registration Statement on Form S-1 filed with the SEC on October 16,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9">
              <w:r>
                <w:rPr>
                  <w:rStyle w:val="InternetLink"/>
                  <w:rFonts w:ascii="Times New Roman;Times;Serif" w:hAnsi="Times New Roman;Times;Serif"/>
                  <w:b w:val="false"/>
                  <w:i w:val="false"/>
                  <w:caps w:val="false"/>
                  <w:smallCaps w:val="false"/>
                  <w:sz w:val="20"/>
                </w:rPr>
                <w:t>Repayment Agreement with Cooley LLP (incorporated by reference to the Registration Statement on Form S-1 filed with the SEC on October 16,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90">
              <w:r>
                <w:rPr>
                  <w:rStyle w:val="InternetLink"/>
                  <w:rFonts w:ascii="Times New Roman;Times;Serif" w:hAnsi="Times New Roman;Times;Serif"/>
                  <w:b w:val="false"/>
                  <w:i w:val="false"/>
                  <w:caps w:val="false"/>
                  <w:smallCaps w:val="false"/>
                  <w:sz w:val="20"/>
                </w:rPr>
                <w:t>Settlement Letter with CohnReznick LLP (incorporated by reference to the Registration Statement on Form S-1 filed with the SEC on October 16,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91">
              <w:r>
                <w:rPr>
                  <w:rStyle w:val="InternetLink"/>
                  <w:rFonts w:ascii="Times New Roman;Times;Serif" w:hAnsi="Times New Roman;Times;Serif"/>
                  <w:b w:val="false"/>
                  <w:i w:val="false"/>
                  <w:caps w:val="false"/>
                  <w:smallCaps w:val="false"/>
                  <w:sz w:val="20"/>
                </w:rPr>
                <w:t>Repayment Agreement with Sidley Austin LLP (incorporated by reference to the Registration Statement on Form S-1 filed with the SEC on October 16,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92">
              <w:r>
                <w:rPr>
                  <w:rStyle w:val="InternetLink"/>
                  <w:rFonts w:ascii="Times New Roman;Times;Serif" w:hAnsi="Times New Roman;Times;Serif"/>
                  <w:b w:val="false"/>
                  <w:i w:val="false"/>
                  <w:caps w:val="false"/>
                  <w:smallCaps w:val="false"/>
                  <w:sz w:val="20"/>
                </w:rPr>
                <w:t>Repayment Agreement with Donnelley Financial LLC (incorporated by reference to the Registration Statement on Form S-1 filed with the SEC on October 16,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93">
              <w:r>
                <w:rPr>
                  <w:rStyle w:val="InternetLink"/>
                  <w:rFonts w:ascii="Times New Roman;Times;Serif" w:hAnsi="Times New Roman;Times;Serif"/>
                  <w:b w:val="false"/>
                  <w:i w:val="false"/>
                  <w:caps w:val="false"/>
                  <w:smallCaps w:val="false"/>
                  <w:sz w:val="20"/>
                </w:rPr>
                <w:t>Repayment Agreement with Verista Partners, Inc. (incorporated by reference to the Registration Statement on Form S-1 filed with the SEC on October 16,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94">
              <w:r>
                <w:rPr>
                  <w:rStyle w:val="InternetLink"/>
                  <w:rFonts w:ascii="Times New Roman;Times;Serif" w:hAnsi="Times New Roman;Times;Serif"/>
                  <w:b w:val="false"/>
                  <w:i w:val="false"/>
                  <w:caps w:val="false"/>
                  <w:smallCaps w:val="false"/>
                  <w:sz w:val="20"/>
                </w:rPr>
                <w:t>Consulting Agreement dated as of September 26, 2024, by and between the Company and Hudson Global Ventures, LLC (incorporated by reference to the Registration Statement on Form S-1 filed with the SEC on October 16,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95">
              <w:r>
                <w:rPr>
                  <w:rStyle w:val="InternetLink"/>
                  <w:rFonts w:ascii="Times New Roman;Times;Serif" w:hAnsi="Times New Roman;Times;Serif"/>
                  <w:b w:val="false"/>
                  <w:i w:val="false"/>
                  <w:caps w:val="false"/>
                  <w:smallCaps w:val="false"/>
                  <w:sz w:val="20"/>
                </w:rPr>
                <w:t>Form of Registration Rights Agreement (incorporated by reference to Exhibit 10.1 to the Current Report on Form 8-K filed on December 10,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96">
              <w:r>
                <w:rPr>
                  <w:rStyle w:val="InternetLink"/>
                  <w:rFonts w:ascii="Times New Roman;Times;Serif" w:hAnsi="Times New Roman;Times;Serif"/>
                  <w:b w:val="false"/>
                  <w:i w:val="false"/>
                  <w:caps w:val="false"/>
                  <w:smallCaps w:val="false"/>
                  <w:sz w:val="20"/>
                </w:rPr>
                <w:t>Form of Pre-Funded Warrant (incorporated by reference to Exhibit 10.2 to the Current Report on Form 8-K filed on December 10,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97">
              <w:r>
                <w:rPr>
                  <w:rStyle w:val="InternetLink"/>
                  <w:rFonts w:ascii="Times New Roman;Times;Serif" w:hAnsi="Times New Roman;Times;Serif"/>
                  <w:b w:val="false"/>
                  <w:i w:val="false"/>
                  <w:caps w:val="false"/>
                  <w:smallCaps w:val="false"/>
                  <w:sz w:val="20"/>
                </w:rPr>
                <w:t>Voting and Support Agreement, dated December 10, 2024, by and between Joseph P. Davy and Banzai International Inc. (incorporated by reference to Exhibit 10.3 to the Current Report on Form 8-K filed on December 10,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98">
              <w:r>
                <w:rPr>
                  <w:rStyle w:val="InternetLink"/>
                  <w:rFonts w:ascii="Times New Roman;Times;Serif" w:hAnsi="Times New Roman;Times;Serif"/>
                  <w:b w:val="false"/>
                  <w:i w:val="false"/>
                  <w:caps w:val="false"/>
                  <w:smallCaps w:val="false"/>
                  <w:sz w:val="20"/>
                </w:rPr>
                <w:t>Form of Lock-Up Agreement (incorporated by reference to exhibit 10.1 to the Current Report on Form 8-K filed on December 20, 2024).</w:t>
              </w:r>
            </w:hyperlink>
          </w:p>
        </w:tc>
      </w:tr>
    </w:tbl>
    <w:p>
      <w:pPr>
        <w:pStyle w:val="TextBody"/>
        <w:bidi w:val="0"/>
        <w:spacing w:before="0" w:after="0"/>
        <w:ind w:left="0" w:right="0" w:hanging="0"/>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II-9</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99">
              <w:r>
                <w:rPr>
                  <w:rStyle w:val="InternetLink"/>
                  <w:rFonts w:ascii="Times New Roman;Times;Serif" w:hAnsi="Times New Roman;Times;Serif"/>
                  <w:b w:val="false"/>
                  <w:i w:val="false"/>
                  <w:caps w:val="false"/>
                  <w:smallCaps w:val="false"/>
                  <w:sz w:val="20"/>
                </w:rPr>
                <w:t>Form of Pre-Funded Warrant (incorporated by reference to exhibit 10.2 to the Current Report on Form 8-K filed on December 20,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00">
              <w:r>
                <w:rPr>
                  <w:rStyle w:val="InternetLink"/>
                  <w:rFonts w:ascii="Times New Roman;Times;Serif" w:hAnsi="Times New Roman;Times;Serif"/>
                  <w:b w:val="false"/>
                  <w:i w:val="false"/>
                  <w:caps w:val="false"/>
                  <w:smallCaps w:val="false"/>
                  <w:sz w:val="20"/>
                </w:rPr>
                <w:t>Voting and Support Agreement, dated December 19, 2024, by and between Banzai International Inc., and Joseph P. Davy (incorporated by reference to exhibit 10.3 to the Current Report on Form 8-K filed on December 20,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01">
              <w:r>
                <w:rPr>
                  <w:rStyle w:val="InternetLink"/>
                  <w:rFonts w:ascii="Times New Roman;Times;Serif" w:hAnsi="Times New Roman;Times;Serif"/>
                  <w:b w:val="false"/>
                  <w:i w:val="false"/>
                  <w:caps w:val="false"/>
                  <w:smallCaps w:val="false"/>
                  <w:sz w:val="20"/>
                </w:rPr>
                <w:t>Closing Letter Agreement, dated January 24, 2025, by and among Banzai International, Inc., Vidello Limited, and certain shareholders of Vidello Limited (incorporated by reference to Exhibit 10.2 to the Current Report on Form 8-K filed on January 31, 2025).</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02">
              <w:r>
                <w:rPr>
                  <w:rStyle w:val="InternetLink"/>
                  <w:rFonts w:ascii="Times New Roman;Times;Serif" w:hAnsi="Times New Roman;Times;Serif"/>
                  <w:b w:val="false"/>
                  <w:i w:val="false"/>
                  <w:caps w:val="false"/>
                  <w:smallCaps w:val="false"/>
                  <w:sz w:val="20"/>
                </w:rPr>
                <w:t>Form of Convertible Promissory Note (incorporated by reference to exhibit 10.1 to the Current Report on Form 8-K filed on February 3, 2025).</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03">
              <w:r>
                <w:rPr>
                  <w:rStyle w:val="InternetLink"/>
                  <w:rFonts w:ascii="Times New Roman;Times;Serif" w:hAnsi="Times New Roman;Times;Serif"/>
                  <w:b w:val="false"/>
                  <w:i w:val="false"/>
                  <w:caps w:val="false"/>
                  <w:smallCaps w:val="false"/>
                  <w:sz w:val="20"/>
                </w:rPr>
                <w:t>Form of Subscription Booklet (incorporated by reference to Exhibit 10.1 to the Current Report on Form 8-K filed on January 23,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04">
              <w:r>
                <w:rPr>
                  <w:rStyle w:val="InternetLink"/>
                  <w:rFonts w:ascii="Times New Roman;Times;Serif" w:hAnsi="Times New Roman;Times;Serif"/>
                  <w:b w:val="false"/>
                  <w:i w:val="false"/>
                  <w:caps w:val="false"/>
                  <w:smallCaps w:val="false"/>
                  <w:sz w:val="20"/>
                </w:rPr>
                <w:t>Form of Pre-Funded Warrant (incorporated by reference to Exhibit 10.2 to the Current Report on Form 8-K filed on January 23,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05">
              <w:r>
                <w:rPr>
                  <w:rStyle w:val="InternetLink"/>
                  <w:rFonts w:ascii="Times New Roman;Times;Serif" w:hAnsi="Times New Roman;Times;Serif"/>
                  <w:b w:val="false"/>
                  <w:i w:val="false"/>
                  <w:caps w:val="false"/>
                  <w:smallCaps w:val="false"/>
                  <w:sz w:val="20"/>
                </w:rPr>
                <w:t>Form of Share Consideration Escrow Agreement (incorporated by reference to Exhibit 10.4 to the Current Report on Form 8-K filed on January 23,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06">
              <w:r>
                <w:rPr>
                  <w:rStyle w:val="InternetLink"/>
                  <w:rFonts w:ascii="Times New Roman;Times;Serif" w:hAnsi="Times New Roman;Times;Serif"/>
                  <w:b w:val="false"/>
                  <w:i w:val="false"/>
                  <w:caps w:val="false"/>
                  <w:smallCaps w:val="false"/>
                  <w:sz w:val="20"/>
                </w:rPr>
                <w:t>Form of Registration Rights Agreement (incorporated by reference to Exhibit 10.5 to the Current Report on Form 8-K filed on January 23,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07">
              <w:r>
                <w:rPr>
                  <w:rStyle w:val="InternetLink"/>
                  <w:rFonts w:ascii="Times New Roman;Times;Serif" w:hAnsi="Times New Roman;Times;Serif"/>
                  <w:b w:val="false"/>
                  <w:i w:val="false"/>
                  <w:caps w:val="false"/>
                  <w:smallCaps w:val="false"/>
                  <w:sz w:val="20"/>
                </w:rPr>
                <w:t>Repayment Agreement by and between the Company and Houlihan Capital, LLC dated June 5, 2025*</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0"/>
              <w:ind w:left="0" w:right="0" w:hanging="0"/>
              <w:jc w:val="both"/>
              <w:rPr/>
            </w:pPr>
            <w:hyperlink r:id="rId108">
              <w:r>
                <w:rPr>
                  <w:rStyle w:val="InternetLink"/>
                  <w:rFonts w:ascii="Times New Roman;Times;Serif" w:hAnsi="Times New Roman;Times;Serif"/>
                  <w:b w:val="false"/>
                  <w:i w:val="false"/>
                  <w:caps w:val="false"/>
                  <w:smallCaps w:val="false"/>
                  <w:sz w:val="20"/>
                </w:rPr>
                <w:t xml:space="preserve">Subordinate Business Loan and Security Agreement dated as of March 31, 2025, </w:t>
              </w:r>
            </w:hyperlink>
            <w:hyperlink r:id="rId109">
              <w:r>
                <w:rPr>
                  <w:rStyle w:val="InternetLink"/>
                  <w:rFonts w:ascii="Times New Roman;Times;Serif" w:hAnsi="Times New Roman;Times;Serif"/>
                  <w:b w:val="false"/>
                  <w:i w:val="false"/>
                  <w:caps w:val="false"/>
                  <w:smallCaps w:val="false"/>
                  <w:sz w:val="20"/>
                  <w:shd w:fill="FFFFFF" w:val="clear"/>
                </w:rPr>
                <w:t>by and between the Company and Agile Lending, LLC (incorporated by reference to Exhibit 10.1 to the Current Report on Form 8-K filed on April 11, 2025).</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10">
              <w:r>
                <w:rPr>
                  <w:rStyle w:val="InternetLink"/>
                  <w:rFonts w:ascii="Times New Roman;Times;Serif" w:hAnsi="Times New Roman;Times;Serif"/>
                  <w:b w:val="false"/>
                  <w:i w:val="false"/>
                  <w:caps w:val="false"/>
                  <w:smallCaps w:val="false"/>
                  <w:sz w:val="20"/>
                </w:rPr>
                <w:t xml:space="preserve">Subordinate Secured Promissory Note dated as of March 31, 2025, </w:t>
              </w:r>
            </w:hyperlink>
            <w:hyperlink r:id="rId111">
              <w:r>
                <w:rPr>
                  <w:rStyle w:val="InternetLink"/>
                  <w:rFonts w:ascii="Times New Roman;Times;Serif" w:hAnsi="Times New Roman;Times;Serif"/>
                  <w:b w:val="false"/>
                  <w:i w:val="false"/>
                  <w:caps w:val="false"/>
                  <w:smallCaps w:val="false"/>
                  <w:sz w:val="20"/>
                  <w:shd w:fill="FFFFFF" w:val="clear"/>
                </w:rPr>
                <w:t>by and between the Company, Agile Capital Funding, LLC, and Agile Lending, LLC (incorporated by reference to Exhibit 10.2 to the Current Report on Form 8-K filed on April 11, 2025).</w:t>
              </w:r>
            </w:hyperlink>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left"/>
              <w:rPr>
                <w:sz w:val="20"/>
              </w:rPr>
            </w:pPr>
            <w:r>
              <w:rPr>
                <w:sz w:val="20"/>
              </w:rPr>
              <w:t>10.57</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hyperlink r:id="rId112">
              <w:r>
                <w:rPr>
                  <w:rStyle w:val="InternetLink"/>
                </w:rPr>
                <w:t>Notice of Termination (incorporated by reference to the Exhibit 10.1 to the Current Report on Form 8-K filed on June 10, 2025)</w:t>
              </w:r>
            </w:hyperlink>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left"/>
              <w:rPr>
                <w:sz w:val="20"/>
              </w:rPr>
            </w:pPr>
            <w:r>
              <w:rPr>
                <w:sz w:val="20"/>
              </w:rPr>
              <w:t>10.58</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hyperlink r:id="rId113">
              <w:r>
                <w:rPr>
                  <w:rStyle w:val="InternetLink"/>
                </w:rPr>
                <w:t>Employment Offer Letter by and between Banzai International, Inc. and Dean Ditto, effective July 2, 2025 (incorporated by reference to the Exhibit 10.1 to the Current Report on Form 8-K filed on July 9, 2025)</w:t>
              </w:r>
            </w:hyperlink>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left"/>
              <w:rPr>
                <w:sz w:val="20"/>
              </w:rPr>
            </w:pPr>
            <w:r>
              <w:rPr>
                <w:sz w:val="20"/>
              </w:rPr>
              <w:t>10.59</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hyperlink r:id="rId114">
              <w:r>
                <w:rPr>
                  <w:rStyle w:val="InternetLink"/>
                  <w:sz w:val="20"/>
                </w:rPr>
                <w:t>Form of Securities Purchase Agreement (incorporated by reference to Exhibit 10.1 to the Current Report on Form 8-K filed on July 3, 2025).</w:t>
              </w:r>
            </w:hyperlink>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left"/>
              <w:rPr>
                <w:sz w:val="20"/>
              </w:rPr>
            </w:pPr>
            <w:r>
              <w:rPr>
                <w:sz w:val="20"/>
              </w:rPr>
              <w:t>10.60</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hyperlink r:id="rId115">
              <w:r>
                <w:rPr>
                  <w:rStyle w:val="InternetLink"/>
                  <w:sz w:val="20"/>
                </w:rPr>
                <w:t>Form of Registration Rights Agreement (incorporated by reference to Exhibit 10.2 to the Current Report on Form 8-K filed on July 3, 2025).</w:t>
              </w:r>
            </w:hyperlink>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left"/>
              <w:rPr>
                <w:sz w:val="20"/>
              </w:rPr>
            </w:pPr>
            <w:r>
              <w:rPr>
                <w:sz w:val="20"/>
              </w:rPr>
              <w:t>10.61</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hyperlink r:id="rId116">
              <w:r>
                <w:rPr>
                  <w:rStyle w:val="InternetLink"/>
                  <w:rFonts w:ascii="Times New Roman;Times;Serif" w:hAnsi="Times New Roman;Times;Serif"/>
                  <w:b w:val="false"/>
                  <w:i w:val="false"/>
                  <w:caps w:val="false"/>
                  <w:smallCaps w:val="false"/>
                  <w:sz w:val="20"/>
                </w:rPr>
                <w:t>Form of Leak-Out Agreement (incorporated by reference to Exhibit 10.3 to the Current Report on Form 8-K filed on July 3, 2025).</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17">
              <w:r>
                <w:rPr>
                  <w:rStyle w:val="InternetLink"/>
                  <w:rFonts w:ascii="Times New Roman;Times;Serif" w:hAnsi="Times New Roman;Times;Serif"/>
                  <w:b w:val="false"/>
                  <w:i w:val="false"/>
                  <w:caps w:val="false"/>
                  <w:smallCaps w:val="false"/>
                  <w:sz w:val="20"/>
                </w:rPr>
                <w:t>List of Subsidiaries (incorporated by reference to the Exhibit 21.1 to the Annual Report on Form 10-K filed on April 1, 2024).</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0"/>
              <w:ind w:left="0" w:right="0" w:hanging="0"/>
              <w:jc w:val="both"/>
              <w:rPr/>
            </w:pPr>
            <w:hyperlink r:id="rId118">
              <w:r>
                <w:rPr>
                  <w:rStyle w:val="InternetLink"/>
                  <w:rFonts w:ascii="Times New Roman;Times;Serif" w:hAnsi="Times New Roman;Times;Serif"/>
                  <w:b w:val="false"/>
                  <w:i w:val="false"/>
                  <w:caps w:val="false"/>
                  <w:smallCaps w:val="false"/>
                  <w:sz w:val="20"/>
                </w:rPr>
                <w:t>Consent of Marcum, LLP, independent registered public accounting firm for Legacy Banzai and the Company for the years ended December 31, 2024 and 2023.*</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19">
              <w:r>
                <w:rPr>
                  <w:rStyle w:val="InternetLink"/>
                  <w:rFonts w:ascii="Times New Roman;Times;Serif" w:hAnsi="Times New Roman;Times;Serif"/>
                  <w:b w:val="false"/>
                  <w:i w:val="false"/>
                  <w:caps w:val="false"/>
                  <w:smallCaps w:val="false"/>
                  <w:sz w:val="20"/>
                </w:rPr>
                <w:t>Consent of CBIZ CPAs P.C., independent registered public accounting firm for ClearDoc*</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20">
              <w:r>
                <w:rPr>
                  <w:rStyle w:val="InternetLink"/>
                  <w:rFonts w:ascii="Times New Roman;Times;Serif" w:hAnsi="Times New Roman;Times;Serif"/>
                  <w:b w:val="false"/>
                  <w:i w:val="false"/>
                  <w:caps w:val="false"/>
                  <w:smallCaps w:val="false"/>
                  <w:sz w:val="20"/>
                </w:rPr>
                <w:t>Consent of Bush &amp; Associates CPA LLC, independent registered public accounting firm for Vidello *</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21">
              <w:r>
                <w:rPr>
                  <w:rStyle w:val="InternetLink"/>
                  <w:rFonts w:ascii="Times New Roman;Times;Serif" w:hAnsi="Times New Roman;Times;Serif"/>
                  <w:b w:val="false"/>
                  <w:i w:val="false"/>
                  <w:caps w:val="false"/>
                  <w:smallCaps w:val="false"/>
                  <w:sz w:val="20"/>
                </w:rPr>
                <w:t>Consent of Hunter Taubman Fischer &amp; Li LLC (included in Exhibit 5.1).</w:t>
              </w:r>
            </w:hyperlink>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"https://www.sec.gov/Archives/edgar/data/1826011/000149315225011390/forms-3.htm" \l "ta_001"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 (Included on signature page) *</w:t>
            </w:r>
            <w:r>
              <w:rPr>
                <w:rStyle w:val="InternetLink"/>
                <w:smallCaps w:val="false"/>
                <w:caps w:val="false"/>
                <w:sz w:val="20"/>
                <w:i w:val="false"/>
                <w:b w:val="false"/>
                <w:rFonts w:ascii="Times New Roman;Times;Serif" w:hAnsi="Times New Roman;Times;Serif"/>
              </w:rPr>
              <w:fldChar w:fldCharType="end"/>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22">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60"/>
        <w:gridCol w:w="905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by reference to the Registration Statement on Form S-3 filed with the SEC on July 24, 2025.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Registration Statement on Form S-1 filed with the SEC on September 24,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schedules and exhibits to this agreement have been omitted pursuant to Item 601(b)(2) of Regulation S-K. A copy of any omitted schedule and/or exhibit will be furnished to the SEC upon request. </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140"/>
        <w:gridCol w:w="570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Indicates management contract or compensatory plan or arrangement. </w:t>
            </w:r>
          </w:p>
        </w:tc>
      </w:tr>
    </w:tbl>
    <w:p>
      <w:pPr>
        <w:pStyle w:val="TextBody"/>
        <w:bidi w:val="0"/>
        <w:spacing w:before="0" w:after="0"/>
        <w:ind w:left="0" w:right="0" w:hanging="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245"/>
        <w:gridCol w:w="380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200"/>
        <w:gridCol w:w="69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(a)(1)(ii) and (a)(1)(iii) do not apply if the information required to be included in a post-effective amendment by those paragraphs is contained in reports filed with or furnished to the SEC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245"/>
        <w:gridCol w:w="77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of 1933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305"/>
        <w:gridCol w:w="88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a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305(b)(2) of the Trust Indenture Act.</w:t>
            </w:r>
          </w:p>
        </w:tc>
      </w:tr>
    </w:tbl>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Bainbridge Island, State of Washington, on August 6, 2025.</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605"/>
        <w:gridCol w:w="4310"/>
        <w:gridCol w:w="75"/>
      </w:tblGrid>
      <w:tr>
        <w:trPr/>
        <w:tc>
          <w:tcPr>
            <w:tcW w:w="49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431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43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Davy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pPr>
      <w:r>
        <w:rPr/>
        <w:t> </w:t>
      </w:r>
    </w:p>
    <w:tbl>
      <w:tblPr>
        <w:tblW w:w="7600" w:type="dxa"/>
        <w:jc w:val="left"/>
        <w:tblInd w:w="0" w:type="dxa"/>
        <w:tblLayout w:type="fixed"/>
        <w:tblCellMar>
          <w:top w:w="0" w:type="dxa"/>
          <w:left w:w="0" w:type="dxa"/>
          <w:bottom w:w="0" w:type="dxa"/>
          <w:right w:w="0" w:type="dxa"/>
        </w:tblCellMar>
      </w:tblPr>
      <w:tblGrid>
        <w:gridCol w:w="605"/>
        <w:gridCol w:w="6920"/>
        <w:gridCol w:w="75"/>
      </w:tblGrid>
      <w:tr>
        <w:trPr/>
        <w:tc>
          <w:tcPr>
            <w:tcW w:w="7525" w:type="dxa"/>
            <w:gridSpan w:val="2"/>
            <w:tcBorders/>
            <w:vAlign w:val="center"/>
          </w:tcPr>
          <w:p>
            <w:pPr>
              <w:pStyle w:val="TableContents"/>
              <w:bidi w:val="0"/>
              <w:spacing w:before="0" w:after="283"/>
              <w:jc w:val="left"/>
              <w:rPr>
                <w:sz w:val="20"/>
              </w:rPr>
            </w:pPr>
            <w:r>
              <w:rPr>
                <w:sz w:val="20"/>
              </w:rPr>
              <w:t>BANZAI INTERNATIONAL, INC.</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692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Dean Ditto</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 xml:space="preserve">Name: </w:t>
            </w:r>
          </w:p>
        </w:tc>
        <w:tc>
          <w:tcPr>
            <w:tcW w:w="6920" w:type="dxa"/>
            <w:tcBorders/>
            <w:vAlign w:val="center"/>
          </w:tcPr>
          <w:p>
            <w:pPr>
              <w:pStyle w:val="TableContents"/>
              <w:bidi w:val="0"/>
              <w:spacing w:before="0" w:after="283"/>
              <w:jc w:val="left"/>
              <w:rPr/>
            </w:pPr>
            <w:r>
              <w:rPr/>
              <w:t> </w:t>
            </w:r>
            <w:r>
              <w:rPr>
                <w:sz w:val="20"/>
              </w:rPr>
              <w:t>Dean Ditto</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6920" w:type="dxa"/>
            <w:tcBorders/>
            <w:vAlign w:val="center"/>
          </w:tcPr>
          <w:p>
            <w:pPr>
              <w:pStyle w:val="TableContents"/>
              <w:bidi w:val="0"/>
              <w:spacing w:before="0" w:after="283"/>
              <w:jc w:val="left"/>
              <w:rPr>
                <w:sz w:val="20"/>
              </w:rPr>
            </w:pPr>
            <w:r>
              <w:rPr>
                <w:sz w:val="20"/>
              </w:rPr>
              <w:t>Chief Financial Officer (Principal Financial Officer and Principal Accounting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 indicated.</w:t>
      </w:r>
    </w:p>
    <w:p>
      <w:pPr>
        <w:pStyle w:val="TextBody"/>
        <w:bidi w:val="0"/>
        <w:spacing w:before="0" w:after="0"/>
        <w:ind w:left="0" w:right="0" w:hanging="0"/>
        <w:jc w:val="left"/>
        <w:rPr>
          <w:caps w:val="false"/>
          <w:smallCaps w:val="false"/>
        </w:rPr>
      </w:pPr>
      <w:r>
        <w:rPr>
          <w:caps w:val="false"/>
          <w:smallCaps w:val="false"/>
        </w:rPr>
        <w:t> </w:t>
      </w:r>
    </w:p>
    <w:tbl>
      <w:tblPr>
        <w:tblW w:w="6285" w:type="dxa"/>
        <w:jc w:val="left"/>
        <w:tblInd w:w="0" w:type="dxa"/>
        <w:tblLayout w:type="fixed"/>
        <w:tblCellMar>
          <w:top w:w="0" w:type="dxa"/>
          <w:left w:w="0" w:type="dxa"/>
          <w:bottom w:w="28" w:type="dxa"/>
          <w:right w:w="0" w:type="dxa"/>
        </w:tblCellMar>
      </w:tblPr>
      <w:tblGrid>
        <w:gridCol w:w="1490"/>
        <w:gridCol w:w="60"/>
        <w:gridCol w:w="3395"/>
        <w:gridCol w:w="60"/>
        <w:gridCol w:w="1280"/>
      </w:tblGrid>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3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45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Davy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2025</w:t>
            </w:r>
          </w:p>
        </w:tc>
      </w:tr>
      <w:tr>
        <w:trPr/>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45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Dean Ditto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2025</w:t>
            </w:r>
          </w:p>
        </w:tc>
      </w:tr>
      <w:tr>
        <w:trPr/>
        <w:tc>
          <w:tcPr>
            <w:tcW w:w="149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Financial Officer and Principal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45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Paula Boggs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2025</w:t>
            </w:r>
          </w:p>
        </w:tc>
      </w:tr>
      <w:tr>
        <w:trPr/>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45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Kent Schofield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2025</w:t>
            </w:r>
          </w:p>
        </w:tc>
      </w:tr>
      <w:tr>
        <w:trPr/>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/Jack Leeney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2025</w:t>
            </w:r>
          </w:p>
        </w:tc>
      </w:tr>
      <w:tr>
        <w:trPr/>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45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Mason Ward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2025</w:t>
            </w:r>
          </w:p>
        </w:tc>
      </w:tr>
      <w:tr>
        <w:trPr/>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II-13</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011/000095017025054303/bnzi-20241231.htm" TargetMode="External"/><Relationship Id="rId3" Type="http://schemas.openxmlformats.org/officeDocument/2006/relationships/hyperlink" Target="https://www.sec.gov/Archives/edgar/data/1826011/000095017025072501/bnzi-20250331.htm" TargetMode="External"/><Relationship Id="rId4" Type="http://schemas.openxmlformats.org/officeDocument/2006/relationships/hyperlink" Target="https://www.sec.gov/Archives/edgar/data/1826011/000149315225003319/form8-k.htm" TargetMode="External"/><Relationship Id="rId5" Type="http://schemas.openxmlformats.org/officeDocument/2006/relationships/hyperlink" Target="https://www.sec.gov/Archives/edgar/data/1826011/000149315225004502/form8-k.htm" TargetMode="External"/><Relationship Id="rId6" Type="http://schemas.openxmlformats.org/officeDocument/2006/relationships/hyperlink" Target="https://www.sec.gov/Archives/edgar/data/1826011/000149315225004641/form8-ka.htm" TargetMode="External"/><Relationship Id="rId7" Type="http://schemas.openxmlformats.org/officeDocument/2006/relationships/hyperlink" Target="https://www.sec.gov/Archives/edgar/data/1826011/000149315225006424/form8-ka.htm" TargetMode="External"/><Relationship Id="rId8" Type="http://schemas.openxmlformats.org/officeDocument/2006/relationships/hyperlink" Target="https://www.sec.gov/Archives/edgar/data/1826011/000149315225008763/form8-ka.htm" TargetMode="External"/><Relationship Id="rId9" Type="http://schemas.openxmlformats.org/officeDocument/2006/relationships/hyperlink" Target="https://www.sec.gov/Archives/edgar/data/1826011/000149315225009079/form8-k.htm" TargetMode="External"/><Relationship Id="rId10" Type="http://schemas.openxmlformats.org/officeDocument/2006/relationships/hyperlink" Target="https://www.sec.gov/Archives/edgar/data/1826011/000164117225003843/form8-k.htm" TargetMode="External"/><Relationship Id="rId11" Type="http://schemas.openxmlformats.org/officeDocument/2006/relationships/hyperlink" Target="https://www.sec.gov/Archives/edgar/data/1826011/000164117225004902/form8-k.htm" TargetMode="External"/><Relationship Id="rId12" Type="http://schemas.openxmlformats.org/officeDocument/2006/relationships/hyperlink" Target="https://www.sec.gov/Archives/edgar/data/1826011/000164117225005389/form8-ka.htm" TargetMode="External"/><Relationship Id="rId13" Type="http://schemas.openxmlformats.org/officeDocument/2006/relationships/hyperlink" Target="https://www.sec.gov/Archives/edgar/data/1826011/000164117225006216/form8-k.htm" TargetMode="External"/><Relationship Id="rId14" Type="http://schemas.openxmlformats.org/officeDocument/2006/relationships/hyperlink" Target="https://www.sec.gov/Archives/edgar/data/1826011/000164117225014546/form8-ka.htm" TargetMode="External"/><Relationship Id="rId15" Type="http://schemas.openxmlformats.org/officeDocument/2006/relationships/hyperlink" Target="https://www.sec.gov/ix?doc=/Archives/edgar/data/1826011/000164117225016949/form8-k.htm" TargetMode="External"/><Relationship Id="rId16" Type="http://schemas.openxmlformats.org/officeDocument/2006/relationships/hyperlink" Target="https://www.sec.gov/ix?doc=/Archives/edgar/data/1826011/000164117225017577/form8-k.htm" TargetMode="External"/><Relationship Id="rId17" Type="http://schemas.openxmlformats.org/officeDocument/2006/relationships/hyperlink" Target="https://www.sec.gov/ix?doc=/Archives/edgar/data/1826011/000164117225017861/form8-k.htm" TargetMode="External"/><Relationship Id="rId18" Type="http://schemas.openxmlformats.org/officeDocument/2006/relationships/hyperlink" Target="https://www.sec.gov/ix?doc=/Archives/edgar/data/1826011/000164117225018464/form8-k.htm" TargetMode="External"/><Relationship Id="rId19" Type="http://schemas.openxmlformats.org/officeDocument/2006/relationships/hyperlink" Target="https://www.sec.gov/Archives/edgar/data/1826011/000095017025054303/bnzi-20241231.htm" TargetMode="External"/><Relationship Id="rId20" Type="http://schemas.openxmlformats.org/officeDocument/2006/relationships/hyperlink" Target="https://www.sec.gov/Archives/edgar/data/1826011/000149315224049374/ex2-1.htm" TargetMode="External"/><Relationship Id="rId21" Type="http://schemas.openxmlformats.org/officeDocument/2006/relationships/hyperlink" Target="https://www.sec.gov/Archives/edgar/data/1826011/000149315224050891/ex2-1.htm" TargetMode="External"/><Relationship Id="rId22" Type="http://schemas.openxmlformats.org/officeDocument/2006/relationships/hyperlink" Target="https://www.sec.gov/Archives/edgar/data/1826011/000119312523300033/d449527dex31.htm" TargetMode="External"/><Relationship Id="rId23" Type="http://schemas.openxmlformats.org/officeDocument/2006/relationships/hyperlink" Target="https://www.sec.gov/Archives/edgar/data/1826011/000119312523300033/d449527dex32.htm" TargetMode="External"/><Relationship Id="rId24" Type="http://schemas.openxmlformats.org/officeDocument/2006/relationships/hyperlink" Target="https://www.sec.gov/Archives/edgar/data/1826011/000149315225009079/ex3-2.htm" TargetMode="External"/><Relationship Id="rId25" Type="http://schemas.openxmlformats.org/officeDocument/2006/relationships/hyperlink" Target="https://www.sec.gov/Archives/edgar/data/1826011/000149315224036413/ex3-1.htm" TargetMode="External"/><Relationship Id="rId26" Type="http://schemas.openxmlformats.org/officeDocument/2006/relationships/hyperlink" Target="https://www.sec.gov/Archives/edgar/data/1826011/000149315225009079/ex3-1.htm" TargetMode="External"/><Relationship Id="rId27" Type="http://schemas.openxmlformats.org/officeDocument/2006/relationships/hyperlink" Target="https://www.sec.gov/Archives/edgar/data/1826011/000149315224050696/ex3-1.htm" TargetMode="External"/><Relationship Id="rId28" Type="http://schemas.openxmlformats.org/officeDocument/2006/relationships/hyperlink" Target="https://www.sec.gov/Archives/edgar/data/1826011/000164117225016949/form8-k.htm" TargetMode="External"/><Relationship Id="rId29" Type="http://schemas.openxmlformats.org/officeDocument/2006/relationships/hyperlink" Target="https://www.sec.gov/Archives/edgar/data/1826011/000119312523300033/d449527dex41.htm" TargetMode="External"/><Relationship Id="rId30" Type="http://schemas.openxmlformats.org/officeDocument/2006/relationships/hyperlink" Target="https://www.sec.gov/Archives/edgar/data/1826011/000119312523300033/d449527dex42.htm" TargetMode="External"/><Relationship Id="rId31" Type="http://schemas.openxmlformats.org/officeDocument/2006/relationships/hyperlink" Target="https://www.sec.gov/Archives/edgar/data/1826011/000119312523300033/d449527dex43.htm" TargetMode="External"/><Relationship Id="rId32" Type="http://schemas.openxmlformats.org/officeDocument/2006/relationships/hyperlink" Target="https://www.sec.gov/Archives/edgar/data/1826011/000121390020044825/ea132294ex4-1_7gcholdings.htm" TargetMode="External"/><Relationship Id="rId33" Type="http://schemas.openxmlformats.org/officeDocument/2006/relationships/hyperlink" Target="https://www.sec.gov/Archives/edgar/data/1826011/000119312523225201/d441541dex47.htm" TargetMode="External"/><Relationship Id="rId34" Type="http://schemas.openxmlformats.org/officeDocument/2006/relationships/hyperlink" Target="https://www.sec.gov/Archives/edgar/data/1826011/000119312523300033/d449527dex45.htm" TargetMode="External"/><Relationship Id="rId35" Type="http://schemas.openxmlformats.org/officeDocument/2006/relationships/hyperlink" Target="https://www.sec.gov/Archives/edgar/data/1826011/000119312523300033/d449527dex47.htm" TargetMode="External"/><Relationship Id="rId36" Type="http://schemas.openxmlformats.org/officeDocument/2006/relationships/hyperlink" Target="https://www.sec.gov/Archives/edgar/data/1826011/000119312523297160/d564833dex102.htm" TargetMode="External"/><Relationship Id="rId37" Type="http://schemas.openxmlformats.org/officeDocument/2006/relationships/hyperlink" Target="https://www.sec.gov/Archives/edgar/data/1826011/000119312524023808/d567008dex411.htm" TargetMode="External"/><Relationship Id="rId38" Type="http://schemas.openxmlformats.org/officeDocument/2006/relationships/hyperlink" Target="https://www.sec.gov/Archives/edgar/data/1826011/000095017024039543/bnzi-ex4_10.htm" TargetMode="External"/><Relationship Id="rId39" Type="http://schemas.openxmlformats.org/officeDocument/2006/relationships/hyperlink" Target="https://www.sec.gov/Archives/edgar/data/1826011/000119312523250809/d548057dex101.htm" TargetMode="External"/><Relationship Id="rId40" Type="http://schemas.openxmlformats.org/officeDocument/2006/relationships/hyperlink" Target="https://www.sec.gov/Archives/edgar/data/1826011/000119312524028341/d744391dex104.htm" TargetMode="External"/><Relationship Id="rId41" Type="http://schemas.openxmlformats.org/officeDocument/2006/relationships/hyperlink" Target="https://www.sec.gov/Archives/edgar/data/1826011/000119312524148209/d647173dex103.htm" TargetMode="External"/><Relationship Id="rId42" Type="http://schemas.openxmlformats.org/officeDocument/2006/relationships/hyperlink" Target="https://www.sec.gov/Archives/edgar/data/1826011/000149315224037198/ex4-21.htm" TargetMode="External"/><Relationship Id="rId43" Type="http://schemas.openxmlformats.org/officeDocument/2006/relationships/hyperlink" Target="https://www.sec.gov/Archives/edgar/data/1826011/000149315224037198/ex4-22.htm" TargetMode="External"/><Relationship Id="rId44" Type="http://schemas.openxmlformats.org/officeDocument/2006/relationships/hyperlink" Target="https://www.sec.gov/Archives/edgar/data/1826011/000149315224037198/ex4-24.htm" TargetMode="External"/><Relationship Id="rId45" Type="http://schemas.openxmlformats.org/officeDocument/2006/relationships/hyperlink" Target="https://www.sec.gov/Archives/edgar/data/1826011/000149315224038146/ex10-23.htm" TargetMode="External"/><Relationship Id="rId46" Type="http://schemas.openxmlformats.org/officeDocument/2006/relationships/hyperlink" Target="https://www.sec.gov/Archives/edgar/data/1826011/000149315224038146/ex10-22.htm" TargetMode="External"/><Relationship Id="rId47" Type="http://schemas.openxmlformats.org/officeDocument/2006/relationships/hyperlink" Target="https://www.sec.gov/Archives/edgar/data/1826011/000149315224038146/ex10-27.htm" TargetMode="External"/><Relationship Id="rId48" Type="http://schemas.openxmlformats.org/officeDocument/2006/relationships/hyperlink" Target="https://www.sec.gov/Archives/edgar/data/1826011/000149315224038146/ex10-26.htm" TargetMode="External"/><Relationship Id="rId49" Type="http://schemas.openxmlformats.org/officeDocument/2006/relationships/hyperlink" Target="https://www.sec.gov/Archives/edgar/data/1826011/000149315224041316/ex4-23.htm" TargetMode="External"/><Relationship Id="rId50" Type="http://schemas.openxmlformats.org/officeDocument/2006/relationships/hyperlink" Target="https://www.sec.gov/Archives/edgar/data/1826011/000149315224038522/ex4-1.htm" TargetMode="External"/><Relationship Id="rId51" Type="http://schemas.openxmlformats.org/officeDocument/2006/relationships/hyperlink" Target="https://www.sec.gov/Archives/edgar/data/1826011/000149315224038522/ex4-2.htm" TargetMode="External"/><Relationship Id="rId52" Type="http://schemas.openxmlformats.org/officeDocument/2006/relationships/hyperlink" Target="https://www.sec.gov/Archives/edgar/data/1826011/000149315224038522/ex4-3.htm" TargetMode="External"/><Relationship Id="rId53" Type="http://schemas.openxmlformats.org/officeDocument/2006/relationships/hyperlink" Target="https://www.sec.gov/Archives/edgar/data/1826011/000149315224038522/ex4-4.htm" TargetMode="External"/><Relationship Id="rId54" Type="http://schemas.openxmlformats.org/officeDocument/2006/relationships/hyperlink" Target="https://www.sec.gov/Archives/edgar/data/1826011/000164117225017861/ex4-1.htm" TargetMode="External"/><Relationship Id="rId55" Type="http://schemas.openxmlformats.org/officeDocument/2006/relationships/hyperlink" Target="https://www.sec.gov/Archives/edgar/data/1826011/000164117225017861/ex4-2.htm" TargetMode="External"/><Relationship Id="rId56" Type="http://schemas.openxmlformats.org/officeDocument/2006/relationships/hyperlink" Target="https://www.sec.gov/Archives/edgar/data/1826011/000149315225011390/ex5-1.htm" TargetMode="External"/><Relationship Id="rId57" Type="http://schemas.openxmlformats.org/officeDocument/2006/relationships/hyperlink" Target="https://www.sec.gov/Archives/edgar/data/1826011/000121390020044825/ea132294ex10-1_7gcholdings.htm" TargetMode="External"/><Relationship Id="rId58" Type="http://schemas.openxmlformats.org/officeDocument/2006/relationships/hyperlink" Target="https://www.sec.gov/Archives/edgar/data/1826011/000121390020044825/ea132294ex10-5_7gcholdings.htm" TargetMode="External"/><Relationship Id="rId59" Type="http://schemas.openxmlformats.org/officeDocument/2006/relationships/hyperlink" Target="https://www.sec.gov/Archives/edgar/data/1826011/000119312523300033/d449527dex106.htm" TargetMode="External"/><Relationship Id="rId60" Type="http://schemas.openxmlformats.org/officeDocument/2006/relationships/hyperlink" Target="https://www.sec.gov/Archives/edgar/data/1826011/000119312524076619/d810637dex991.htm" TargetMode="External"/><Relationship Id="rId61" Type="http://schemas.openxmlformats.org/officeDocument/2006/relationships/hyperlink" Target="https://www.sec.gov/Archives/edgar/data/1826011/000119312524076619/d810637dex992.htm" TargetMode="External"/><Relationship Id="rId62" Type="http://schemas.openxmlformats.org/officeDocument/2006/relationships/hyperlink" Target="https://www.sec.gov/Archives/edgar/data/1826011/000119312523225201/d441541dex1016.htm" TargetMode="External"/><Relationship Id="rId63" Type="http://schemas.openxmlformats.org/officeDocument/2006/relationships/hyperlink" Target="https://www.sec.gov/Archives/edgar/data/1826011/000119312523225201/d441541dex1018.htm" TargetMode="External"/><Relationship Id="rId64" Type="http://schemas.openxmlformats.org/officeDocument/2006/relationships/hyperlink" Target="https://www.sec.gov/Archives/edgar/data/1826011/000119312523297160/d564833dex101.htm" TargetMode="External"/><Relationship Id="rId65" Type="http://schemas.openxmlformats.org/officeDocument/2006/relationships/hyperlink" Target="https://www.sec.gov/Archives/edgar/data/1826011/000119312523297160/d564833dex103.htm" TargetMode="External"/><Relationship Id="rId66" Type="http://schemas.openxmlformats.org/officeDocument/2006/relationships/hyperlink" Target="https://www.sec.gov/Archives/edgar/data/1826011/000119312523300033/d449527dex105.htm" TargetMode="External"/><Relationship Id="rId67" Type="http://schemas.openxmlformats.org/officeDocument/2006/relationships/hyperlink" Target="https://www.sec.gov/Archives/edgar/data/1826011/000119312523300033/d449527dex108.htm" TargetMode="External"/><Relationship Id="rId68" Type="http://schemas.openxmlformats.org/officeDocument/2006/relationships/hyperlink" Target="https://www.sec.gov/Archives/edgar/data/1826011/000119312524023808/d567008dex1026.htm" TargetMode="External"/><Relationship Id="rId69" Type="http://schemas.openxmlformats.org/officeDocument/2006/relationships/hyperlink" Target="https://www.sec.gov/Archives/edgar/data/1826011/000119312524023808/d567008dex1027.htm" TargetMode="External"/><Relationship Id="rId70" Type="http://schemas.openxmlformats.org/officeDocument/2006/relationships/hyperlink" Target="https://www.sec.gov/Archives/edgar/data/1826011/000119312524023808/d567008dex1029.htm" TargetMode="External"/><Relationship Id="rId71" Type="http://schemas.openxmlformats.org/officeDocument/2006/relationships/hyperlink" Target="https://www.sec.gov/Archives/edgar/data/1826011/000119312524023808/d567008dex1030.htm" TargetMode="External"/><Relationship Id="rId72" Type="http://schemas.openxmlformats.org/officeDocument/2006/relationships/hyperlink" Target="https://www.sec.gov/Archives/edgar/data/1826011/000149315224038577/ex10-19.htm" TargetMode="External"/><Relationship Id="rId73" Type="http://schemas.openxmlformats.org/officeDocument/2006/relationships/hyperlink" Target="https://www.sec.gov/Archives/edgar/data/1826011/000119312524139915/d842344dex992.htm" TargetMode="External"/><Relationship Id="rId74" Type="http://schemas.openxmlformats.org/officeDocument/2006/relationships/hyperlink" Target="https://www.sec.gov/Archives/edgar/data/1826011/000149315224037198/ex4-12.htm" TargetMode="External"/><Relationship Id="rId75" Type="http://schemas.openxmlformats.org/officeDocument/2006/relationships/hyperlink" Target="https://www.sec.gov/Archives/edgar/data/1826011/000119312524148209/d647173dex101.htm" TargetMode="External"/><Relationship Id="rId76" Type="http://schemas.openxmlformats.org/officeDocument/2006/relationships/hyperlink" Target="https://www.sec.gov/Archives/edgar/data/1826011/000149315224038522/ex10-1.htm" TargetMode="External"/><Relationship Id="rId77" Type="http://schemas.openxmlformats.org/officeDocument/2006/relationships/hyperlink" Target="https://www.sec.gov/Archives/edgar/data/1826011/000149315224038146/ex10-21.htm" TargetMode="External"/><Relationship Id="rId78" Type="http://schemas.openxmlformats.org/officeDocument/2006/relationships/hyperlink" Target="https://www.sec.gov/Archives/edgar/data/1826011/000149315224038146/ex10-20.htm" TargetMode="External"/><Relationship Id="rId79" Type="http://schemas.openxmlformats.org/officeDocument/2006/relationships/hyperlink" Target="https://www.sec.gov/Archives/edgar/data/1826011/000149315224038146/ex10-17.htm" TargetMode="External"/><Relationship Id="rId80" Type="http://schemas.openxmlformats.org/officeDocument/2006/relationships/hyperlink" Target="https://www.sec.gov/Archives/edgar/data/1826011/000149315224038146/ex10-25.htm" TargetMode="External"/><Relationship Id="rId81" Type="http://schemas.openxmlformats.org/officeDocument/2006/relationships/hyperlink" Target="https://www.sec.gov/Archives/edgar/data/1826011/000149315224038146/ex10-24.htm" TargetMode="External"/><Relationship Id="rId82" Type="http://schemas.openxmlformats.org/officeDocument/2006/relationships/hyperlink" Target="https://www.sec.gov/Archives/edgar/data/1826011/000149315224038522/ex10-2.htm" TargetMode="External"/><Relationship Id="rId83" Type="http://schemas.openxmlformats.org/officeDocument/2006/relationships/hyperlink" Target="https://www.sec.gov/Archives/edgar/data/1826011/000149315224041316/ex10-30.htm" TargetMode="External"/><Relationship Id="rId84" Type="http://schemas.openxmlformats.org/officeDocument/2006/relationships/hyperlink" Target="https://www.sec.gov/Archives/edgar/data/1826011/000149315224041316/ex10-31.htm" TargetMode="External"/><Relationship Id="rId85" Type="http://schemas.openxmlformats.org/officeDocument/2006/relationships/hyperlink" Target="https://www.sec.gov/Archives/edgar/data/1826011/000149315224041316/ex10-32.htm" TargetMode="External"/><Relationship Id="rId86" Type="http://schemas.openxmlformats.org/officeDocument/2006/relationships/hyperlink" Target="https://www.sec.gov/Archives/edgar/data/1826011/000149315224041316/ex10-33.htm" TargetMode="External"/><Relationship Id="rId87" Type="http://schemas.openxmlformats.org/officeDocument/2006/relationships/hyperlink" Target="https://www.sec.gov/Archives/edgar/data/1826011/000149315224038146/ex10-6.htm" TargetMode="External"/><Relationship Id="rId88" Type="http://schemas.openxmlformats.org/officeDocument/2006/relationships/hyperlink" Target="https://www.sec.gov/Archives/edgar/data/1826011/000149315224041316/ex10-35.htm" TargetMode="External"/><Relationship Id="rId89" Type="http://schemas.openxmlformats.org/officeDocument/2006/relationships/hyperlink" Target="https://www.sec.gov/Archives/edgar/data/1826011/000149315224041316/ex10-36.htm" TargetMode="External"/><Relationship Id="rId90" Type="http://schemas.openxmlformats.org/officeDocument/2006/relationships/hyperlink" Target="https://www.sec.gov/Archives/edgar/data/1826011/000149315224041316/ex10-37.htm" TargetMode="External"/><Relationship Id="rId91" Type="http://schemas.openxmlformats.org/officeDocument/2006/relationships/hyperlink" Target="https://www.sec.gov/Archives/edgar/data/1826011/000149315224041316/ex10-38.htm" TargetMode="External"/><Relationship Id="rId92" Type="http://schemas.openxmlformats.org/officeDocument/2006/relationships/hyperlink" Target="https://www.sec.gov/Archives/edgar/data/1826011/000149315224041316/ex10-39.htm" TargetMode="External"/><Relationship Id="rId93" Type="http://schemas.openxmlformats.org/officeDocument/2006/relationships/hyperlink" Target="https://www.sec.gov/Archives/edgar/data/1826011/000149315224041316/ex10-40.htm" TargetMode="External"/><Relationship Id="rId94" Type="http://schemas.openxmlformats.org/officeDocument/2006/relationships/hyperlink" Target="https://www.sec.gov/Archives/edgar/data/1826011/000149315224041316/ex10-41.htm" TargetMode="External"/><Relationship Id="rId95" Type="http://schemas.openxmlformats.org/officeDocument/2006/relationships/hyperlink" Target="https://www.sec.gov/Archives/edgar/data/1826011/000149315224049374/ex10-1.htm" TargetMode="External"/><Relationship Id="rId96" Type="http://schemas.openxmlformats.org/officeDocument/2006/relationships/hyperlink" Target="https://www.sec.gov/Archives/edgar/data/1826011/000149315224049374/ex10-2.htm" TargetMode="External"/><Relationship Id="rId97" Type="http://schemas.openxmlformats.org/officeDocument/2006/relationships/hyperlink" Target="https://www.sec.gov/Archives/edgar/data/1826011/000149315224049374/ex10-3.htm" TargetMode="External"/><Relationship Id="rId98" Type="http://schemas.openxmlformats.org/officeDocument/2006/relationships/hyperlink" Target="https://www.sec.gov/Archives/edgar/data/1826011/000149315224050891/ex10-1.htm" TargetMode="External"/><Relationship Id="rId99" Type="http://schemas.openxmlformats.org/officeDocument/2006/relationships/hyperlink" Target="https://www.sec.gov/Archives/edgar/data/1826011/000149315224050891/ex10-2.htm" TargetMode="External"/><Relationship Id="rId100" Type="http://schemas.openxmlformats.org/officeDocument/2006/relationships/hyperlink" Target="https://www.sec.gov/Archives/edgar/data/1826011/000149315224050891/ex10-3.htm" TargetMode="External"/><Relationship Id="rId101" Type="http://schemas.openxmlformats.org/officeDocument/2006/relationships/hyperlink" Target="https://www.sec.gov/Archives/edgar/data/1826011/000149315225004502/ex10-3.htm" TargetMode="External"/><Relationship Id="rId102" Type="http://schemas.openxmlformats.org/officeDocument/2006/relationships/hyperlink" Target="https://www.sec.gov/Archives/edgar/data/1826011/000149315225004641/ex10-1.htm" TargetMode="External"/><Relationship Id="rId103" Type="http://schemas.openxmlformats.org/officeDocument/2006/relationships/hyperlink" Target="https://www.sec.gov/Archives/edgar/data/1826011/000149315225003319/ex10-1.htm" TargetMode="External"/><Relationship Id="rId104" Type="http://schemas.openxmlformats.org/officeDocument/2006/relationships/hyperlink" Target="https://www.sec.gov/Archives/edgar/data/1826011/000149315225003319/ex10-2.htm" TargetMode="External"/><Relationship Id="rId105" Type="http://schemas.openxmlformats.org/officeDocument/2006/relationships/hyperlink" Target="https://www.sec.gov/Archives/edgar/data/1826011/000149315225003319/ex10-4.htm" TargetMode="External"/><Relationship Id="rId106" Type="http://schemas.openxmlformats.org/officeDocument/2006/relationships/hyperlink" Target="https://www.sec.gov/Archives/edgar/data/1826011/000149315225003319/ex10-5.htm" TargetMode="External"/><Relationship Id="rId107" Type="http://schemas.openxmlformats.org/officeDocument/2006/relationships/hyperlink" Target="https://www.sec.gov/Archives/edgar/data/1826011/000149315225011390/ex10-54.htm" TargetMode="External"/><Relationship Id="rId108" Type="http://schemas.openxmlformats.org/officeDocument/2006/relationships/hyperlink" Target="http://www.sec.gov/Archives/edgar/data/0001826011/000164117225003843/ex10-1.htm" TargetMode="External"/><Relationship Id="rId109" Type="http://schemas.openxmlformats.org/officeDocument/2006/relationships/hyperlink" Target="http://www.sec.gov/Archives/edgar/data/0001826011/000164117225003843/ex10-1.htm" TargetMode="External"/><Relationship Id="rId110" Type="http://schemas.openxmlformats.org/officeDocument/2006/relationships/hyperlink" Target="https://www.sec.gov/Archives/edgar/data/1826011/000164117225003843/ex10-2.htm" TargetMode="External"/><Relationship Id="rId111" Type="http://schemas.openxmlformats.org/officeDocument/2006/relationships/hyperlink" Target="https://www.sec.gov/Archives/edgar/data/1826011/000164117225003843/ex10-2.htm" TargetMode="External"/><Relationship Id="rId112" Type="http://schemas.openxmlformats.org/officeDocument/2006/relationships/hyperlink" Target="https://www.sec.gov/Archives/edgar/data/1826011/000164117225014546/ex10-1.htm" TargetMode="External"/><Relationship Id="rId113" Type="http://schemas.openxmlformats.org/officeDocument/2006/relationships/hyperlink" Target="https://www.sec.gov/Archives/edgar/data/1826011/000164117225018464/ex10-1.htm" TargetMode="External"/><Relationship Id="rId114" Type="http://schemas.openxmlformats.org/officeDocument/2006/relationships/hyperlink" Target="https://www.sec.gov/Archives/edgar/data/1826011/000164117225017861/ex10-1.htm" TargetMode="External"/><Relationship Id="rId115" Type="http://schemas.openxmlformats.org/officeDocument/2006/relationships/hyperlink" Target="https://www.sec.gov/Archives/edgar/data/1826011/000164117225017861/ex10-2.htm" TargetMode="External"/><Relationship Id="rId116" Type="http://schemas.openxmlformats.org/officeDocument/2006/relationships/hyperlink" Target="https://www.sec.gov/Archives/edgar/data/1826011/000164117225017861/ex10-3.htm" TargetMode="External"/><Relationship Id="rId117" Type="http://schemas.openxmlformats.org/officeDocument/2006/relationships/hyperlink" Target="https://www.sec.gov/Archives/edgar/data/1826011/000095017024039543/bnzi-ex21_1.htm" TargetMode="External"/><Relationship Id="rId118" Type="http://schemas.openxmlformats.org/officeDocument/2006/relationships/hyperlink" Target="https://www.sec.gov/Archives/edgar/data/1826011/000149315225011390/ex23-1.htm" TargetMode="External"/><Relationship Id="rId119" Type="http://schemas.openxmlformats.org/officeDocument/2006/relationships/hyperlink" Target="https://www.sec.gov/Archives/edgar/data/1826011/000149315225011390/ex23-2.htm" TargetMode="External"/><Relationship Id="rId120" Type="http://schemas.openxmlformats.org/officeDocument/2006/relationships/hyperlink" Target="https://www.sec.gov/Archives/edgar/data/1826011/000149315225011390/ex23-3.htm" TargetMode="External"/><Relationship Id="rId121" Type="http://schemas.openxmlformats.org/officeDocument/2006/relationships/hyperlink" Target="https://www.sec.gov/Archives/edgar/data/1826011/000149315225011390/ex5-1.htm" TargetMode="External"/><Relationship Id="rId122" Type="http://schemas.openxmlformats.org/officeDocument/2006/relationships/hyperlink" Target="https://www.sec.gov/Archives/edgar/data/1826011/000149315225011390/ex107.htm" TargetMode="External"/><Relationship Id="rId123" Type="http://schemas.openxmlformats.org/officeDocument/2006/relationships/fontTable" Target="fontTable.xml"/><Relationship Id="rId1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21414</Words>
  <Characters>112245</Characters>
  <CharactersWithSpaces>134094</CharactersWithSpaces>
  <Paragraphs>2217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