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a.htm"/>
      <w:bookmarkStart w:id="1" w:name="ksform8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911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24, 2026 (</w:t>
      </w:r>
      <w:bookmarkStart w:id="3" w:name="xdx_90C_edei--DocumentPeriodEndDate_c202"/>
      <w:bookmarkEnd w:id="3"/>
      <w:r>
        <w:rPr>
          <w:rFonts w:ascii="Times New Roman;Times;Serif" w:hAnsi="Times New Roman;Times;Serif"/>
          <w:b/>
          <w:i w:val="false"/>
          <w:caps w:val="false"/>
          <w:smallCaps w:val="false"/>
          <w:sz w:val="20"/>
        </w:rPr>
        <w:t>September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11"/>
            <w:bookmarkEnd w:id="6"/>
            <w:r>
              <w:rPr>
                <w:rFonts w:ascii="Times New Roman;Times;Serif" w:hAnsi="Times New Roman;Times;Serif"/>
                <w:b/>
                <w:i w:val="false"/>
                <w:caps w:val="false"/>
                <w:smallCaps w:val="false"/>
                <w:sz w:val="20"/>
              </w:rPr>
              <w:t>001-39826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85-3118980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435 Ericksen Ave, </w:t>
            </w:r>
            <w:bookmarkStart w:id="9" w:name="xdx_905_edei--EntityAddressAddressLine2_"/>
            <w:bookmarkEnd w:id="9"/>
            <w:r>
              <w:rPr>
                <w:rFonts w:ascii="Times New Roman;Times;Serif" w:hAnsi="Times New Roman;Times;Serif"/>
                <w:b/>
                <w:i w:val="false"/>
                <w:caps w:val="false"/>
                <w:smallCaps w:val="false"/>
                <w:sz w:val="20"/>
              </w:rPr>
              <w:t>Suite 250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Bainbridge Island, </w:t>
            </w:r>
            <w:bookmarkStart w:id="11" w:name="xdx_905_edei--EntityAddressStateOrProvin"/>
            <w:bookmarkEnd w:id="11"/>
            <w:r>
              <w:rPr>
                <w:rFonts w:ascii="Times New Roman;Times;Serif" w:hAnsi="Times New Roman;Times;Serif"/>
                <w:b/>
                <w:i w:val="false"/>
                <w:caps w:val="false"/>
                <w:smallCaps w:val="false"/>
                <w:sz w:val="20"/>
              </w:rPr>
              <w:t>Washington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98110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4_edei--CityAreaCode_c20260911__20"/>
      <w:bookmarkEnd w:id="13"/>
      <w:r>
        <w:rPr>
          <w:rFonts w:ascii="Times New Roman;Times;Serif" w:hAnsi="Times New Roman;Times;Serif"/>
          <w:b/>
          <w:i w:val="false"/>
          <w:caps w:val="false"/>
          <w:smallCaps w:val="false"/>
          <w:sz w:val="20"/>
        </w:rPr>
        <w:t xml:space="preserve">(206) </w:t>
      </w:r>
      <w:bookmarkStart w:id="14" w:name="xdx_90C_edei--LocalPhoneNumber_c20260911"/>
      <w:bookmarkEnd w:id="14"/>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8"/>
        <w:gridCol w:w="60"/>
        <w:gridCol w:w="1224"/>
        <w:gridCol w:w="60"/>
        <w:gridCol w:w="2483"/>
      </w:tblGrid>
      <w:tr>
        <w:trPr/>
        <w:tc>
          <w:tcPr>
            <w:tcW w:w="63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911"/>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11__2"/>
            <w:bookmarkEnd w:id="20"/>
            <w:r>
              <w:rPr>
                <w:rFonts w:ascii="Times New Roman;Times;Serif" w:hAnsi="Times New Roman;Times;Serif"/>
                <w:b w:val="false"/>
                <w:i w:val="false"/>
                <w:caps w:val="false"/>
                <w:smallCaps w:val="false"/>
                <w:sz w:val="20"/>
              </w:rPr>
              <w:t>PARA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Capital Market</w:t>
            </w:r>
          </w:p>
        </w:tc>
      </w:tr>
      <w:tr>
        <w:trPr/>
        <w:tc>
          <w:tcPr>
            <w:tcW w:w="637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Security12bTitle_c20260911"/>
            <w:bookmarkEnd w:id="22"/>
            <w:r>
              <w:rPr>
                <w:rFonts w:ascii="Times New Roman;Times;Serif" w:hAnsi="Times New Roman;Times;Serif"/>
                <w:b w:val="false"/>
                <w:i w:val="false"/>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3_edei--TradingSymbol_c20260911__2"/>
            <w:bookmarkEnd w:id="23"/>
            <w:r>
              <w:rPr>
                <w:rFonts w:ascii="Times New Roman;Times;Serif" w:hAnsi="Times New Roman;Times;Serif"/>
                <w:b w:val="false"/>
                <w:i w:val="false"/>
                <w:caps w:val="false"/>
                <w:smallCaps w:val="false"/>
                <w:sz w:val="20"/>
              </w:rPr>
              <w:t>PARAW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A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 w:name="xdx_90B_edei--AmendmentDescription_c2026"/>
      <w:bookmarkEnd w:id="26"/>
      <w:r>
        <w:rPr>
          <w:rFonts w:ascii="Times New Roman;Times;Serif" w:hAnsi="Times New Roman;Times;Serif"/>
          <w:b w:val="false"/>
          <w:i w:val="false"/>
          <w:caps w:val="false"/>
          <w:smallCaps w:val="false"/>
          <w:sz w:val="20"/>
        </w:rPr>
        <w:t>The registrant is filing this amendment to disclose revised terms to a previous filed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filed the initial Current Report on Form 8-K (the “Initial 8-K”) to disclose that it entered into that certain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an accredited investor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dated as of September 4, 2026. Pursuant to the Purchase Agreement, the Company agreed to issue and sell to the Purchaser, in a private placement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(i) a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an initial principal amount of $2,142,857.14, subject to increase up to $3,571,428.57 in aggregate principal amount, and (ii) a warrant (the “</w:t>
      </w:r>
      <w:r>
        <w:rPr>
          <w:rFonts w:ascii="Times New Roman;Times;Serif" w:hAnsi="Times New Roman;Times;Serif"/>
          <w:b/>
          <w:i w:val="false"/>
          <w:caps w:val="false"/>
          <w:smallCaps w:val="false"/>
          <w:sz w:val="20"/>
        </w:rPr>
        <w:t>Common Warrant</w:t>
      </w:r>
      <w:r>
        <w:rPr>
          <w:rFonts w:ascii="Times New Roman;Times;Serif" w:hAnsi="Times New Roman;Times;Serif"/>
          <w:b w:val="false"/>
          <w:i w:val="false"/>
          <w:caps w:val="false"/>
          <w:smallCaps w:val="false"/>
          <w:sz w:val="20"/>
        </w:rPr>
        <w:t>”) to purchase up to 779,221 shares of the Company’s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with additional Common Warrants to purchase up to 519,480 additional shares of Common Stock issuable in connection with subsequent tranche fundings. The Private Placement was made in reliance on the exemption from registration provided by Section 4(a)(2)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Rule 506 promulgated thereunder. Aegis Capital Corp. (“</w:t>
      </w:r>
      <w:r>
        <w:rPr>
          <w:rFonts w:ascii="Times New Roman;Times;Serif" w:hAnsi="Times New Roman;Times;Serif"/>
          <w:b/>
          <w:i w:val="false"/>
          <w:caps w:val="false"/>
          <w:smallCaps w:val="false"/>
          <w:sz w:val="20"/>
        </w:rPr>
        <w:t>Aegis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acted as the exclusive placement agent for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Initial 8-K, the Company and Purchaser have revised some of the terms of the Purchase Agreement and related instruments. Most notably, the revised terms dictate that the threshold amount for cross defaults under the Purchase Agreement shall be set at $250,000. Additionally, the Purchaser now has a 25% participation right in the Company’s future financings, with some noted exceptions, until the later of September 18, 2027 and the date that Aegis ceases to act as the Company’s investment bank. The parties also agreed to revise the $500,000 Tranche 2 funding into two separate fundings of $190,000 and $310,000, rather than one lump sum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revised terms of the Purchase Agreement does not purport to be complete and is qualified in its entirety by reference to the full text of the Letter Agreement, which is filed as Exhibit 10.1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6"/>
        <w:gridCol w:w="60"/>
        <w:gridCol w:w="9329"/>
      </w:tblGrid>
      <w:tr>
        <w:trPr/>
        <w:tc>
          <w:tcPr>
            <w:tcW w:w="81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Convertible Promissory Note, dated September 4, 2026, issued by Banzai International, Inc. to Evergreen Capital Management LLC. (incorporated by reference to the Current Report on Form 8-K filed on September 11, 2026)</w:t>
              </w:r>
            </w:hyperlink>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Common Stock Purchase Warrant, dated September 4, 2026, issued by Banzai International, Inc. to Evergreen Capital Management LLC. (incorporated by reference to the Current Report on Form 8-K filed on September 11, 2026)</w:t>
              </w:r>
            </w:hyperlink>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Securities Purchase Agreement, dated September 4, 2026, by and between Banzai International, Inc. and Evergreen Capital Management LLC. (incorporated by reference to the Current Report on Form 8-K filed on September 11, 2026)</w:t>
              </w:r>
            </w:hyperlink>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Lock-Up Agreement. (incorporated by reference to the Current Report on Form 8-K filed on September 11, 2026)</w:t>
              </w:r>
            </w:hyperlink>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Letter Agreement dated September 18, 2026 between the Company and Evergreen Capital Management LLC</w:t>
              </w:r>
            </w:hyperlink>
          </w:p>
        </w:tc>
      </w:tr>
      <w:tr>
        <w:trPr/>
        <w:tc>
          <w:tcPr>
            <w:tcW w:w="8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24, 2026</w:t>
      </w:r>
    </w:p>
    <w:p>
      <w:pPr>
        <w:pStyle w:val="TextBody"/>
        <w:bidi w:val="0"/>
        <w:spacing w:before="0" w:after="0"/>
        <w:ind w:left="0" w:right="0" w:hanging="0"/>
        <w:jc w:val="center"/>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416"/>
        <w:gridCol w:w="25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ex10-3.htm"/>
      <w:bookmarkStart w:id="28" w:name="ksex10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Evergreen Capital Management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 W Saddle River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Saddle River, New Jersey 07458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2894"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Letter Agreement re: Securities Purchase Agreement and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 the Securities Purchase Agreement, dated September 4, 2026 (the “</w:t>
      </w:r>
      <w:r>
        <w:rPr>
          <w:rFonts w:ascii="Times New Roman;Times;Serif" w:hAnsi="Times New Roman;Times;Serif"/>
          <w:b/>
          <w:i/>
          <w:caps w:val="false"/>
          <w:smallCaps w:val="false"/>
          <w:sz w:val="20"/>
        </w:rPr>
        <w:t>SPA”</w:t>
      </w:r>
      <w:r>
        <w:rPr>
          <w:rFonts w:ascii="Times New Roman;Times;Serif" w:hAnsi="Times New Roman;Times;Serif"/>
          <w:b w:val="false"/>
          <w:i w:val="false"/>
          <w:caps w:val="false"/>
          <w:smallCaps w:val="false"/>
          <w:sz w:val="20"/>
        </w:rPr>
        <w:t>), by and between Banzai International,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Evergreen Capital Management LLC (“</w:t>
      </w:r>
      <w:r>
        <w:rPr>
          <w:rFonts w:ascii="Times New Roman;Times;Serif" w:hAnsi="Times New Roman;Times;Serif"/>
          <w:b/>
          <w:i/>
          <w:caps w:val="false"/>
          <w:smallCaps w:val="false"/>
          <w:sz w:val="20"/>
        </w:rPr>
        <w:t>Evergreen”</w:t>
      </w:r>
      <w:r>
        <w:rPr>
          <w:rFonts w:ascii="Times New Roman;Times;Serif" w:hAnsi="Times New Roman;Times;Serif"/>
          <w:b w:val="false"/>
          <w:i w:val="false"/>
          <w:caps w:val="false"/>
          <w:smallCaps w:val="false"/>
          <w:sz w:val="20"/>
        </w:rPr>
        <w:t>), (ii) the Convertible Promissory Note issued by the Company to Evergreen thereunder (the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and (iii) the Common Warrant issued by the Company to Evergreen thereunder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Capitalized terms used but not defined in this letter agreement (this “</w:t>
      </w:r>
      <w:r>
        <w:rPr>
          <w:rFonts w:ascii="Times New Roman;Times;Serif" w:hAnsi="Times New Roman;Times;Serif"/>
          <w:b/>
          <w:i/>
          <w:caps w:val="false"/>
          <w:smallCaps w:val="false"/>
          <w:sz w:val="20"/>
        </w:rPr>
        <w:t>Letter Agreement”</w:t>
      </w:r>
      <w:r>
        <w:rPr>
          <w:rFonts w:ascii="Times New Roman;Times;Serif" w:hAnsi="Times New Roman;Times;Serif"/>
          <w:b w:val="false"/>
          <w:i w:val="false"/>
          <w:caps w:val="false"/>
          <w:smallCaps w:val="false"/>
          <w:sz w:val="20"/>
        </w:rPr>
        <w:t>) have the meanings given in the SPA. In consideration of the mutual covenants below, the Company and Evergreen agree as follows:</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85"/>
        <w:gridCol w:w="21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Cross-Default Threshold.</w:t>
            </w:r>
          </w:p>
        </w:tc>
      </w:tr>
    </w:tbl>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Section 4(a)(ii) is amended by replacing “$[●]” with “$250,000.”</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85"/>
        <w:gridCol w:w="14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reference to “the State of New York” and “the City of New York” (or any comparable reference to a New York court) in SPA Section 5.9 and Warrant Section 5.5 is replaced with “the State of Delaware,” and each reference to a New York court is replaced with the corresponding Delaware court, so that the SPA and the Warrant are governed by, and disputes arising thereunder are subject to the exclusive jurisdiction of the courts of, the State of Delaware, consistent with the Note.</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185"/>
        <w:gridCol w:w="17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Right.</w:t>
            </w:r>
          </w:p>
        </w:tc>
      </w:tr>
    </w:tbl>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SPA is amended by adding the following as Section 4.19: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4.19 </w:t>
      </w:r>
      <w:r>
        <w:rPr>
          <w:rFonts w:ascii="Times New Roman;Times;Serif" w:hAnsi="Times New Roman;Times;Serif"/>
          <w:b/>
          <w:i/>
          <w:caps w:val="false"/>
          <w:smallCaps w:val="false"/>
          <w:sz w:val="20"/>
          <w:u w:val="single"/>
        </w:rPr>
        <w:t>Participation Right</w:t>
      </w:r>
      <w:r>
        <w:rPr>
          <w:rFonts w:ascii="Times New Roman;Times;Serif" w:hAnsi="Times New Roman;Times;Serif"/>
          <w:b w:val="false"/>
          <w:i/>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From the date of hereof until the later of (i) September 18, 2027 and (ii) the date Aegis Capital Corp. ceases to act as the Company’s investment bank (such period, the “</w:t>
      </w:r>
      <w:r>
        <w:rPr>
          <w:rFonts w:ascii="Times New Roman;Times;Serif" w:hAnsi="Times New Roman;Times;Serif"/>
          <w:b w:val="false"/>
          <w:i/>
          <w:caps w:val="false"/>
          <w:smallCaps w:val="false"/>
          <w:sz w:val="20"/>
          <w:u w:val="single"/>
        </w:rPr>
        <w:t>Participation Period</w:t>
      </w:r>
      <w:r>
        <w:rPr>
          <w:rFonts w:ascii="Times New Roman;Times;Serif" w:hAnsi="Times New Roman;Times;Serif"/>
          <w:b w:val="false"/>
          <w:i/>
          <w:caps w:val="false"/>
          <w:smallCaps w:val="false"/>
          <w:sz w:val="20"/>
        </w:rPr>
        <w:t>”), upon any issuance by the Company or any Subsidiary of Common Stock or Common Stock Equivalents for cash consideration, Indebtedness, or a combination thereof (a “</w:t>
      </w:r>
      <w:r>
        <w:rPr>
          <w:rFonts w:ascii="Times New Roman;Times;Serif" w:hAnsi="Times New Roman;Times;Serif"/>
          <w:b w:val="false"/>
          <w:i/>
          <w:caps w:val="false"/>
          <w:smallCaps w:val="false"/>
          <w:sz w:val="20"/>
          <w:u w:val="single"/>
        </w:rPr>
        <w:t>Subsequent Financing</w:t>
      </w:r>
      <w:r>
        <w:rPr>
          <w:rFonts w:ascii="Times New Roman;Times;Serif" w:hAnsi="Times New Roman;Times;Serif"/>
          <w:b w:val="false"/>
          <w:i/>
          <w:caps w:val="false"/>
          <w:smallCaps w:val="false"/>
          <w:sz w:val="20"/>
        </w:rPr>
        <w:t>”), other than an Exempt Issuance (as defined in the Warrant), Evergreen shall have the right to participate in up to twenty-five percent (25%) of such Subsequent Financing (the “</w:t>
      </w:r>
      <w:r>
        <w:rPr>
          <w:rFonts w:ascii="Times New Roman;Times;Serif" w:hAnsi="Times New Roman;Times;Serif"/>
          <w:b w:val="false"/>
          <w:i/>
          <w:caps w:val="false"/>
          <w:smallCaps w:val="false"/>
          <w:sz w:val="20"/>
          <w:u w:val="single"/>
        </w:rPr>
        <w:t>Participation Maximum</w:t>
      </w:r>
      <w:r>
        <w:rPr>
          <w:rFonts w:ascii="Times New Roman;Times;Serif" w:hAnsi="Times New Roman;Times;Serif"/>
          <w:b w:val="false"/>
          <w:i/>
          <w:caps w:val="false"/>
          <w:smallCaps w:val="false"/>
          <w:sz w:val="20"/>
        </w:rPr>
        <w:t>”), on the same terms, conditions and price provided for in the Subsequent Financing.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Between 4:00 p.m. and 6:00 p.m. (New York City time) on the Trading Day immediately prior to the Trading Day of the expected announcement of a Subsequent Financing (or, if that Trading Day immediately follows a holiday or weekend, between 4:00 p.m. on the Trading Day immediately prior to such holiday or weekend and 2:00 p.m. on the day immediately prior to the expected announcement), the Company shall deliver to Evergreen written notice of its intention to effect the Subsequent Financing (a “</w:t>
      </w:r>
      <w:r>
        <w:rPr>
          <w:rFonts w:ascii="Times New Roman;Times;Serif" w:hAnsi="Times New Roman;Times;Serif"/>
          <w:b w:val="false"/>
          <w:i/>
          <w:caps w:val="false"/>
          <w:smallCaps w:val="false"/>
          <w:sz w:val="20"/>
          <w:u w:val="single"/>
        </w:rPr>
        <w:t>Subsequent Financing Notice</w:t>
      </w:r>
      <w:r>
        <w:rPr>
          <w:rFonts w:ascii="Times New Roman;Times;Serif" w:hAnsi="Times New Roman;Times;Serif"/>
          <w:b w:val="false"/>
          <w:i/>
          <w:caps w:val="false"/>
          <w:smallCaps w:val="false"/>
          <w:sz w:val="20"/>
        </w:rPr>
        <w:t>”), describing in reasonable detail the proposed terms, the amount of proceeds intended to be raised, and the identity of the proposed purchaser or purchasers, together with a term sheet and the proposed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Evergreen must notify the Company by 6:30 a.m. (New York City time) on the Trading Day following delivery of the Subsequent Financing Notice (the “</w:t>
      </w:r>
      <w:r>
        <w:rPr>
          <w:rFonts w:ascii="Times New Roman;Times;Serif" w:hAnsi="Times New Roman;Times;Serif"/>
          <w:b w:val="false"/>
          <w:i/>
          <w:caps w:val="false"/>
          <w:smallCaps w:val="false"/>
          <w:sz w:val="20"/>
          <w:u w:val="single"/>
        </w:rPr>
        <w:t>Notice Termination Time</w:t>
      </w:r>
      <w:r>
        <w:rPr>
          <w:rFonts w:ascii="Times New Roman;Times;Serif" w:hAnsi="Times New Roman;Times;Serif"/>
          <w:b w:val="false"/>
          <w:i/>
          <w:caps w:val="false"/>
          <w:smallCaps w:val="false"/>
          <w:sz w:val="20"/>
        </w:rPr>
        <w:t>”) if it elects to participate and the amount of its intended participation, together with a representation that it has funds ready, willing and available on the terms set forth in the notice. If Evergreen does not respond by the Notice Termination Time, it shall be deemed to have declined to participate in that Subsequent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If Evergreen elects to participate in an amount up to the Participation Maximum, the Company shall include Evergreen in the Subsequent Financing on the terms set forth in the Subsequent Financing Notice. If the Company does not receive an election from Evergreen to participate by the Notice Termination Time, the Company may proceed with the Subsequent Financing on the terms and with the persons set forth in the Subsequent Financing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If a definitive agreement for the Subsequent Financing is not entered into on the terms set forth in the Subsequent Financing Notice within two (2) Trading Days after delivery of that notice, the Company must deliver a new Subsequent Financing Notice before proceeding, and Evergreen’s participation right under this Section 4.19 applies again with new time periods running from delivery of that new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 The transaction documents for any Subsequent Financing in which Evergreen elects to participate shall not include any term or provision intended, directly or indirectly, to exclude Evergreen from participating, including any requirement that Evergreen agree to trading restrictions or consent to any amendment, termination or waiver under this Agreement as a condition to participating. The transaction documents shall further require the Company to issue a press release disclosing the material terms of the Subsequent Financing by 9:30 a.m. (New York City time) on the Trading Day the transaction documents are executed (or the following Trading Day, if execution is not on a Trading Day).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By 9:30 a.m. (New York City time) on the second Trading Day following delivery of a Subsequent Financing Notice, the Company shall either confirm to Evergreen in writing that the proposed Subsequent Financing has been abandoned or publicly disclose its intention to proceed, in either case such that Evergreen is not left in possession of material non-public information. If neither has occurred by that time, the proposed Subsequent Financing shall be deemed abandoned and Evergreen shall not be deemed to hold material non-public information with respect to the Company on account of the Subsequent Financing Notice. Should the Company later decide to pursue the transaction, it shall deliver a new Subsequent Financing Notice and Evergreen’s participation right applies again. The Company may not deliver more than one Subsequent Financing Notice to Evergreen in any sixty (60) day period, except that an amendment or modification of the terms of a pending Subsequent Financing shall be delivered as a new Subsequent Financing Notice with new time periods.</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85"/>
        <w:gridCol w:w="17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Tranche 2 Funding.</w:t>
            </w:r>
          </w:p>
        </w:tc>
      </w:tr>
    </w:tbl>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Section 2.2.2 is amended and restated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2.2.2 Tranche 2: an amount equal to $500,000 (the “</w:t>
      </w:r>
      <w:r>
        <w:rPr>
          <w:rFonts w:ascii="Times New Roman;Times;Serif" w:hAnsi="Times New Roman;Times;Serif"/>
          <w:b w:val="false"/>
          <w:i/>
          <w:caps w:val="false"/>
          <w:smallCaps w:val="false"/>
          <w:sz w:val="20"/>
          <w:u w:val="single"/>
        </w:rPr>
        <w:t>Tranche 2 Amount</w:t>
      </w:r>
      <w:r>
        <w:rPr>
          <w:rFonts w:ascii="Times New Roman;Times;Serif" w:hAnsi="Times New Roman;Times;Serif"/>
          <w:b w:val="false"/>
          <w:i/>
          <w:caps w:val="false"/>
          <w:smallCaps w:val="false"/>
          <w:sz w:val="20"/>
        </w:rPr>
        <w:t>”), payable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$190,000, payable within one (1) Business Day after the later of (A) the Company’s Board of Directors adopting a resolution approving the terms of the proposed underwritten secondary offering to be conducted through Aegis Capital Corp., as underwriter (the “</w:t>
      </w:r>
      <w:r>
        <w:rPr>
          <w:rFonts w:ascii="Times New Roman;Times;Serif" w:hAnsi="Times New Roman;Times;Serif"/>
          <w:b w:val="false"/>
          <w:i/>
          <w:caps w:val="false"/>
          <w:smallCaps w:val="false"/>
          <w:sz w:val="20"/>
          <w:u w:val="single"/>
        </w:rPr>
        <w:t>Offering</w:t>
      </w:r>
      <w:r>
        <w:rPr>
          <w:rFonts w:ascii="Times New Roman;Times;Serif" w:hAnsi="Times New Roman;Times;Serif"/>
          <w:b w:val="false"/>
          <w:i/>
          <w:caps w:val="false"/>
          <w:smallCaps w:val="false"/>
          <w:sz w:val="20"/>
        </w:rPr>
        <w:t>”), and (B) the Company’s engagement of Aegis Capital Corp. for such Offering;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the remaining $310,000, payable within two (2) Business Days after the later of (A) the Confidential Filing and (B) the Company’s delivery to Evergreen of a written waiver from 3i, LP under (x) the Securities Purchase Agreement, dated as of June 27, 2025, by and among the Company and the buyers party thereto, as amended, supplemented or waived from time to, and (y) the senior secured convertible notes issued with the Company, in form and substance reasonably satisfactory to Evergreen, permitting the transactions contemplated by this Section 2.2.2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funding, the “</w:t>
      </w:r>
      <w:r>
        <w:rPr>
          <w:rFonts w:ascii="Times New Roman;Times;Serif" w:hAnsi="Times New Roman;Times;Serif"/>
          <w:b w:val="false"/>
          <w:i/>
          <w:caps w:val="false"/>
          <w:smallCaps w:val="false"/>
          <w:sz w:val="20"/>
          <w:u w:val="single"/>
        </w:rPr>
        <w:t>Tranche 2 Closing</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85"/>
        <w:gridCol w:w="1070"/>
        <w:gridCol w:w="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8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amended by this Letter Agreement, the SPA, the Note, and the Warrant remain in full force and effect. This Letter Agreement is governed by, and shall be construed in accordance with, the laws of the State of New York, without regard to conflict of laws principles. This Letter Agreement may be executed in counterparts, including by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your agreement by countersigning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89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Letter Agreement Signature Page</w:t>
      </w:r>
      <w:r>
        <w:rPr>
          <w:rFonts w:ascii="Times New Roman;Times;Serif" w:hAnsi="Times New Roman;Times;Serif"/>
          <w:b w:val="false"/>
          <w:i w:val="false"/>
          <w:caps w:val="false"/>
          <w:smallCaps w:val="false"/>
          <w:sz w:val="20"/>
        </w:rPr>
        <w:t>]</w:t>
      </w:r>
    </w:p>
    <w:p>
      <w:pPr>
        <w:pStyle w:val="TextBody"/>
        <w:bidi w:val="0"/>
        <w:spacing w:before="0" w:after="0"/>
        <w:ind w:left="2894" w:right="0" w:hanging="0"/>
        <w:jc w:val="center"/>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1468"/>
        <w:gridCol w:w="3771"/>
      </w:tblGrid>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b/>
              </w:rPr>
            </w:pPr>
            <w:r>
              <w:rPr>
                <w:b/>
              </w:rPr>
              <w:t>EVERGREEN CAPITAL MANAGEMENT LLC</w:t>
            </w:r>
          </w:p>
        </w:tc>
      </w:tr>
      <w:tr>
        <w:trPr/>
        <w:tc>
          <w:tcPr>
            <w:tcW w:w="75"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 </w:t>
            </w:r>
          </w:p>
        </w:tc>
        <w:tc>
          <w:tcPr>
            <w:tcW w:w="3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By:</w:t>
            </w:r>
          </w:p>
        </w:tc>
        <w:tc>
          <w:tcPr>
            <w:tcW w:w="3771" w:type="dxa"/>
            <w:tcBorders>
              <w:bottom w:val="single" w:sz="8" w:space="0" w:color="000000"/>
            </w:tcBorders>
            <w:tcMar>
              <w:bottom w:w="28" w:type="dxa"/>
            </w:tcMar>
            <w:vAlign w:val="center"/>
          </w:tcPr>
          <w:p>
            <w:pPr>
              <w:pStyle w:val="TableContents"/>
              <w:bidi w:val="0"/>
              <w:spacing w:before="0" w:after="283"/>
              <w:jc w:val="left"/>
              <w:rPr/>
            </w:pPr>
            <w:r>
              <w:rPr/>
              <w:t>/s/ Jeffrey Pazdro</w:t>
            </w:r>
          </w:p>
        </w:tc>
      </w:tr>
      <w:tr>
        <w:trPr/>
        <w:tc>
          <w:tcPr>
            <w:tcW w:w="75"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Name:</w:t>
            </w:r>
          </w:p>
        </w:tc>
        <w:tc>
          <w:tcPr>
            <w:tcW w:w="3771" w:type="dxa"/>
            <w:tcBorders/>
            <w:vAlign w:val="center"/>
          </w:tcPr>
          <w:p>
            <w:pPr>
              <w:pStyle w:val="TableContents"/>
              <w:bidi w:val="0"/>
              <w:spacing w:before="0" w:after="283"/>
              <w:jc w:val="left"/>
              <w:rPr/>
            </w:pPr>
            <w:r>
              <w:rPr/>
              <w:t>Jeffrey Pazdro</w:t>
            </w:r>
          </w:p>
        </w:tc>
      </w:tr>
      <w:tr>
        <w:trPr/>
        <w:tc>
          <w:tcPr>
            <w:tcW w:w="75"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 xml:space="preserve">Title: </w:t>
            </w:r>
          </w:p>
        </w:tc>
        <w:tc>
          <w:tcPr>
            <w:tcW w:w="3771"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tbl>
      <w:tblPr>
        <w:tblW w:w="3034" w:type="dxa"/>
        <w:jc w:val="left"/>
        <w:tblInd w:w="0" w:type="dxa"/>
        <w:tblLayout w:type="fixed"/>
        <w:tblCellMar>
          <w:top w:w="0" w:type="dxa"/>
          <w:left w:w="0" w:type="dxa"/>
          <w:bottom w:w="0" w:type="dxa"/>
          <w:right w:w="0" w:type="dxa"/>
        </w:tblCellMar>
      </w:tblPr>
      <w:tblGrid>
        <w:gridCol w:w="667"/>
        <w:gridCol w:w="2292"/>
        <w:gridCol w:w="75"/>
      </w:tblGrid>
      <w:tr>
        <w:trPr/>
        <w:tc>
          <w:tcPr>
            <w:tcW w:w="2959" w:type="dxa"/>
            <w:gridSpan w:val="2"/>
            <w:tcBorders/>
            <w:vAlign w:val="center"/>
          </w:tcPr>
          <w:p>
            <w:pPr>
              <w:pStyle w:val="TableContents"/>
              <w:bidi w:val="0"/>
              <w:spacing w:before="0" w:after="283"/>
              <w:jc w:val="left"/>
              <w:rPr/>
            </w:pPr>
            <w:r>
              <w:rPr/>
              <w:t>Agreed and accepted:</w:t>
            </w:r>
          </w:p>
        </w:tc>
        <w:tc>
          <w:tcPr>
            <w:tcW w:w="7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 </w:t>
            </w:r>
          </w:p>
        </w:tc>
        <w:tc>
          <w:tcPr>
            <w:tcW w:w="22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BANZAI INTERNATIONAL, INC.</w:t>
            </w:r>
          </w:p>
        </w:tc>
        <w:tc>
          <w:tcPr>
            <w:tcW w:w="7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 </w:t>
            </w:r>
          </w:p>
        </w:tc>
        <w:tc>
          <w:tcPr>
            <w:tcW w:w="22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 xml:space="preserve">By: </w:t>
            </w:r>
          </w:p>
        </w:tc>
        <w:tc>
          <w:tcPr>
            <w:tcW w:w="2292" w:type="dxa"/>
            <w:tcBorders>
              <w:bottom w:val="single" w:sz="8" w:space="0" w:color="000000"/>
            </w:tcBorders>
            <w:tcMar>
              <w:bottom w:w="28" w:type="dxa"/>
            </w:tcMar>
            <w:vAlign w:val="center"/>
          </w:tcPr>
          <w:p>
            <w:pPr>
              <w:pStyle w:val="TableContents"/>
              <w:bidi w:val="0"/>
              <w:spacing w:before="0" w:after="283"/>
              <w:jc w:val="left"/>
              <w:rPr/>
            </w:pPr>
            <w:r>
              <w:rPr/>
              <w:t>/s/ Joseph Davy</w:t>
            </w:r>
          </w:p>
        </w:tc>
        <w:tc>
          <w:tcPr>
            <w:tcW w:w="7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Name:</w:t>
            </w:r>
          </w:p>
        </w:tc>
        <w:tc>
          <w:tcPr>
            <w:tcW w:w="2292" w:type="dxa"/>
            <w:tcBorders/>
            <w:vAlign w:val="center"/>
          </w:tcPr>
          <w:p>
            <w:pPr>
              <w:pStyle w:val="TableContents"/>
              <w:bidi w:val="0"/>
              <w:spacing w:before="0" w:after="283"/>
              <w:jc w:val="left"/>
              <w:rPr/>
            </w:pPr>
            <w:r>
              <w:rPr/>
              <w:t>Joseph Davy</w:t>
            </w:r>
          </w:p>
        </w:tc>
        <w:tc>
          <w:tcPr>
            <w:tcW w:w="7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Title:</w:t>
            </w:r>
          </w:p>
        </w:tc>
        <w:tc>
          <w:tcPr>
            <w:tcW w:w="2292"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6042422/ex4-1.htm" TargetMode="External"/><Relationship Id="rId3" Type="http://schemas.openxmlformats.org/officeDocument/2006/relationships/hyperlink" Target="https://www.sec.gov/Archives/edgar/data/1826011/000149315226042422/ex4-2.htm" TargetMode="External"/><Relationship Id="rId4" Type="http://schemas.openxmlformats.org/officeDocument/2006/relationships/hyperlink" Target="https://www.sec.gov/Archives/edgar/data/1826011/000149315226042422/ex10-1.htm" TargetMode="External"/><Relationship Id="rId5" Type="http://schemas.openxmlformats.org/officeDocument/2006/relationships/hyperlink" Target="https://www.sec.gov/Archives/edgar/data/1826011/000149315226042422/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2166</Words>
  <Characters>11801</Characters>
  <CharactersWithSpaces>14025</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