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520" w:right="1039" w:hanging="4650"/>
        <w:spacing w:after="0" w:line="415" w:lineRule="auto"/>
        <w:rPr>
          <w:sz w:val="20"/>
          <w:szCs w:val="20"/>
          <w:color w:val="auto"/>
        </w:rPr>
      </w:pPr>
      <w:r>
        <w:rPr>
          <w:rFonts w:ascii="Arial" w:cs="Arial" w:eastAsia="Arial" w:hAnsi="Arial"/>
          <w:sz w:val="14"/>
          <w:szCs w:val="14"/>
          <w:b w:val="1"/>
          <w:bCs w:val="1"/>
          <w:color w:val="auto"/>
        </w:rPr>
        <w:t>As filed with the Securities and Exchange Commission on December 7, 2020.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-18415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24130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OF 1933</w:t>
      </w:r>
    </w:p>
    <w:p>
      <w:pPr>
        <w:spacing w:after="0" w:line="3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7GC &amp; Co.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224" w:lineRule="exact"/>
        <w:rPr>
          <w:sz w:val="24"/>
          <w:szCs w:val="24"/>
          <w:color w:val="auto"/>
        </w:rPr>
      </w:pPr>
    </w:p>
    <w:tbl>
      <w:tblPr>
        <w:tblLayout w:type="fixed"/>
        <w:tblInd w:w="460" w:type="dxa"/>
        <w:tblCellMar>
          <w:top w:w="0" w:type="dxa"/>
          <w:left w:w="0" w:type="dxa"/>
          <w:bottom w:w="0" w:type="dxa"/>
          <w:right w:w="0" w:type="dxa"/>
        </w:tblCellMar>
      </w:tblPr>
      <w:tr>
        <w:trPr>
          <w:trHeight w:val="210"/>
        </w:trPr>
        <w:tc>
          <w:tcPr>
            <w:tcW w:w="2680" w:type="dxa"/>
            <w:vAlign w:val="bottom"/>
            <w:gridSpan w:val="2"/>
          </w:tcPr>
          <w:p>
            <w:pPr>
              <w:ind w:left="940"/>
              <w:spacing w:after="0"/>
              <w:rPr>
                <w:sz w:val="20"/>
                <w:szCs w:val="20"/>
                <w:color w:val="auto"/>
              </w:rPr>
            </w:pPr>
            <w:r>
              <w:rPr>
                <w:rFonts w:ascii="Arial" w:cs="Arial" w:eastAsia="Arial" w:hAnsi="Arial"/>
                <w:sz w:val="16"/>
                <w:szCs w:val="16"/>
                <w:b w:val="1"/>
                <w:bCs w:val="1"/>
                <w:color w:val="auto"/>
              </w:rPr>
              <w:t>Delaware</w:t>
            </w: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89"/>
              </w:rPr>
              <w:t>6770</w:t>
            </w:r>
          </w:p>
        </w:tc>
        <w:tc>
          <w:tcPr>
            <w:tcW w:w="10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88"/>
              </w:rPr>
              <w:t>85-3118980</w:t>
            </w: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580" w:type="dxa"/>
            <w:vAlign w:val="bottom"/>
          </w:tcPr>
          <w:p>
            <w:pPr>
              <w:ind w:left="220"/>
              <w:spacing w:after="0" w:line="195" w:lineRule="exact"/>
              <w:rPr>
                <w:sz w:val="20"/>
                <w:szCs w:val="20"/>
                <w:color w:val="auto"/>
              </w:rPr>
            </w:pPr>
            <w:r>
              <w:rPr>
                <w:rFonts w:ascii="Arial" w:cs="Arial" w:eastAsia="Arial" w:hAnsi="Arial"/>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100" w:type="dxa"/>
            <w:vAlign w:val="bottom"/>
            <w:vMerge w:val="continue"/>
          </w:tcPr>
          <w:p>
            <w:pPr>
              <w:spacing w:after="0"/>
              <w:rPr>
                <w:sz w:val="16"/>
                <w:szCs w:val="16"/>
                <w:color w:val="auto"/>
              </w:rPr>
            </w:pPr>
          </w:p>
        </w:tc>
        <w:tc>
          <w:tcPr>
            <w:tcW w:w="272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Classification Code Number)</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388 Market Street, Suite 1300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(628) 400-9284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Executive Offices)</w:t>
      </w:r>
    </w:p>
    <w:p>
      <w:pPr>
        <w:spacing w:after="0" w:line="3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 Leeney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388 Market Street, Suite 1300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(628) 400-9284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47"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81"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3500" w:type="dxa"/>
            <w:vAlign w:val="bottom"/>
          </w:tcPr>
          <w:p>
            <w:pPr>
              <w:jc w:val="center"/>
              <w:ind w:right="830"/>
              <w:spacing w:after="0"/>
              <w:rPr>
                <w:sz w:val="20"/>
                <w:szCs w:val="20"/>
                <w:color w:val="auto"/>
              </w:rPr>
            </w:pPr>
            <w:r>
              <w:rPr>
                <w:rFonts w:ascii="Arial" w:cs="Arial" w:eastAsia="Arial" w:hAnsi="Arial"/>
                <w:sz w:val="18"/>
                <w:szCs w:val="18"/>
                <w:b w:val="1"/>
                <w:bCs w:val="1"/>
                <w:color w:val="auto"/>
                <w:w w:val="89"/>
              </w:rPr>
              <w:t>Douglas S. Ellenoff, Esq.</w:t>
            </w:r>
          </w:p>
        </w:tc>
        <w:tc>
          <w:tcPr>
            <w:tcW w:w="292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Ari Edelman, Esq.</w:t>
            </w:r>
          </w:p>
        </w:tc>
      </w:tr>
      <w:tr>
        <w:trPr>
          <w:trHeight w:val="216"/>
        </w:trPr>
        <w:tc>
          <w:tcPr>
            <w:tcW w:w="3500" w:type="dxa"/>
            <w:vAlign w:val="bottom"/>
          </w:tcPr>
          <w:p>
            <w:pPr>
              <w:jc w:val="center"/>
              <w:ind w:right="830"/>
              <w:spacing w:after="0"/>
              <w:rPr>
                <w:sz w:val="20"/>
                <w:szCs w:val="20"/>
                <w:color w:val="auto"/>
              </w:rPr>
            </w:pPr>
            <w:r>
              <w:rPr>
                <w:rFonts w:ascii="Arial" w:cs="Arial" w:eastAsia="Arial" w:hAnsi="Arial"/>
                <w:sz w:val="18"/>
                <w:szCs w:val="18"/>
                <w:b w:val="1"/>
                <w:bCs w:val="1"/>
                <w:color w:val="auto"/>
                <w:w w:val="89"/>
              </w:rPr>
              <w:t>Stuart Neuhauser, Esq.</w:t>
            </w:r>
          </w:p>
        </w:tc>
        <w:tc>
          <w:tcPr>
            <w:tcW w:w="292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Reed Smith LLP</w:t>
            </w:r>
          </w:p>
        </w:tc>
      </w:tr>
      <w:tr>
        <w:trPr>
          <w:trHeight w:val="216"/>
        </w:trPr>
        <w:tc>
          <w:tcPr>
            <w:tcW w:w="3500" w:type="dxa"/>
            <w:vAlign w:val="bottom"/>
          </w:tcPr>
          <w:p>
            <w:pPr>
              <w:jc w:val="center"/>
              <w:ind w:right="830"/>
              <w:spacing w:after="0"/>
              <w:rPr>
                <w:sz w:val="20"/>
                <w:szCs w:val="20"/>
                <w:color w:val="auto"/>
              </w:rPr>
            </w:pPr>
            <w:r>
              <w:rPr>
                <w:rFonts w:ascii="Arial" w:cs="Arial" w:eastAsia="Arial" w:hAnsi="Arial"/>
                <w:sz w:val="18"/>
                <w:szCs w:val="18"/>
                <w:b w:val="1"/>
                <w:bCs w:val="1"/>
                <w:color w:val="auto"/>
                <w:w w:val="90"/>
              </w:rPr>
              <w:t>Joshua N. Englard, Esq.</w:t>
            </w:r>
          </w:p>
        </w:tc>
        <w:tc>
          <w:tcPr>
            <w:tcW w:w="2920" w:type="dxa"/>
            <w:vAlign w:val="bottom"/>
          </w:tcPr>
          <w:p>
            <w:pPr>
              <w:jc w:val="center"/>
              <w:ind w:left="810"/>
              <w:spacing w:after="0"/>
              <w:rPr>
                <w:sz w:val="20"/>
                <w:szCs w:val="20"/>
                <w:color w:val="auto"/>
              </w:rPr>
            </w:pPr>
            <w:r>
              <w:rPr>
                <w:rFonts w:ascii="Arial" w:cs="Arial" w:eastAsia="Arial" w:hAnsi="Arial"/>
                <w:sz w:val="18"/>
                <w:szCs w:val="18"/>
                <w:b w:val="1"/>
                <w:bCs w:val="1"/>
                <w:color w:val="auto"/>
                <w:w w:val="88"/>
              </w:rPr>
              <w:t>599 Lexington Avenue</w:t>
            </w:r>
          </w:p>
        </w:tc>
      </w:tr>
      <w:tr>
        <w:trPr>
          <w:trHeight w:val="216"/>
        </w:trPr>
        <w:tc>
          <w:tcPr>
            <w:tcW w:w="35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Ellenoff Grossman &amp; Schole LLP</w:t>
            </w:r>
          </w:p>
        </w:tc>
        <w:tc>
          <w:tcPr>
            <w:tcW w:w="292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New York, NY 10022</w:t>
            </w:r>
          </w:p>
        </w:tc>
      </w:tr>
      <w:tr>
        <w:trPr>
          <w:trHeight w:val="216"/>
        </w:trPr>
        <w:tc>
          <w:tcPr>
            <w:tcW w:w="3500" w:type="dxa"/>
            <w:vAlign w:val="bottom"/>
          </w:tcPr>
          <w:p>
            <w:pPr>
              <w:jc w:val="center"/>
              <w:ind w:right="830"/>
              <w:spacing w:after="0"/>
              <w:rPr>
                <w:sz w:val="20"/>
                <w:szCs w:val="20"/>
                <w:color w:val="auto"/>
              </w:rPr>
            </w:pPr>
            <w:r>
              <w:rPr>
                <w:rFonts w:ascii="Arial" w:cs="Arial" w:eastAsia="Arial" w:hAnsi="Arial"/>
                <w:sz w:val="18"/>
                <w:szCs w:val="18"/>
                <w:b w:val="1"/>
                <w:bCs w:val="1"/>
                <w:color w:val="auto"/>
                <w:w w:val="88"/>
              </w:rPr>
              <w:t>1345 Avenue of the Americas</w:t>
            </w:r>
          </w:p>
        </w:tc>
        <w:tc>
          <w:tcPr>
            <w:tcW w:w="292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Telephone: (212) 521-5400</w:t>
            </w:r>
          </w:p>
        </w:tc>
      </w:tr>
      <w:tr>
        <w:trPr>
          <w:trHeight w:val="216"/>
        </w:trPr>
        <w:tc>
          <w:tcPr>
            <w:tcW w:w="3500" w:type="dxa"/>
            <w:vAlign w:val="bottom"/>
          </w:tcPr>
          <w:p>
            <w:pPr>
              <w:jc w:val="center"/>
              <w:ind w:right="830"/>
              <w:spacing w:after="0"/>
              <w:rPr>
                <w:sz w:val="20"/>
                <w:szCs w:val="20"/>
                <w:color w:val="auto"/>
              </w:rPr>
            </w:pPr>
            <w:r>
              <w:rPr>
                <w:rFonts w:ascii="Arial" w:cs="Arial" w:eastAsia="Arial" w:hAnsi="Arial"/>
                <w:sz w:val="18"/>
                <w:szCs w:val="18"/>
                <w:b w:val="1"/>
                <w:bCs w:val="1"/>
                <w:color w:val="auto"/>
                <w:w w:val="94"/>
              </w:rPr>
              <w:t>New York, NY 10105</w:t>
            </w:r>
          </w:p>
        </w:tc>
        <w:tc>
          <w:tcPr>
            <w:tcW w:w="2920" w:type="dxa"/>
            <w:vAlign w:val="bottom"/>
          </w:tcPr>
          <w:p>
            <w:pPr>
              <w:spacing w:after="0"/>
              <w:rPr>
                <w:sz w:val="18"/>
                <w:szCs w:val="18"/>
                <w:color w:val="auto"/>
              </w:rPr>
            </w:pPr>
          </w:p>
        </w:tc>
      </w:tr>
      <w:tr>
        <w:trPr>
          <w:trHeight w:val="234"/>
        </w:trPr>
        <w:tc>
          <w:tcPr>
            <w:tcW w:w="3500" w:type="dxa"/>
            <w:vAlign w:val="bottom"/>
          </w:tcPr>
          <w:p>
            <w:pPr>
              <w:jc w:val="center"/>
              <w:ind w:right="790"/>
              <w:spacing w:after="0"/>
              <w:rPr>
                <w:sz w:val="20"/>
                <w:szCs w:val="20"/>
                <w:color w:val="auto"/>
              </w:rPr>
            </w:pPr>
            <w:r>
              <w:rPr>
                <w:rFonts w:ascii="Arial" w:cs="Arial" w:eastAsia="Arial" w:hAnsi="Arial"/>
                <w:sz w:val="18"/>
                <w:szCs w:val="18"/>
                <w:b w:val="1"/>
                <w:bCs w:val="1"/>
                <w:color w:val="auto"/>
                <w:w w:val="90"/>
              </w:rPr>
              <w:t>Telephone: (212) 370-1300</w:t>
            </w:r>
          </w:p>
        </w:tc>
        <w:tc>
          <w:tcPr>
            <w:tcW w:w="2920" w:type="dxa"/>
            <w:vAlign w:val="bottom"/>
          </w:tcPr>
          <w:p>
            <w:pPr>
              <w:spacing w:after="0"/>
              <w:rPr>
                <w:sz w:val="20"/>
                <w:szCs w:val="20"/>
                <w:color w:val="auto"/>
              </w:rPr>
            </w:pPr>
          </w:p>
        </w:tc>
      </w:tr>
    </w:tbl>
    <w:p>
      <w:pPr>
        <w:spacing w:after="0" w:line="21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62" w:lineRule="exact"/>
        <w:rPr>
          <w:sz w:val="24"/>
          <w:szCs w:val="24"/>
          <w:color w:val="auto"/>
        </w:rPr>
      </w:pPr>
    </w:p>
    <w:p>
      <w:pPr>
        <w:ind w:left="460" w:right="499" w:firstLine="432"/>
        <w:spacing w:after="0" w:line="298"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registration statement.</w:t>
      </w:r>
    </w:p>
    <w:p>
      <w:pPr>
        <w:spacing w:after="0" w:line="20" w:lineRule="exact"/>
        <w:rPr>
          <w:sz w:val="24"/>
          <w:szCs w:val="24"/>
          <w:color w:val="auto"/>
        </w:rPr>
      </w:pPr>
    </w:p>
    <w:p>
      <w:pPr>
        <w:ind w:left="460" w:right="719" w:firstLine="432"/>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37" w:lineRule="exact"/>
        <w:rPr>
          <w:sz w:val="24"/>
          <w:szCs w:val="24"/>
          <w:color w:val="auto"/>
        </w:rPr>
      </w:pPr>
    </w:p>
    <w:p>
      <w:pPr>
        <w:jc w:val="both"/>
        <w:ind w:left="460" w:right="619" w:firstLine="432"/>
        <w:spacing w:after="0" w:line="278"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6" w:lineRule="exact"/>
        <w:rPr>
          <w:sz w:val="24"/>
          <w:szCs w:val="24"/>
          <w:color w:val="auto"/>
        </w:rPr>
      </w:pPr>
    </w:p>
    <w:p>
      <w:pPr>
        <w:ind w:left="460" w:right="49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6" w:lineRule="exact"/>
        <w:rPr>
          <w:sz w:val="24"/>
          <w:szCs w:val="24"/>
          <w:color w:val="auto"/>
        </w:rPr>
      </w:pPr>
    </w:p>
    <w:p>
      <w:pPr>
        <w:ind w:left="460" w:right="479" w:firstLine="432"/>
        <w:spacing w:after="0" w:line="278"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49" w:lineRule="exact"/>
        <w:rPr>
          <w:sz w:val="24"/>
          <w:szCs w:val="24"/>
          <w:color w:val="auto"/>
        </w:rPr>
      </w:pPr>
    </w:p>
    <w:p>
      <w:pPr>
        <w:ind w:left="460" w:right="479" w:firstLine="432"/>
        <w:spacing w:after="0" w:line="33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9" w:lineRule="exact"/>
        <w:rPr>
          <w:sz w:val="24"/>
          <w:szCs w:val="24"/>
          <w:color w:val="auto"/>
        </w:rPr>
      </w:pPr>
    </w:p>
    <w:tbl>
      <w:tblPr>
        <w:tblLayout w:type="fixed"/>
        <w:tblInd w:w="1360" w:type="dxa"/>
        <w:tblCellMar>
          <w:top w:w="0" w:type="dxa"/>
          <w:left w:w="0" w:type="dxa"/>
          <w:bottom w:w="0" w:type="dxa"/>
          <w:right w:w="0" w:type="dxa"/>
        </w:tblCellMar>
      </w:tblPr>
      <w:tr>
        <w:trPr>
          <w:trHeight w:val="206"/>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80" w:type="dxa"/>
            <w:vAlign w:val="bottom"/>
          </w:tcPr>
          <w:p>
            <w:pPr>
              <w:ind w:left="500"/>
              <w:spacing w:after="0"/>
              <w:rPr>
                <w:sz w:val="20"/>
                <w:szCs w:val="20"/>
                <w:color w:val="auto"/>
              </w:rPr>
            </w:pPr>
            <w:r>
              <w:rPr>
                <w:rFonts w:ascii="Arial" w:cs="Arial" w:eastAsia="Arial" w:hAnsi="Arial"/>
                <w:sz w:val="16"/>
                <w:szCs w:val="16"/>
                <w:color w:val="auto"/>
              </w:rPr>
              <w:t>£</w:t>
            </w:r>
          </w:p>
        </w:tc>
        <w:tc>
          <w:tcPr>
            <w:tcW w:w="2560" w:type="dxa"/>
            <w:vAlign w:val="bottom"/>
          </w:tcPr>
          <w:p>
            <w:pPr>
              <w:ind w:left="3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420"/>
              <w:spacing w:after="0"/>
              <w:rPr>
                <w:sz w:val="20"/>
                <w:szCs w:val="20"/>
                <w:color w:val="auto"/>
              </w:rPr>
            </w:pPr>
            <w:r>
              <w:rPr>
                <w:rFonts w:ascii="Arial" w:cs="Arial" w:eastAsia="Arial" w:hAnsi="Arial"/>
                <w:sz w:val="16"/>
                <w:szCs w:val="16"/>
                <w:color w:val="auto"/>
                <w:w w:val="89"/>
              </w:rPr>
              <w:t>£</w:t>
            </w:r>
          </w:p>
        </w:tc>
      </w:tr>
      <w:tr>
        <w:trPr>
          <w:trHeight w:val="284"/>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980" w:type="dxa"/>
            <w:vAlign w:val="bottom"/>
          </w:tcPr>
          <w:p>
            <w:pPr>
              <w:ind w:left="500"/>
              <w:spacing w:after="0"/>
              <w:rPr>
                <w:sz w:val="20"/>
                <w:szCs w:val="20"/>
                <w:color w:val="auto"/>
              </w:rPr>
            </w:pPr>
            <w:r>
              <w:rPr>
                <w:rFonts w:ascii="Arial" w:cs="Arial" w:eastAsia="Arial" w:hAnsi="Arial"/>
                <w:sz w:val="16"/>
                <w:szCs w:val="16"/>
                <w:color w:val="auto"/>
              </w:rPr>
              <w:t>S</w:t>
            </w:r>
          </w:p>
        </w:tc>
        <w:tc>
          <w:tcPr>
            <w:tcW w:w="2560" w:type="dxa"/>
            <w:vAlign w:val="bottom"/>
          </w:tcPr>
          <w:p>
            <w:pPr>
              <w:ind w:left="3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420"/>
              <w:spacing w:after="0"/>
              <w:rPr>
                <w:sz w:val="20"/>
                <w:szCs w:val="20"/>
                <w:color w:val="auto"/>
              </w:rPr>
            </w:pPr>
            <w:r>
              <w:rPr>
                <w:rFonts w:ascii="Arial" w:cs="Arial" w:eastAsia="Arial" w:hAnsi="Arial"/>
                <w:sz w:val="16"/>
                <w:szCs w:val="16"/>
                <w:color w:val="auto"/>
                <w:w w:val="74"/>
              </w:rPr>
              <w:t>S</w:t>
            </w:r>
          </w:p>
        </w:tc>
      </w:tr>
      <w:tr>
        <w:trPr>
          <w:trHeight w:val="283"/>
        </w:trPr>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60" w:type="dxa"/>
            <w:vAlign w:val="bottom"/>
          </w:tcPr>
          <w:p>
            <w:pPr>
              <w:ind w:left="3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420"/>
              <w:spacing w:after="0"/>
              <w:rPr>
                <w:sz w:val="20"/>
                <w:szCs w:val="20"/>
                <w:color w:val="auto"/>
              </w:rPr>
            </w:pPr>
            <w:r>
              <w:rPr>
                <w:rFonts w:ascii="Arial" w:cs="Arial" w:eastAsia="Arial" w:hAnsi="Arial"/>
                <w:sz w:val="16"/>
                <w:szCs w:val="16"/>
                <w:color w:val="auto"/>
                <w:w w:val="74"/>
              </w:rPr>
              <w:t>S</w:t>
            </w:r>
          </w:p>
        </w:tc>
      </w:tr>
    </w:tbl>
    <w:p>
      <w:pPr>
        <w:spacing w:after="0" w:line="253" w:lineRule="exact"/>
        <w:rPr>
          <w:sz w:val="24"/>
          <w:szCs w:val="24"/>
          <w:color w:val="auto"/>
        </w:rPr>
      </w:pPr>
    </w:p>
    <w:p>
      <w:pPr>
        <w:jc w:val="both"/>
        <w:ind w:left="460" w:right="499" w:firstLine="432"/>
        <w:spacing w:after="0" w:line="27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234315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803" w:gutter="0" w:footer="0" w:header="0"/>
        </w:sectPr>
      </w:pPr>
    </w:p>
    <w:bookmarkStart w:id="1" w:name="page2"/>
    <w:bookmarkEnd w:id="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4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Proposed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7"/>
              </w:rPr>
              <w:t>Maximum</w:t>
            </w:r>
          </w:p>
        </w:tc>
        <w:tc>
          <w:tcPr>
            <w:tcW w:w="4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Offering</w:t>
            </w:r>
          </w:p>
        </w:tc>
        <w:tc>
          <w:tcPr>
            <w:tcW w:w="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Amount of</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Amount Being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Price per</w:t>
            </w:r>
          </w:p>
        </w:tc>
        <w:tc>
          <w:tcPr>
            <w:tcW w:w="4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Offering</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4"/>
              </w:rPr>
              <w:t>Registration</w:t>
            </w:r>
          </w:p>
        </w:tc>
        <w:tc>
          <w:tcPr>
            <w:tcW w:w="0" w:type="dxa"/>
            <w:vAlign w:val="bottom"/>
          </w:tcPr>
          <w:p>
            <w:pPr>
              <w:spacing w:after="0"/>
              <w:rPr>
                <w:sz w:val="1"/>
                <w:szCs w:val="1"/>
                <w:color w:val="auto"/>
              </w:rPr>
            </w:pPr>
          </w:p>
        </w:tc>
      </w:tr>
      <w:tr>
        <w:trPr>
          <w:trHeight w:val="253"/>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w w:val="95"/>
              </w:rPr>
              <w:t>Title of Each Class of Security Being Registered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Registered</w:t>
            </w:r>
          </w:p>
        </w:tc>
        <w:tc>
          <w:tcPr>
            <w:tcW w:w="80" w:type="dxa"/>
            <w:vAlign w:val="bottom"/>
          </w:tcPr>
          <w:p>
            <w:pPr>
              <w:spacing w:after="0"/>
              <w:rPr>
                <w:sz w:val="21"/>
                <w:szCs w:val="21"/>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4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100" w:type="dxa"/>
            <w:vAlign w:val="bottom"/>
          </w:tcPr>
          <w:p>
            <w:pPr>
              <w:spacing w:after="0"/>
              <w:rPr>
                <w:sz w:val="21"/>
                <w:szCs w:val="21"/>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99"/>
        </w:trPr>
        <w:tc>
          <w:tcPr>
            <w:tcW w:w="340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2"/>
              </w:rPr>
              <w:t>Units, each consisting of one share of Class A</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common stock, $0.0001 par value, and one-</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half of one redeemable warrant</w:t>
            </w:r>
            <w:r>
              <w:rPr>
                <w:rFonts w:ascii="Arial" w:cs="Arial" w:eastAsia="Arial" w:hAnsi="Arial"/>
                <w:sz w:val="20"/>
                <w:szCs w:val="20"/>
                <w:color w:val="auto"/>
                <w:vertAlign w:val="superscript"/>
              </w:rPr>
              <w:t>(2)</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20,125,000 Units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$ 201,250,000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w w:val="96"/>
              </w:rPr>
              <w:t>Shares of Class A common stock included as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part of the units</w:t>
            </w:r>
            <w:r>
              <w:rPr>
                <w:rFonts w:ascii="Arial" w:cs="Arial" w:eastAsia="Arial" w:hAnsi="Arial"/>
                <w:sz w:val="20"/>
                <w:szCs w:val="20"/>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20,125,000 Shares</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40"/>
              <w:spacing w:after="0" w:line="271"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Redeemable warrants included as part of the</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10,062,500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20"/>
                <w:szCs w:val="20"/>
                <w:color w:val="auto"/>
                <w:vertAlign w:val="superscript"/>
              </w:rPr>
              <w:t>(3)</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Warrants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line="271"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00" w:type="dxa"/>
            <w:vAlign w:val="bottom"/>
            <w:gridSpan w:val="2"/>
            <w:vMerge w:val="continue"/>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$ 201,250,000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21,957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w:t>
      </w:r>
    </w:p>
    <w:p>
      <w:pPr>
        <w:spacing w:after="0" w:line="18" w:lineRule="exact"/>
        <w:rPr>
          <w:rFonts w:ascii="Arial" w:cs="Arial" w:eastAsia="Arial" w:hAnsi="Arial"/>
          <w:sz w:val="16"/>
          <w:szCs w:val="16"/>
          <w:color w:val="auto"/>
        </w:rPr>
      </w:pPr>
    </w:p>
    <w:p>
      <w:pPr>
        <w:ind w:left="880" w:right="519" w:hanging="42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2,625,000 units, consisting of 2,625,000 shares of Class A common stock and 1,312,500 redeemable warrants, which may be issued upon exercise of a 45-day option granted to the underwriters to cover over-allotments, if any.</w:t>
      </w:r>
    </w:p>
    <w:p>
      <w:pPr>
        <w:ind w:left="880" w:right="539" w:hanging="426"/>
        <w:spacing w:after="0" w:line="301" w:lineRule="auto"/>
        <w:tabs>
          <w:tab w:leader="none" w:pos="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there are also being registered an indeterminable number of additional securities as may be issued to prevent dilution resulting from stock splits, stock dividends or similar transactions.</w:t>
      </w:r>
    </w:p>
    <w:p>
      <w:pPr>
        <w:spacing w:after="0" w:line="1" w:lineRule="exact"/>
        <w:rPr>
          <w:rFonts w:ascii="Arial" w:cs="Arial" w:eastAsia="Arial" w:hAnsi="Arial"/>
          <w:sz w:val="14"/>
          <w:szCs w:val="14"/>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 under the Securities Act.</w:t>
      </w:r>
    </w:p>
    <w:p>
      <w:pPr>
        <w:spacing w:after="0" w:line="155" w:lineRule="exact"/>
        <w:rPr>
          <w:sz w:val="20"/>
          <w:szCs w:val="20"/>
          <w:color w:val="auto"/>
        </w:rPr>
      </w:pPr>
    </w:p>
    <w:p>
      <w:pPr>
        <w:ind w:left="460" w:right="479" w:firstLine="432"/>
        <w:spacing w:after="0" w:line="32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5715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48260</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322580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 w:name="page3"/>
    <w:bookmarkEnd w:id="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59" w:lineRule="auto"/>
        <w:rPr>
          <w:sz w:val="20"/>
          <w:szCs w:val="20"/>
          <w:color w:val="auto"/>
        </w:rPr>
      </w:pPr>
      <w:r>
        <w:rPr>
          <w:rFonts w:ascii="Arial" w:cs="Arial" w:eastAsia="Arial" w:hAnsi="Arial"/>
          <w:sz w:val="18"/>
          <w:szCs w:val="18"/>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3" w:lineRule="exact"/>
        <w:rPr>
          <w:sz w:val="20"/>
          <w:szCs w:val="20"/>
          <w:color w:val="auto"/>
        </w:rPr>
      </w:pPr>
    </w:p>
    <w:p>
      <w:pPr>
        <w:ind w:left="460"/>
        <w:spacing w:after="0"/>
        <w:tabs>
          <w:tab w:leader="none" w:pos="376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SUBJECT TO COMPLETION, DATED DECEMBER 7, 2020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$175,000,000</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7GC &amp; Co. Holdings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17,500,000 Units</w:t>
      </w:r>
    </w:p>
    <w:p>
      <w:pPr>
        <w:spacing w:after="0" w:line="55"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_______________________________</w:t>
      </w:r>
    </w:p>
    <w:p>
      <w:pPr>
        <w:spacing w:after="0" w:line="48" w:lineRule="exact"/>
        <w:rPr>
          <w:sz w:val="20"/>
          <w:szCs w:val="20"/>
          <w:color w:val="auto"/>
        </w:rPr>
      </w:pPr>
    </w:p>
    <w:p>
      <w:pPr>
        <w:jc w:val="both"/>
        <w:ind w:left="460" w:right="639" w:firstLine="432"/>
        <w:spacing w:after="0" w:line="271" w:lineRule="auto"/>
        <w:rPr>
          <w:sz w:val="20"/>
          <w:szCs w:val="20"/>
          <w:color w:val="auto"/>
        </w:rPr>
      </w:pPr>
      <w:r>
        <w:rPr>
          <w:rFonts w:ascii="Arial" w:cs="Arial" w:eastAsia="Arial" w:hAnsi="Arial"/>
          <w:sz w:val="16"/>
          <w:szCs w:val="16"/>
          <w:color w:val="auto"/>
        </w:rPr>
        <w:t>7GC &amp; Co. Holdings Inc. is a newly organized blank check company formed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initiated any substantive discussions, directly or indirectly, with any business combination target.</w:t>
      </w:r>
    </w:p>
    <w:p>
      <w:pPr>
        <w:spacing w:after="0" w:line="28" w:lineRule="exact"/>
        <w:rPr>
          <w:sz w:val="20"/>
          <w:szCs w:val="20"/>
          <w:color w:val="auto"/>
        </w:rPr>
      </w:pPr>
    </w:p>
    <w:p>
      <w:pPr>
        <w:ind w:left="460" w:right="519" w:firstLine="432"/>
        <w:spacing w:after="0" w:line="308"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our Class A common stock and one-half of one redeemable warrant. Each whole warrant entitles the holder thereof to purchase one share of our Class A common stock at a price of $11.50 per share, subject to adjustment as described herein. Only whole warrants are exercisable.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liquidation, as described in this prospectus. No fractional warrants will be issued upon separation of the units and only whole warrants will trade. The underwriters have a 45-day option from the date of this prospectus to purchase up to an additional 2,625,000 units to cover over-allotments, if any. We will provide our public stockholders with the opportunity to redeem all or a portion of their shares of our Class A common stock upon the completion of our initial business combination, subject to the limitations described herein. If we are unable to complete our initial business combination within 24 months from the closing of this offering, we will redeem 100% of the public shares for cash, subject to applicable law and certain conditions as further described herein.</w:t>
      </w:r>
    </w:p>
    <w:p>
      <w:pPr>
        <w:spacing w:after="0" w:line="5"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6"/>
          <w:szCs w:val="16"/>
          <w:color w:val="auto"/>
        </w:rPr>
        <w:t>Our sponsor, 7GC &amp; Co. Holdings LLC, has agreed to purchase an aggregate of 6,250,000 warrants (or 6,775,000 private placement warrants if the underwriters’ over-allotment option is exercised in full) at a price of $1.00 per warrant, for an aggregate purchase price of $6,250,000 (or $6,775,000 if the underwriters’ over-allotment option is exercised in full), each exercisable to purchase one share of our Class A common stock at a price of $11.50 per share, in a private placement that will close simultaneously with the closing of this offering. We refer to these warrants throughout this prospectus as the private placement warrants.</w:t>
      </w:r>
    </w:p>
    <w:p>
      <w:pPr>
        <w:spacing w:after="0" w:line="32"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6"/>
          <w:szCs w:val="16"/>
          <w:color w:val="auto"/>
        </w:rPr>
        <w:t>Our initial stockholders, which include our sponsor, own an aggregate of 5,031,250 shares of our Class B common stock (up to 656,250 shares of which are subject to forfeiture by our sponsor depending on the extent to which the underwriters’ over-allotment option is exercised), which will automatically convert into shares of Class A common stock at the time of our initial business combination as described herein.</w:t>
      </w:r>
    </w:p>
    <w:p>
      <w:pPr>
        <w:spacing w:after="0" w:line="2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5"/>
          <w:szCs w:val="15"/>
          <w:color w:val="auto"/>
        </w:rPr>
        <w:t>Currently, there is no public market for our units, Class A common stock or warrants. We have applied to list our units on The Nasdaq Capital Market, or Nasdaq, under the symbol “VIIU”. We expect that our units will be listed on Nasdaq on or promptly after the date of this prospectus. We cannot guarantee that our securities will be approved for listing on Nasdaq. We expect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5"/>
          <w:szCs w:val="15"/>
          <w:color w:val="auto"/>
        </w:rPr>
        <w:t xml:space="preserve"> day following the date of this prospectus unless Cantor Fitzgerald &amp; Co., the representative of the underwriters which we refer to as Cantor, informs us of its decision to allow earlier separate trading, subject to our satisfaction of certain conditions. Once the securities comprising the units begin separate trading, we expect that the Class A common stock and warrants will be listed on Nasdaq under the symbols “VII” and “VIIW,” respectively.</w:t>
      </w:r>
    </w:p>
    <w:p>
      <w:pPr>
        <w:spacing w:after="0" w:line="25"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6"/>
          <w:szCs w:val="16"/>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29 for a discussion of information that should be considered in connection with an investment in our securities. Investors will not be entitled to protections normally afforded to investors in Rule 419 blank check offerings.</w:t>
      </w:r>
    </w:p>
    <w:p>
      <w:pPr>
        <w:spacing w:after="0" w:line="28" w:lineRule="exact"/>
        <w:rPr>
          <w:sz w:val="20"/>
          <w:szCs w:val="20"/>
          <w:color w:val="auto"/>
        </w:rPr>
      </w:pPr>
    </w:p>
    <w:p>
      <w:pPr>
        <w:jc w:val="both"/>
        <w:ind w:left="460" w:right="519" w:firstLine="432"/>
        <w:spacing w:after="0" w:line="278" w:lineRule="auto"/>
        <w:rPr>
          <w:sz w:val="20"/>
          <w:szCs w:val="20"/>
          <w:color w:val="auto"/>
        </w:rPr>
      </w:pPr>
      <w:r>
        <w:rPr>
          <w:rFonts w:ascii="Arial" w:cs="Arial" w:eastAsia="Arial" w:hAnsi="Arial"/>
          <w:sz w:val="16"/>
          <w:szCs w:val="16"/>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tbl>
      <w:tblPr>
        <w:tblLayout w:type="fixed"/>
        <w:tblInd w:w="460" w:type="dxa"/>
        <w:tblCellMar>
          <w:top w:w="0" w:type="dxa"/>
          <w:left w:w="0" w:type="dxa"/>
          <w:bottom w:w="0" w:type="dxa"/>
          <w:right w:w="0" w:type="dxa"/>
        </w:tblCellMar>
      </w:tblPr>
      <w:tr>
        <w:trPr>
          <w:trHeight w:val="164"/>
        </w:trPr>
        <w:tc>
          <w:tcPr>
            <w:tcW w:w="5780" w:type="dxa"/>
            <w:vAlign w:val="bottom"/>
          </w:tcPr>
          <w:p>
            <w:pPr>
              <w:ind w:left="3060"/>
              <w:spacing w:after="0"/>
              <w:rPr>
                <w:sz w:val="20"/>
                <w:szCs w:val="20"/>
                <w:color w:val="auto"/>
              </w:rPr>
            </w:pPr>
            <w:r>
              <w:rPr>
                <w:rFonts w:ascii="Arial" w:cs="Arial" w:eastAsia="Arial" w:hAnsi="Arial"/>
                <w:sz w:val="13"/>
                <w:szCs w:val="13"/>
                <w:b w:val="1"/>
                <w:bCs w:val="1"/>
                <w:color w:val="auto"/>
              </w:rPr>
              <w:t>_______________________________</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23"/>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 Unit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25"/>
        </w:trPr>
        <w:tc>
          <w:tcPr>
            <w:tcW w:w="5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175,000,000</w:t>
            </w:r>
          </w:p>
        </w:tc>
      </w:tr>
      <w:tr>
        <w:trPr>
          <w:trHeight w:val="284"/>
        </w:trPr>
        <w:tc>
          <w:tcPr>
            <w:tcW w:w="578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0.55</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9,625,000</w:t>
            </w: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7GC &amp; Co. Holdings Inc.</w:t>
            </w: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9.45</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165,375,000</w:t>
            </w:r>
          </w:p>
        </w:tc>
      </w:tr>
      <w:tr>
        <w:trPr>
          <w:trHeight w:val="220"/>
        </w:trPr>
        <w:tc>
          <w:tcPr>
            <w:tcW w:w="5780" w:type="dxa"/>
            <w:vAlign w:val="bottom"/>
          </w:tcPr>
          <w:p>
            <w:pPr>
              <w:spacing w:after="0"/>
              <w:rPr>
                <w:sz w:val="20"/>
                <w:szCs w:val="20"/>
                <w:color w:val="auto"/>
              </w:rPr>
            </w:pPr>
            <w:r>
              <w:rPr>
                <w:rFonts w:ascii="Arial" w:cs="Arial" w:eastAsia="Arial" w:hAnsi="Arial"/>
                <w:sz w:val="16"/>
                <w:szCs w:val="16"/>
                <w:color w:val="auto"/>
              </w:rPr>
              <w:t>____________</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ind w:left="880" w:right="479" w:hanging="426"/>
        <w:spacing w:after="0" w:line="265"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$0.35 per unit, or $6,125,000 (or up to $7,043,750 if the underwriters’ over-allotment option is exercised in full) in the aggregate payable to Cantor for deferred underwriting commissions which will be placed in a trust account located in the United States as described herein. The deferred commissions will be released to Cantor only upon completion of an initial business combination, as described in this prospectus. Does not include certain other fees and expenses payable to the underwriters in connection with this offering. See the section of this prospectus entitled “Underwriting” beginning on page 145 for a description of compensation and other items of value payable to the underwriters.</w:t>
      </w:r>
    </w:p>
    <w:p>
      <w:pPr>
        <w:spacing w:after="0" w:line="35" w:lineRule="exact"/>
        <w:rPr>
          <w:sz w:val="20"/>
          <w:szCs w:val="20"/>
          <w:color w:val="auto"/>
        </w:rPr>
      </w:pPr>
    </w:p>
    <w:p>
      <w:pPr>
        <w:ind w:left="460" w:right="519" w:firstLine="432"/>
        <w:spacing w:after="0" w:line="318"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$175.0 million or $201.25 million if the underwriters’ over-allotment option is exercised in full ($10.00 per unit in either case) will be initially deposited into a trust account in the United States at J.P. Morgan Chase Bank, N.A., with Continental Stock Transfer &amp; Trust Company acting as trustee, and $2,750,000 will be available to pay fees and expenses in connection with the closing of this offering and for working capital following the closing of this offering. The proceeds</w:t>
      </w:r>
    </w:p>
    <w:p>
      <w:pPr>
        <w:sectPr>
          <w:pgSz w:w="11900" w:h="16838" w:orient="portrait"/>
          <w:cols w:equalWidth="0" w:num="1">
            <w:col w:w="9019"/>
          </w:cols>
          <w:pgMar w:left="1440" w:top="274" w:right="1440" w:bottom="0" w:gutter="0" w:footer="0" w:header="0"/>
        </w:sectPr>
      </w:pPr>
    </w:p>
    <w:bookmarkStart w:id="3" w:name="page4"/>
    <w:bookmarkEnd w:id="3"/>
    <w:p>
      <w:pPr>
        <w:ind w:left="460" w:right="559"/>
        <w:spacing w:after="0" w:line="293" w:lineRule="auto"/>
        <w:rPr>
          <w:sz w:val="20"/>
          <w:szCs w:val="20"/>
          <w:color w:val="auto"/>
        </w:rPr>
      </w:pPr>
      <w:r>
        <w:rPr>
          <w:rFonts w:ascii="Arial" w:cs="Arial" w:eastAsia="Arial" w:hAnsi="Arial"/>
          <w:sz w:val="16"/>
          <w:szCs w:val="16"/>
          <w:color w:val="auto"/>
        </w:rPr>
        <w:t>deposited in the trust account could become subject to the claims of our creditors, if any, which could have priority over the claims of our public stockholders.</w:t>
      </w:r>
    </w:p>
    <w:p>
      <w:pPr>
        <w:spacing w:after="0" w:line="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underwriters are offering the units for sale on a firm commitment basis. The underwriters expect to deliver the</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2440" w:type="dxa"/>
            <w:vAlign w:val="bottom"/>
          </w:tcPr>
          <w:p>
            <w:pPr>
              <w:spacing w:after="0"/>
              <w:rPr>
                <w:sz w:val="20"/>
                <w:szCs w:val="20"/>
                <w:color w:val="auto"/>
              </w:rPr>
            </w:pPr>
            <w:r>
              <w:rPr>
                <w:rFonts w:ascii="Arial" w:cs="Arial" w:eastAsia="Arial" w:hAnsi="Arial"/>
                <w:sz w:val="16"/>
                <w:szCs w:val="16"/>
                <w:color w:val="auto"/>
                <w:w w:val="97"/>
              </w:rPr>
              <w:t>units to the purchasers on or about</w:t>
            </w:r>
          </w:p>
        </w:tc>
        <w:tc>
          <w:tcPr>
            <w:tcW w:w="5660" w:type="dxa"/>
            <w:vAlign w:val="bottom"/>
          </w:tcPr>
          <w:p>
            <w:pPr>
              <w:jc w:val="right"/>
              <w:ind w:right="4888"/>
              <w:spacing w:after="0"/>
              <w:rPr>
                <w:sz w:val="20"/>
                <w:szCs w:val="20"/>
                <w:color w:val="auto"/>
              </w:rPr>
            </w:pPr>
            <w:r>
              <w:rPr>
                <w:rFonts w:ascii="Arial" w:cs="Arial" w:eastAsia="Arial" w:hAnsi="Arial"/>
                <w:sz w:val="16"/>
                <w:szCs w:val="16"/>
                <w:color w:val="auto"/>
              </w:rPr>
              <w:t>, 2020.</w:t>
            </w:r>
          </w:p>
        </w:tc>
      </w:tr>
      <w:tr>
        <w:trPr>
          <w:trHeight w:val="239"/>
        </w:trPr>
        <w:tc>
          <w:tcPr>
            <w:tcW w:w="2440" w:type="dxa"/>
            <w:vAlign w:val="bottom"/>
          </w:tcPr>
          <w:p>
            <w:pPr>
              <w:spacing w:after="0"/>
              <w:rPr>
                <w:sz w:val="20"/>
                <w:szCs w:val="20"/>
                <w:color w:val="auto"/>
              </w:rPr>
            </w:pPr>
          </w:p>
        </w:tc>
        <w:tc>
          <w:tcPr>
            <w:tcW w:w="5660" w:type="dxa"/>
            <w:vAlign w:val="bottom"/>
          </w:tcPr>
          <w:p>
            <w:pPr>
              <w:jc w:val="center"/>
              <w:ind w:right="2368"/>
              <w:spacing w:after="0"/>
              <w:rPr>
                <w:sz w:val="20"/>
                <w:szCs w:val="20"/>
                <w:color w:val="auto"/>
              </w:rPr>
            </w:pPr>
            <w:r>
              <w:rPr>
                <w:rFonts w:ascii="Arial" w:cs="Arial" w:eastAsia="Arial" w:hAnsi="Arial"/>
                <w:sz w:val="16"/>
                <w:szCs w:val="16"/>
                <w:i w:val="1"/>
                <w:iCs w:val="1"/>
                <w:color w:val="auto"/>
                <w:w w:val="91"/>
              </w:rPr>
              <w:t>Sole Book-Running Manager</w:t>
            </w:r>
          </w:p>
        </w:tc>
      </w:tr>
      <w:tr>
        <w:trPr>
          <w:trHeight w:val="338"/>
        </w:trPr>
        <w:tc>
          <w:tcPr>
            <w:tcW w:w="2440" w:type="dxa"/>
            <w:vAlign w:val="bottom"/>
          </w:tcPr>
          <w:p>
            <w:pPr>
              <w:spacing w:after="0"/>
              <w:rPr>
                <w:sz w:val="24"/>
                <w:szCs w:val="24"/>
                <w:color w:val="auto"/>
              </w:rPr>
            </w:pPr>
          </w:p>
        </w:tc>
        <w:tc>
          <w:tcPr>
            <w:tcW w:w="5660" w:type="dxa"/>
            <w:vAlign w:val="bottom"/>
          </w:tcPr>
          <w:p>
            <w:pPr>
              <w:jc w:val="center"/>
              <w:ind w:right="2368"/>
              <w:spacing w:after="0"/>
              <w:rPr>
                <w:sz w:val="20"/>
                <w:szCs w:val="20"/>
                <w:color w:val="auto"/>
              </w:rPr>
            </w:pPr>
            <w:r>
              <w:rPr>
                <w:rFonts w:ascii="Arial" w:cs="Arial" w:eastAsia="Arial" w:hAnsi="Arial"/>
                <w:sz w:val="25"/>
                <w:szCs w:val="25"/>
                <w:b w:val="1"/>
                <w:bCs w:val="1"/>
                <w:color w:val="auto"/>
                <w:w w:val="94"/>
              </w:rPr>
              <w:t>Cantor</w:t>
            </w:r>
          </w:p>
        </w:tc>
      </w:tr>
      <w:tr>
        <w:trPr>
          <w:trHeight w:val="337"/>
        </w:trPr>
        <w:tc>
          <w:tcPr>
            <w:tcW w:w="2440" w:type="dxa"/>
            <w:vAlign w:val="bottom"/>
          </w:tcPr>
          <w:p>
            <w:pPr>
              <w:spacing w:after="0"/>
              <w:rPr>
                <w:sz w:val="24"/>
                <w:szCs w:val="24"/>
                <w:color w:val="auto"/>
              </w:rPr>
            </w:pPr>
          </w:p>
        </w:tc>
        <w:tc>
          <w:tcPr>
            <w:tcW w:w="5660" w:type="dxa"/>
            <w:vAlign w:val="bottom"/>
          </w:tcPr>
          <w:p>
            <w:pPr>
              <w:jc w:val="right"/>
              <w:ind w:right="3568"/>
              <w:spacing w:after="0"/>
              <w:rPr>
                <w:sz w:val="20"/>
                <w:szCs w:val="20"/>
                <w:color w:val="auto"/>
              </w:rPr>
            </w:pPr>
            <w:r>
              <w:rPr>
                <w:rFonts w:ascii="Arial" w:cs="Arial" w:eastAsia="Arial" w:hAnsi="Arial"/>
                <w:sz w:val="16"/>
                <w:szCs w:val="16"/>
                <w:color w:val="auto"/>
              </w:rPr>
              <w:t>, 2020</w:t>
            </w:r>
          </w:p>
        </w:tc>
      </w:tr>
      <w:tr>
        <w:trPr>
          <w:trHeight w:val="397"/>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0" w:right="1440" w:bottom="1440" w:gutter="0" w:footer="0" w:header="0"/>
        </w:sectPr>
      </w:pPr>
    </w:p>
    <w:bookmarkStart w:id="4" w:name="page5"/>
    <w:bookmarkEnd w:id="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Cautionary Note Regarding Forward-Looking Statements and Risk Factor Summary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28</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Dividend Policy</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Dilution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Capitalization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Management’s Discussion and Analysis of Financial Condition and Results of Operations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Proposed Business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Management</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Principal Stockholders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117</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Certain Relationships and Related Party Transactions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6"/>
              </w:rPr>
              <w:t>119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Description of Securities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U.S. Federal Income Tax Considerations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136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Underwriting</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145</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153</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153</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Where You Can Find Additional Information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153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43"/>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Index to Financial Statements</w:t>
              </w:r>
            </w:hyperlink>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r>
      <w:tr>
        <w:trPr>
          <w:trHeight w:val="40"/>
        </w:trPr>
        <w:tc>
          <w:tcPr>
            <w:tcW w:w="7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976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540" w:right="699" w:firstLine="432"/>
        <w:spacing w:after="0" w:line="257"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You should read this entire prospectus carefully, including the information under the section of this prospectus entitled “Risk Factors” and our financial statements and the related notes included elsewhere in this prospectus, before investing. Unless otherwise stated in this prospectus, or the context otherwise requires, references to:</w:t>
      </w:r>
    </w:p>
    <w:p>
      <w:pPr>
        <w:spacing w:after="0" w:line="120" w:lineRule="exact"/>
        <w:rPr>
          <w:sz w:val="20"/>
          <w:szCs w:val="20"/>
          <w:color w:val="auto"/>
        </w:rPr>
      </w:pPr>
    </w:p>
    <w:p>
      <w:pPr>
        <w:ind w:left="1400" w:hanging="424"/>
        <w:spacing w:after="0"/>
        <w:tabs>
          <w:tab w:leader="none" w:pos="14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“common stock” are to our Class A common stock and our Class B common stock, collectively;</w:t>
      </w:r>
    </w:p>
    <w:p>
      <w:pPr>
        <w:spacing w:after="0" w:line="167" w:lineRule="exact"/>
        <w:rPr>
          <w:rFonts w:ascii="Arial" w:cs="Arial" w:eastAsia="Arial" w:hAnsi="Arial"/>
          <w:sz w:val="16"/>
          <w:szCs w:val="16"/>
          <w:color w:val="auto"/>
        </w:rPr>
      </w:pPr>
    </w:p>
    <w:p>
      <w:pPr>
        <w:jc w:val="both"/>
        <w:ind w:left="1400" w:right="69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our Class B common stock initially purchased by our sponsor in a private placement prior to this offering, and the shares of our Class A common stock issued upon the conversion thereof as provided herein;</w:t>
      </w:r>
    </w:p>
    <w:p>
      <w:pPr>
        <w:spacing w:after="0" w:line="116" w:lineRule="exact"/>
        <w:rPr>
          <w:rFonts w:ascii="Arial" w:cs="Arial" w:eastAsia="Arial" w:hAnsi="Arial"/>
          <w:sz w:val="18"/>
          <w:szCs w:val="18"/>
          <w:color w:val="auto"/>
        </w:rPr>
      </w:pPr>
    </w:p>
    <w:p>
      <w:pPr>
        <w:ind w:left="1400" w:right="83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our sponsor and any other holders of our founder shares prior to this offering (or their permitted transferees);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44" w:lineRule="exact"/>
        <w:rPr>
          <w:rFonts w:ascii="Arial" w:cs="Arial" w:eastAsia="Arial" w:hAnsi="Arial"/>
          <w:sz w:val="18"/>
          <w:szCs w:val="18"/>
          <w:color w:val="auto"/>
        </w:rPr>
      </w:pPr>
    </w:p>
    <w:p>
      <w:pPr>
        <w:ind w:left="1400" w:right="75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in a private placement simultaneously with the closing of this offering;</w:t>
      </w:r>
    </w:p>
    <w:p>
      <w:pPr>
        <w:spacing w:after="0" w:line="102" w:lineRule="exact"/>
        <w:rPr>
          <w:rFonts w:ascii="Arial" w:cs="Arial" w:eastAsia="Arial" w:hAnsi="Arial"/>
          <w:sz w:val="18"/>
          <w:szCs w:val="18"/>
          <w:color w:val="auto"/>
        </w:rPr>
      </w:pPr>
    </w:p>
    <w:p>
      <w:pPr>
        <w:ind w:left="1400" w:right="1119" w:hanging="424"/>
        <w:spacing w:after="0" w:line="342" w:lineRule="auto"/>
        <w:tabs>
          <w:tab w:leader="none" w:pos="1391"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“public shares” are to shares of our Class A common stock sold as part of the units in this offering (whether they are purchased in this offering or thereafter in the open market);</w:t>
      </w:r>
    </w:p>
    <w:p>
      <w:pPr>
        <w:spacing w:after="0" w:line="56" w:lineRule="exact"/>
        <w:rPr>
          <w:rFonts w:ascii="Arial" w:cs="Arial" w:eastAsia="Arial" w:hAnsi="Arial"/>
          <w:sz w:val="16"/>
          <w:szCs w:val="16"/>
          <w:color w:val="auto"/>
        </w:rPr>
      </w:pPr>
    </w:p>
    <w:p>
      <w:pPr>
        <w:ind w:left="1400" w:right="679" w:hanging="424"/>
        <w:spacing w:after="0" w:line="25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06" w:lineRule="exact"/>
        <w:rPr>
          <w:rFonts w:ascii="Arial" w:cs="Arial" w:eastAsia="Arial" w:hAnsi="Arial"/>
          <w:sz w:val="18"/>
          <w:szCs w:val="18"/>
          <w:color w:val="auto"/>
        </w:rPr>
      </w:pPr>
    </w:p>
    <w:p>
      <w:pPr>
        <w:ind w:left="1400" w:right="579" w:hanging="424"/>
        <w:spacing w:after="0" w:line="293" w:lineRule="auto"/>
        <w:tabs>
          <w:tab w:leader="none" w:pos="1391"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“public warrants” are to our redeemable warrants sold as part of the units in this offering (whether they are purchased in this offering or thereafter in the open market), to the private placement warrants if held by third parties other than our sponsor (or permitted transferees), and to any private placement warrants issued upon conversion of working capital loans that are sold to third parties that are not initial purchasers or executive officers or directors (or permitted transferees), in each case, following the consummation of our initial business combination;</w:t>
      </w:r>
    </w:p>
    <w:p>
      <w:pPr>
        <w:spacing w:after="0" w:line="96" w:lineRule="exact"/>
        <w:rPr>
          <w:rFonts w:ascii="Arial" w:cs="Arial" w:eastAsia="Arial" w:hAnsi="Arial"/>
          <w:sz w:val="16"/>
          <w:szCs w:val="16"/>
          <w:color w:val="auto"/>
        </w:rPr>
      </w:pPr>
    </w:p>
    <w:p>
      <w:pPr>
        <w:ind w:left="1400" w:right="67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7GC &amp; Co. Holdings LLC, a Delaware limited liability company controlled by certain of our officers, directors and advisors;</w:t>
      </w:r>
    </w:p>
    <w:p>
      <w:pPr>
        <w:spacing w:after="0" w:line="102" w:lineRule="exact"/>
        <w:rPr>
          <w:rFonts w:ascii="Arial" w:cs="Arial" w:eastAsia="Arial" w:hAnsi="Arial"/>
          <w:sz w:val="18"/>
          <w:szCs w:val="18"/>
          <w:color w:val="auto"/>
        </w:rPr>
      </w:pPr>
    </w:p>
    <w:p>
      <w:pPr>
        <w:ind w:left="1400" w:right="739" w:hanging="424"/>
        <w:spacing w:after="0" w:line="259"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are to our redeemable warrants, which includes the public warrants as well as the private placement warrants to the extent they are no longer held by the initial purchasers of the private placement warrants or their permitted transferees and any warrants issued upon conversion of working capital loans; and</w:t>
      </w:r>
    </w:p>
    <w:p>
      <w:pPr>
        <w:spacing w:after="0" w:line="105"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7GC &amp; Co. Holdings Inc.</w:t>
      </w:r>
    </w:p>
    <w:p>
      <w:pPr>
        <w:spacing w:after="0" w:line="158" w:lineRule="exact"/>
        <w:rPr>
          <w:sz w:val="20"/>
          <w:szCs w:val="20"/>
          <w:color w:val="auto"/>
        </w:rPr>
      </w:pPr>
    </w:p>
    <w:p>
      <w:pPr>
        <w:ind w:left="540" w:right="679" w:firstLine="432"/>
        <w:spacing w:after="0" w:line="277" w:lineRule="auto"/>
        <w:rPr>
          <w:sz w:val="20"/>
          <w:szCs w:val="20"/>
          <w:color w:val="auto"/>
        </w:rPr>
      </w:pPr>
      <w:r>
        <w:rPr>
          <w:rFonts w:ascii="Arial" w:cs="Arial" w:eastAsia="Arial" w:hAnsi="Arial"/>
          <w:sz w:val="18"/>
          <w:szCs w:val="18"/>
          <w:i w:val="1"/>
          <w:iCs w:val="1"/>
          <w:color w:val="auto"/>
        </w:rPr>
        <w:t>Unless we tell you otherwise, the information in this prospectus assumes that the underwriters will not exercise their over-allotment option.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540" w:right="559" w:firstLine="432"/>
        <w:spacing w:after="0" w:line="257" w:lineRule="auto"/>
        <w:rPr>
          <w:sz w:val="20"/>
          <w:szCs w:val="20"/>
          <w:color w:val="auto"/>
        </w:rPr>
      </w:pPr>
      <w:r>
        <w:rPr>
          <w:rFonts w:ascii="Arial" w:cs="Arial" w:eastAsia="Arial" w:hAnsi="Arial"/>
          <w:sz w:val="18"/>
          <w:szCs w:val="18"/>
          <w:color w:val="auto"/>
        </w:rPr>
        <w:t>We are a newly organized blank check company incorporated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973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6973570"/>
                    </a:xfrm>
                    <a:prstGeom prst="rect">
                      <a:avLst/>
                    </a:prstGeom>
                    <a:noFill/>
                  </pic:spPr>
                </pic:pic>
              </a:graphicData>
            </a:graphic>
          </wp:anchor>
        </w:drawing>
      </w:r>
    </w:p>
    <w:p>
      <w:pPr>
        <w:spacing w:after="0" w:line="327" w:lineRule="exact"/>
        <w:rPr>
          <w:sz w:val="20"/>
          <w:szCs w:val="20"/>
          <w:color w:val="auto"/>
        </w:rPr>
      </w:pPr>
    </w:p>
    <w:p>
      <w:pPr>
        <w:ind w:left="540" w:right="619"/>
        <w:spacing w:after="0" w:line="279" w:lineRule="auto"/>
        <w:rPr>
          <w:sz w:val="20"/>
          <w:szCs w:val="20"/>
          <w:color w:val="auto"/>
        </w:rPr>
      </w:pPr>
      <w:r>
        <w:rPr>
          <w:rFonts w:ascii="Arial" w:cs="Arial" w:eastAsia="Arial" w:hAnsi="Arial"/>
          <w:sz w:val="17"/>
          <w:szCs w:val="17"/>
          <w:color w:val="auto"/>
        </w:rPr>
        <w:t>anyone on our behalf, initiated any substantive discussions, directly or indirectly, with any business combination target. While our efforts to identify a target business may span many industries and regions worldwide, we intend to focus our search for prospects within the technology industry. Our ability to locate a potential target is subject to the uncertainties discussed elsewhere in this prospectus.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Our Partnership</w:t>
      </w:r>
    </w:p>
    <w:p>
      <w:pPr>
        <w:spacing w:after="0" w:line="158" w:lineRule="exact"/>
        <w:rPr>
          <w:sz w:val="20"/>
          <w:szCs w:val="20"/>
          <w:color w:val="auto"/>
        </w:rPr>
      </w:pPr>
    </w:p>
    <w:p>
      <w:pPr>
        <w:ind w:left="540" w:right="559" w:firstLine="432"/>
        <w:spacing w:after="0" w:line="291" w:lineRule="auto"/>
        <w:rPr>
          <w:sz w:val="20"/>
          <w:szCs w:val="20"/>
          <w:color w:val="auto"/>
        </w:rPr>
      </w:pPr>
      <w:r>
        <w:rPr>
          <w:rFonts w:ascii="Arial" w:cs="Arial" w:eastAsia="Arial" w:hAnsi="Arial"/>
          <w:sz w:val="16"/>
          <w:szCs w:val="16"/>
          <w:color w:val="auto"/>
        </w:rPr>
        <w:t>We are a partnership between 7GC &amp; Co Sarl, or 7GC, a technology growth fund based in San Francisco, California and Berlin, Germany, and Hennessy Capital LLC, or Hennessy Capital, a leading independent SPAC sponsor based in Wilson, Wyoming and Los Angeles, California. We seek to leverage the extensive SPAC experience and technology relationships of our officers, directors and advisors with founders, venture capitalists, and growth equity managers to identify, screen, select, and partner with a high growth, cutting-edge technology business. Our management team believes that its unique access to technology assets, coupled with a demonstrable SPAC track record, will be central to its differentiated investment strategy.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7GC</w:t>
      </w:r>
    </w:p>
    <w:p>
      <w:pPr>
        <w:spacing w:after="0" w:line="144" w:lineRule="exact"/>
        <w:rPr>
          <w:sz w:val="20"/>
          <w:szCs w:val="20"/>
          <w:color w:val="auto"/>
        </w:rPr>
      </w:pPr>
    </w:p>
    <w:p>
      <w:pPr>
        <w:ind w:left="540" w:right="599" w:firstLine="432"/>
        <w:spacing w:after="0" w:line="272" w:lineRule="auto"/>
        <w:rPr>
          <w:sz w:val="20"/>
          <w:szCs w:val="20"/>
          <w:color w:val="auto"/>
        </w:rPr>
      </w:pPr>
      <w:r>
        <w:rPr>
          <w:rFonts w:ascii="Arial" w:cs="Arial" w:eastAsia="Arial" w:hAnsi="Arial"/>
          <w:sz w:val="17"/>
          <w:szCs w:val="17"/>
          <w:color w:val="auto"/>
        </w:rPr>
        <w:t>7GC is a San Francisco, California and Berlin, Germany based technology growth stage venture capital firm, whose mission is to invest in emerging global internet category winners by leveraging its value-adding expertise and proprietary network between the U.S. and Europe. The firm was founded by Dr. Steffen Pauls and Jack Leeney in 2016 to invest capital in U.S. growth stage technology companies that are at a lifecycle inflection point, which are positioned to become international leaders in software and internet. The firm is oriented to long-term investor philosophies, holding companies throughout their company lifecycle while delivering strategic support in the process.</w:t>
      </w:r>
    </w:p>
    <w:p>
      <w:pPr>
        <w:spacing w:after="0" w:line="110" w:lineRule="exact"/>
        <w:rPr>
          <w:sz w:val="20"/>
          <w:szCs w:val="20"/>
          <w:color w:val="auto"/>
        </w:rPr>
      </w:pPr>
    </w:p>
    <w:p>
      <w:pPr>
        <w:ind w:left="540" w:right="639" w:firstLine="432"/>
        <w:spacing w:after="0" w:line="270" w:lineRule="auto"/>
        <w:rPr>
          <w:sz w:val="20"/>
          <w:szCs w:val="20"/>
          <w:color w:val="auto"/>
        </w:rPr>
      </w:pPr>
      <w:r>
        <w:rPr>
          <w:rFonts w:ascii="Arial" w:cs="Arial" w:eastAsia="Arial" w:hAnsi="Arial"/>
          <w:sz w:val="17"/>
          <w:szCs w:val="17"/>
          <w:color w:val="auto"/>
        </w:rPr>
        <w:t>7GC has been an early and active investor in companies that have demonstrated strong value creation, such as Cheddar TV, a company that was acquired in April 2019, and hims &amp; hers (“hims”), a company that entered into a merger agreement for a business combination with Oaktree Acquisition Corp., a SPAC, in September 2020 at an equity value of $1.927 billion. 7GC participated in offerings of hims’ Series A, C and D shares from 2018 to 2020. 7GC invests across internet verticals, with considerable exposure in telehealth, future of work, marketplaces, and digital content services. 7GC is also a current investor in Jio Platforms, Capsule Pharmacy, Jyve, Roofstock, and The Mom Project. The firm also runs a fund of funds portfolio with LP investments in top-performing early-stage venture capital firms and selectively manages co-investments for the benefit of the firm’s limited partners.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Hennessy Capital</w:t>
      </w:r>
    </w:p>
    <w:p>
      <w:pPr>
        <w:spacing w:after="0" w:line="158" w:lineRule="exact"/>
        <w:rPr>
          <w:sz w:val="20"/>
          <w:szCs w:val="20"/>
          <w:color w:val="auto"/>
        </w:rPr>
      </w:pPr>
    </w:p>
    <w:p>
      <w:pPr>
        <w:ind w:left="540" w:right="619" w:firstLine="432"/>
        <w:spacing w:after="0" w:line="275" w:lineRule="auto"/>
        <w:rPr>
          <w:sz w:val="20"/>
          <w:szCs w:val="20"/>
          <w:color w:val="auto"/>
        </w:rPr>
      </w:pPr>
      <w:r>
        <w:rPr>
          <w:rFonts w:ascii="Arial" w:cs="Arial" w:eastAsia="Arial" w:hAnsi="Arial"/>
          <w:sz w:val="17"/>
          <w:szCs w:val="17"/>
          <w:color w:val="auto"/>
        </w:rPr>
        <w:t>Hennessy Capital is a Wilson, Wyoming and Los Angeles, California based alternative investment firm founded in 2013 by Daniel J. Hennessy. Since its founding, Hennessy Capital has been one of the leading independent SPAC sponsors, having raised, together with its managing partners, a total of five SPACs since 2013 aggregating over $1 billion of equity. Hennessy Capital’s mission is to be a strategic growth partner for founders, management, employees and shareholders.</w:t>
      </w:r>
    </w:p>
    <w:p>
      <w:pPr>
        <w:spacing w:after="0" w:line="95"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Mr. Hennessy, the Founder and Managing Member of Hennessy Capital, is one of the longest tenured and most experienced independent SPAC sponsors. He has served as the Chairman and Chief Executive Officer of Hennessy Capital Acquisition Corp., Hennessy Capital Acquisition Corp. II, Hennessy Capital Acquisition Corp. III and Hennessy Capital Acquisition Corp. IV, and successfully orchestrated three successful business combinations with Blue Bird Corporation (NASDAQ: BLBD), Daseke, Inc. (NASDAQ: DSKE), and NRC Group Holdings Corp. (NYSE American: NRCG). Hennessy Capital Acquisition Corp. IV is expected to close its pending business combination with Canoo Holdings Ltd in the fourth quarter of 2020.</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01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579" w:firstLine="432"/>
        <w:spacing w:after="0" w:line="272" w:lineRule="auto"/>
        <w:rPr>
          <w:sz w:val="20"/>
          <w:szCs w:val="20"/>
          <w:color w:val="auto"/>
        </w:rPr>
      </w:pPr>
      <w:r>
        <w:rPr>
          <w:rFonts w:ascii="Arial" w:cs="Arial" w:eastAsia="Arial" w:hAnsi="Arial"/>
          <w:sz w:val="17"/>
          <w:szCs w:val="17"/>
          <w:color w:val="auto"/>
        </w:rPr>
        <w:t>In addition, Mr. Hennessy is a senior advisor to each of PropTech Acquisition Corporation (NASDAQ: PTAC), or PTAC, a special purpose acquisition company which announced its business combination with Porch.com (NASDAQ: PRCH) in July 2020, and PropTech Investment Corporation II (NASDAQ: PTIC), or PTIC, a special purpose acquisition company which conducted an initial public offering in December 2020. Thomas D. Hennessy and M. Joseph Beck, who are two of our director nominees, are the Co-Chief Executive Officers of PTAC and PTIC and managing partners at Hennessy Capital. In addition, Jack Leeney and Courtney Robinson currently serve as directors of PTAC and PTIC.</w:t>
      </w:r>
    </w:p>
    <w:p>
      <w:pPr>
        <w:spacing w:after="0" w:line="110" w:lineRule="exact"/>
        <w:rPr>
          <w:sz w:val="20"/>
          <w:szCs w:val="20"/>
          <w:color w:val="auto"/>
        </w:rPr>
      </w:pPr>
    </w:p>
    <w:p>
      <w:pPr>
        <w:ind w:left="540" w:right="599" w:firstLine="432"/>
        <w:spacing w:after="0" w:line="291" w:lineRule="auto"/>
        <w:rPr>
          <w:sz w:val="20"/>
          <w:szCs w:val="20"/>
          <w:color w:val="auto"/>
        </w:rPr>
      </w:pPr>
      <w:r>
        <w:rPr>
          <w:rFonts w:ascii="Arial" w:cs="Arial" w:eastAsia="Arial" w:hAnsi="Arial"/>
          <w:sz w:val="16"/>
          <w:szCs w:val="16"/>
          <w:color w:val="auto"/>
        </w:rPr>
        <w:t>Since its founding, Hennessy Capital has developed proprietary SPAC execution expertise and built a network of top-tier third-party advisors and relationships to assist with target company origination, evaluation, due diligence, and merger execution. This network of advisors has supported Hennessy Capital in various roles for its various SPACs and is deeply integrated within Hennessy Capital’s SPAC execution framework. Following the completion of a business combination, we expect a Hennessy Capital representative will serve as a director of the post-merger public company to support strategic growth initiatives, provide capital markets expertise, and advise on human capital and leadership matters.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Experienced Management Team with Deal Sourcing Network</w:t>
      </w:r>
    </w:p>
    <w:p>
      <w:pPr>
        <w:spacing w:after="0" w:line="144" w:lineRule="exact"/>
        <w:rPr>
          <w:sz w:val="20"/>
          <w:szCs w:val="20"/>
          <w:color w:val="auto"/>
        </w:rPr>
      </w:pPr>
    </w:p>
    <w:p>
      <w:pPr>
        <w:ind w:left="540" w:right="619" w:firstLine="432"/>
        <w:spacing w:after="0" w:line="269" w:lineRule="auto"/>
        <w:rPr>
          <w:sz w:val="20"/>
          <w:szCs w:val="20"/>
          <w:color w:val="auto"/>
        </w:rPr>
      </w:pPr>
      <w:r>
        <w:rPr>
          <w:rFonts w:ascii="Arial" w:cs="Arial" w:eastAsia="Arial" w:hAnsi="Arial"/>
          <w:sz w:val="17"/>
          <w:szCs w:val="17"/>
          <w:color w:val="auto"/>
        </w:rPr>
        <w:t>Our team is led by Jack Leeney, our Chairman and Chief Executive Officer. Since September 2016, Mr. Leeney has served as a Founding Partner of 7GC, and is responsible for running the firm’s operations. Mr. Leeney led the firm’s investments in Cheddar TV, Capsule Pharmacy, hims &amp; hers, Jyve, Roofstock, The Mom Project, and Reliance Jio. He currently serves as a director for The Mom Project, PTAC and PTIC.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between June 2012 and September 2016, the investment arm of Telefonica (NYSE: TEF), as an investor at Hercules Capital (NYSE: HTGC) between May 2011 and June 2012 and began his career as a technology-focused investment banker at Morgan Stanley in 2007, where he worked on the initial public offerings for Tesla Motors, LinkedIn and Pandora.</w:t>
      </w:r>
    </w:p>
    <w:p>
      <w:pPr>
        <w:spacing w:after="0" w:line="111"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Mr. Leeney’s experience of over 13 years working in technology investing at Morgan Stanley, Hercules Capital, Telefonica Ventures, and co-founding 7GC have resulted in assembling a global team of investment professionals, creating a network with major global technology entrepreneurs and investment professionals, and investing significantly within venture capital.</w:t>
      </w:r>
    </w:p>
    <w:p>
      <w:pPr>
        <w:spacing w:after="0" w:line="119" w:lineRule="exact"/>
        <w:rPr>
          <w:sz w:val="20"/>
          <w:szCs w:val="20"/>
          <w:color w:val="auto"/>
        </w:rPr>
      </w:pPr>
    </w:p>
    <w:p>
      <w:pPr>
        <w:ind w:left="540" w:right="659" w:firstLine="432"/>
        <w:spacing w:after="0" w:line="283" w:lineRule="auto"/>
        <w:rPr>
          <w:sz w:val="20"/>
          <w:szCs w:val="20"/>
          <w:color w:val="auto"/>
        </w:rPr>
      </w:pPr>
      <w:r>
        <w:rPr>
          <w:rFonts w:ascii="Arial" w:cs="Arial" w:eastAsia="Arial" w:hAnsi="Arial"/>
          <w:sz w:val="16"/>
          <w:szCs w:val="16"/>
          <w:color w:val="auto"/>
        </w:rPr>
        <w:t>Our management team also includes Christopher Walsh, our Chief Financial Officer and Chief Operating Officer. Since September 2020, Mr. Walsh has served as a Vice President at 7GC, where he is responsible for sourcing new investment opportunities and due diligence for all fund investments. Mr. Walsh brings significant investment and financial expertise across private and public capital markets. Mr. Walsh assisted with the successful launch of Empros Capital in 2016, a boutique merchant bank that worked with pre-IPO and growth-stage technology companies, where he worked until 2019. Mr. Walsh played an active role in working with Empros Capital’s portfolio companies, working closely with management teams of several “Unicorn” companies within the FinTech, Enterprise Software, Online Marketplace, and Mobility verticals. Mr. Walsh began his career as a technology investor at Disruptive Technology Advisers in 2015, where he invested and advised growth stage companies including Palantir Technologies. Over the last</w:t>
      </w:r>
    </w:p>
    <w:p>
      <w:pPr>
        <w:spacing w:after="0" w:line="5" w:lineRule="exact"/>
        <w:rPr>
          <w:sz w:val="20"/>
          <w:szCs w:val="20"/>
          <w:color w:val="auto"/>
        </w:rPr>
      </w:pPr>
    </w:p>
    <w:p>
      <w:pPr>
        <w:ind w:left="540" w:right="779"/>
        <w:spacing w:after="0" w:line="260" w:lineRule="auto"/>
        <w:rPr>
          <w:sz w:val="20"/>
          <w:szCs w:val="20"/>
          <w:color w:val="auto"/>
        </w:rPr>
      </w:pPr>
      <w:r>
        <w:rPr>
          <w:rFonts w:ascii="Arial" w:cs="Arial" w:eastAsia="Arial" w:hAnsi="Arial"/>
          <w:sz w:val="18"/>
          <w:szCs w:val="18"/>
          <w:color w:val="auto"/>
        </w:rPr>
        <w:t>five years, Mr. Walsh has developed a large network of public and private investors, bankers, advisors, and entrepreneurs, who we believe will aid us in completing a business combination.</w:t>
      </w:r>
    </w:p>
    <w:p>
      <w:pPr>
        <w:spacing w:after="0" w:line="104" w:lineRule="exact"/>
        <w:rPr>
          <w:sz w:val="20"/>
          <w:szCs w:val="20"/>
          <w:color w:val="auto"/>
        </w:rPr>
      </w:pPr>
    </w:p>
    <w:p>
      <w:pPr>
        <w:ind w:left="540" w:right="679" w:firstLine="432"/>
        <w:spacing w:after="0" w:line="257" w:lineRule="auto"/>
        <w:rPr>
          <w:sz w:val="20"/>
          <w:szCs w:val="20"/>
          <w:color w:val="auto"/>
        </w:rPr>
      </w:pPr>
      <w:r>
        <w:rPr>
          <w:rFonts w:ascii="Arial" w:cs="Arial" w:eastAsia="Arial" w:hAnsi="Arial"/>
          <w:sz w:val="18"/>
          <w:szCs w:val="18"/>
          <w:color w:val="auto"/>
        </w:rPr>
        <w:t>Our management team’s and advisors contacts and relationships are extensive across the technology ecosystem, providing superior access to potential targets. Our network includes partners at U.S. venture capital and private equity funds with investments in high growth technology companies and founders of technology companies. We intend to leverage this network to gain exclusive access to and identify attractive target businesses in the technology industry.</w:t>
      </w:r>
    </w:p>
    <w:p>
      <w:pPr>
        <w:spacing w:after="0" w:line="120" w:lineRule="exact"/>
        <w:rPr>
          <w:sz w:val="20"/>
          <w:szCs w:val="20"/>
          <w:color w:val="auto"/>
        </w:rPr>
      </w:pPr>
    </w:p>
    <w:p>
      <w:pPr>
        <w:ind w:left="540" w:right="639" w:firstLine="432"/>
        <w:spacing w:after="0" w:line="257" w:lineRule="auto"/>
        <w:rPr>
          <w:sz w:val="20"/>
          <w:szCs w:val="20"/>
          <w:color w:val="auto"/>
        </w:rPr>
      </w:pPr>
      <w:r>
        <w:rPr>
          <w:rFonts w:ascii="Arial" w:cs="Arial" w:eastAsia="Arial" w:hAnsi="Arial"/>
          <w:sz w:val="18"/>
          <w:szCs w:val="18"/>
          <w:color w:val="auto"/>
        </w:rPr>
        <w:t>In addition, we anticipate that target business candidates may be brought to our attention from various unaffiliated sources, including investment banking firms, consultants, legal and accounting firms and large business enterprises. Upon completion of this offering, members of our management team will communicate actively with our networks of relationships to articulate parameters for a potential business combination target.</w:t>
      </w:r>
    </w:p>
    <w:p>
      <w:pPr>
        <w:sectPr>
          <w:pgSz w:w="11900" w:h="16838" w:orient="portrait"/>
          <w:cols w:equalWidth="0" w:num="1">
            <w:col w:w="9019"/>
          </w:cols>
          <w:pgMar w:left="1440" w:top="274"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 w:name="page9"/>
    <w:bookmarkEnd w:id="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58" w:lineRule="exact"/>
        <w:rPr>
          <w:sz w:val="20"/>
          <w:szCs w:val="20"/>
          <w:color w:val="auto"/>
        </w:rPr>
      </w:pPr>
    </w:p>
    <w:p>
      <w:pPr>
        <w:ind w:left="540" w:right="619" w:firstLine="432"/>
        <w:spacing w:after="0" w:line="270" w:lineRule="auto"/>
        <w:rPr>
          <w:sz w:val="20"/>
          <w:szCs w:val="20"/>
          <w:color w:val="auto"/>
        </w:rPr>
      </w:pPr>
      <w:r>
        <w:rPr>
          <w:rFonts w:ascii="Arial" w:cs="Arial" w:eastAsia="Arial" w:hAnsi="Arial"/>
          <w:sz w:val="17"/>
          <w:szCs w:val="17"/>
          <w:color w:val="auto"/>
        </w:rPr>
        <w:t>We have recruited and organized a group of highly accomplished and engaged directors and independent directors who will bring to us public company governance, executive leadership, operations oversight and capital markets expertise. Our board members have served as directors, officers, partners and other executive and advisory capacities for publicly-listed and privately-owned companies and private equity and venture capital firms. Our directors have extensive experience with public equity investing, mergers and acquisitions, divestitures and corporate strategy and possess relevant domain expertise in the sectors where we expect to source business combination targets. We believe their collective expertise, contacts and relationships will make us a highly desirable merger partner. Finally, all of our directors are individual investors in our sponsor.</w:t>
      </w:r>
    </w:p>
    <w:p>
      <w:pPr>
        <w:spacing w:after="0" w:line="113"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7"/>
          <w:szCs w:val="17"/>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Advisors</w:t>
      </w:r>
    </w:p>
    <w:p>
      <w:pPr>
        <w:spacing w:after="0" w:line="144" w:lineRule="exact"/>
        <w:rPr>
          <w:sz w:val="20"/>
          <w:szCs w:val="20"/>
          <w:color w:val="auto"/>
        </w:rPr>
      </w:pPr>
    </w:p>
    <w:p>
      <w:pPr>
        <w:ind w:left="540" w:right="619" w:firstLine="432"/>
        <w:spacing w:after="0" w:line="270" w:lineRule="auto"/>
        <w:rPr>
          <w:sz w:val="20"/>
          <w:szCs w:val="20"/>
          <w:color w:val="auto"/>
        </w:rPr>
      </w:pPr>
      <w:r>
        <w:rPr>
          <w:rFonts w:ascii="Arial" w:cs="Arial" w:eastAsia="Arial" w:hAnsi="Arial"/>
          <w:sz w:val="17"/>
          <w:szCs w:val="17"/>
          <w:color w:val="auto"/>
        </w:rPr>
        <w:t>In addition to our independent directors, we have recruited two highly accomplished senior advisors who will bring to us significant experience in special purpose acquisition companies, global investment management, public and private equity and debt capital markets. Our senior advisors will advise us on public company governance, executive leadership, human capital management, corporate strategy and capital markets. Our senior advisors have served as directors, officers, executives, and partners for publicly-listed and privately-owned companies, private equity firms, and global investment managers. In addition to advising us in the areas of assessment of key risks and opportunities and due diligence, our senior advisors may also advise us after the completion of our business combination in overseeing our strategy and value creation plan where relevant expertise exists.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Public and Private Markets</w:t>
      </w:r>
    </w:p>
    <w:p>
      <w:pPr>
        <w:spacing w:after="0" w:line="162"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We believe that there is currently a significant dislocation between public and private equity capital markets. For example, the five largest companies in the world today are technology businesses and these five companies have created immense public equity value. We believe that this value creation has led to more public equity investor appetite and demand for high growth technology companies. However, despite this public equity investor demand, there have been fewer technology company IPOs. According to the World Bank, there were 6,917 publicly-listed US companies in 2000 and only 4,397 in 2018.</w:t>
      </w:r>
    </w:p>
    <w:p>
      <w:pPr>
        <w:spacing w:after="0" w:line="110" w:lineRule="exact"/>
        <w:rPr>
          <w:sz w:val="20"/>
          <w:szCs w:val="20"/>
          <w:color w:val="auto"/>
        </w:rPr>
      </w:pPr>
    </w:p>
    <w:p>
      <w:pPr>
        <w:ind w:left="540" w:right="659" w:firstLine="432"/>
        <w:spacing w:after="0" w:line="271" w:lineRule="auto"/>
        <w:rPr>
          <w:sz w:val="20"/>
          <w:szCs w:val="20"/>
          <w:color w:val="auto"/>
        </w:rPr>
      </w:pPr>
      <w:r>
        <w:rPr>
          <w:rFonts w:ascii="Arial" w:cs="Arial" w:eastAsia="Arial" w:hAnsi="Arial"/>
          <w:sz w:val="17"/>
          <w:szCs w:val="17"/>
          <w:color w:val="auto"/>
        </w:rPr>
        <w:t>We believe this paradigm is the result of a tremendous influx of new private capital from traditional venture capital and other types of investors seeking venture returns including hedge funds, mutual funds and sovereign wealth funds. This “wall” of private capital has enabled companies to stay private longer and have become less reliant on an IPO to provide growth capital. The IPO, as a historical precedent, has been displaced by late stage private growth capital. Based on Pitchbook data, up until 2011, there were only 27 United States late-stage private investments for an aggregate of $4.4 billion. From 2011 to 2019, there were 465 United States late-stage investments for an aggregate of $113 billion, representing a 43% compound annual growth rate in the period.</w:t>
      </w:r>
    </w:p>
    <w:p>
      <w:pPr>
        <w:spacing w:after="0" w:line="97" w:lineRule="exact"/>
        <w:rPr>
          <w:sz w:val="20"/>
          <w:szCs w:val="20"/>
          <w:color w:val="auto"/>
        </w:rPr>
      </w:pPr>
    </w:p>
    <w:p>
      <w:pPr>
        <w:ind w:left="540" w:right="619" w:firstLine="432"/>
        <w:spacing w:after="0" w:line="271" w:lineRule="auto"/>
        <w:rPr>
          <w:sz w:val="20"/>
          <w:szCs w:val="20"/>
          <w:color w:val="auto"/>
        </w:rPr>
      </w:pPr>
      <w:r>
        <w:rPr>
          <w:rFonts w:ascii="Arial" w:cs="Arial" w:eastAsia="Arial" w:hAnsi="Arial"/>
          <w:sz w:val="17"/>
          <w:szCs w:val="17"/>
          <w:color w:val="auto"/>
        </w:rPr>
        <w:t>As a result, U.S. technology companies are waiting longer to go public today as compared to 2011. Based on National Venture Capital Association, or NVCA, data, the average age of U.S. technology companies that went public in 1999 was 4 years versus 11 years in 2014. As companies stay private longer, venture capitalists have sought alternatives to realize investment returns given that they can no longer rely on an IPO as an available path to monetization. In this market environment, venture capitalists are increasingly seeking monetizations and returns pre-IPO, particularly considering the high-velocity venture capital fundraising cycle, where new funds are raised approximately every few years. This dynamic has further increased private market deal activity as equity holders seek liquidity.</w:t>
      </w:r>
    </w:p>
    <w:p>
      <w:pPr>
        <w:spacing w:after="0" w:line="111" w:lineRule="exact"/>
        <w:rPr>
          <w:sz w:val="20"/>
          <w:szCs w:val="20"/>
          <w:color w:val="auto"/>
        </w:rPr>
      </w:pPr>
    </w:p>
    <w:p>
      <w:pPr>
        <w:ind w:left="540" w:right="599" w:firstLine="432"/>
        <w:spacing w:after="0" w:line="254" w:lineRule="auto"/>
        <w:rPr>
          <w:sz w:val="20"/>
          <w:szCs w:val="20"/>
          <w:color w:val="auto"/>
        </w:rPr>
      </w:pPr>
      <w:r>
        <w:rPr>
          <w:rFonts w:ascii="Arial" w:cs="Arial" w:eastAsia="Arial" w:hAnsi="Arial"/>
          <w:sz w:val="18"/>
          <w:szCs w:val="18"/>
          <w:color w:val="auto"/>
        </w:rPr>
        <w:t>In addition, the traditional IPO, which has not materially changed in decades, has resulted in criticism from leading venture capitalists and founders of late-stage technology firms. This negative sentiment toward a traditional IPO has deterred management teams from pursuing a traditional IPO due to a perceived misalignment in bank-led IPOs. Bill Gurley, a Founding Partner at Benchmark, highlighted that the average company that has gone public in 2020 was underpriced by approximately 31% and that resulted in a dramatic “one-day wealth transfer” from private shareholders to public shareholders of approximately $7.8 billion in the first six months of 2020.</w:t>
      </w:r>
    </w:p>
    <w:p>
      <w:pPr>
        <w:sectPr>
          <w:pgSz w:w="11900" w:h="16838" w:orient="portrait"/>
          <w:cols w:equalWidth="0" w:num="1">
            <w:col w:w="9019"/>
          </w:cols>
          <w:pgMar w:left="1440" w:top="274" w:right="1440" w:bottom="1440" w:gutter="0" w:footer="0" w:header="0"/>
          <w:type w:val="continuous"/>
        </w:sect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 w:name="page10"/>
    <w:bookmarkEnd w:id="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45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370" w:lineRule="exact"/>
        <w:rPr>
          <w:sz w:val="20"/>
          <w:szCs w:val="20"/>
          <w:color w:val="auto"/>
        </w:rPr>
      </w:pPr>
    </w:p>
    <w:p>
      <w:pPr>
        <w:ind w:left="540" w:right="659" w:firstLine="432"/>
        <w:spacing w:after="0" w:line="272" w:lineRule="auto"/>
        <w:rPr>
          <w:sz w:val="20"/>
          <w:szCs w:val="20"/>
          <w:color w:val="auto"/>
        </w:rPr>
      </w:pPr>
      <w:r>
        <w:rPr>
          <w:rFonts w:ascii="Arial" w:cs="Arial" w:eastAsia="Arial" w:hAnsi="Arial"/>
          <w:sz w:val="17"/>
          <w:szCs w:val="17"/>
          <w:color w:val="auto"/>
        </w:rPr>
        <w:t>These criticisms, among other reasons, are driving a growing number of venture capitalists and technology companies to pursue alternative liquidity paths, including direct listings. For example, Spotify went public via a direct listing in 2018, Slack followed in 2019, and Palantir followed in September 2020. In a July 2019 survey, The Information reported 34% of respondents who were pursuing a potential IPO the following year were also considering a direct listing. While the direct listing narrative continues, the direct listing strategy does not allow companies to raise primary capital and has proven viable only for some of the largest and most visible VC-backed technology firms.</w:t>
      </w:r>
    </w:p>
    <w:p>
      <w:pPr>
        <w:spacing w:after="0" w:line="110" w:lineRule="exact"/>
        <w:rPr>
          <w:sz w:val="20"/>
          <w:szCs w:val="20"/>
          <w:color w:val="auto"/>
        </w:rPr>
      </w:pPr>
    </w:p>
    <w:p>
      <w:pPr>
        <w:ind w:left="540" w:right="719" w:firstLine="432"/>
        <w:spacing w:after="0" w:line="296" w:lineRule="auto"/>
        <w:rPr>
          <w:sz w:val="20"/>
          <w:szCs w:val="20"/>
          <w:color w:val="auto"/>
        </w:rPr>
      </w:pPr>
      <w:r>
        <w:rPr>
          <w:rFonts w:ascii="Arial" w:cs="Arial" w:eastAsia="Arial" w:hAnsi="Arial"/>
          <w:sz w:val="16"/>
          <w:szCs w:val="16"/>
          <w:color w:val="auto"/>
        </w:rPr>
        <w:t>Therefore, two of the potential paths to liquidity, the traditional IPO and direct listing, are unavailable to the majority of technology companies that seek a public listing. As an alternative, leading, high growth, technology companies have continued to raise significant late-stage growth private capital. We believe that this paradigm of companies staying private longer is unsustainable, as founders, employees, and investors will have fewer options for liquidity and increasingly complex capital structures.</w:t>
      </w:r>
    </w:p>
    <w:p>
      <w:pPr>
        <w:spacing w:after="0" w:line="80" w:lineRule="exact"/>
        <w:rPr>
          <w:sz w:val="20"/>
          <w:szCs w:val="20"/>
          <w:color w:val="auto"/>
        </w:rPr>
      </w:pPr>
    </w:p>
    <w:p>
      <w:pPr>
        <w:ind w:left="540" w:right="659" w:firstLine="432"/>
        <w:spacing w:after="0" w:line="271" w:lineRule="auto"/>
        <w:rPr>
          <w:sz w:val="20"/>
          <w:szCs w:val="20"/>
          <w:color w:val="auto"/>
        </w:rPr>
      </w:pPr>
      <w:r>
        <w:rPr>
          <w:rFonts w:ascii="Arial" w:cs="Arial" w:eastAsia="Arial" w:hAnsi="Arial"/>
          <w:sz w:val="17"/>
          <w:szCs w:val="17"/>
          <w:color w:val="auto"/>
        </w:rPr>
        <w:t>Therefore, a private secondary market has developed in an effort to provide liquidity to founders, employees, and investors. For example, various brokerages have formed including Carta, EquityZen, Sharespost, and Forge to handle this secondary demand. However, secondary markets for VC-backed companies are often highly fragmented, opaque, and inefficient. Shares trade with limited volume due to corporate governance restrictions and lack of access to financial information. On EquityZen, the average discount from the companies’ last private financing was 32% (as of June 8, 2020), a very costly illiquidity discount. We believe a SPAC provides a high-quality technology company access to public markets liquidity and solves for the limitations and inefficiencies of private secondary markets.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Opportunity/Acquisition Criteria</w:t>
      </w:r>
    </w:p>
    <w:p>
      <w:pPr>
        <w:spacing w:after="0" w:line="162" w:lineRule="exact"/>
        <w:rPr>
          <w:sz w:val="20"/>
          <w:szCs w:val="20"/>
          <w:color w:val="auto"/>
        </w:rPr>
      </w:pPr>
    </w:p>
    <w:p>
      <w:pPr>
        <w:ind w:left="540" w:right="799" w:firstLine="432"/>
        <w:spacing w:after="0" w:line="263" w:lineRule="auto"/>
        <w:rPr>
          <w:sz w:val="20"/>
          <w:szCs w:val="20"/>
          <w:color w:val="auto"/>
        </w:rPr>
      </w:pPr>
      <w:r>
        <w:rPr>
          <w:rFonts w:ascii="Arial" w:cs="Arial" w:eastAsia="Arial" w:hAnsi="Arial"/>
          <w:sz w:val="18"/>
          <w:szCs w:val="18"/>
          <w:color w:val="auto"/>
        </w:rPr>
        <w:t>We believe that there are a significant number of late-stage private technology companies, valued between $500 million and $1.5 billion, which creates an ideal target opportunity set for our initial business combination.</w:t>
      </w:r>
    </w:p>
    <w:p>
      <w:pPr>
        <w:spacing w:after="0" w:line="116" w:lineRule="exact"/>
        <w:rPr>
          <w:sz w:val="20"/>
          <w:szCs w:val="20"/>
          <w:color w:val="auto"/>
        </w:rPr>
      </w:pPr>
    </w:p>
    <w:p>
      <w:pPr>
        <w:ind w:left="540" w:right="559" w:firstLine="432"/>
        <w:spacing w:after="0" w:line="257" w:lineRule="auto"/>
        <w:rPr>
          <w:sz w:val="20"/>
          <w:szCs w:val="20"/>
          <w:color w:val="auto"/>
        </w:rPr>
      </w:pPr>
      <w:r>
        <w:rPr>
          <w:rFonts w:ascii="Arial" w:cs="Arial" w:eastAsia="Arial" w:hAnsi="Arial"/>
          <w:sz w:val="18"/>
          <w:szCs w:val="18"/>
          <w:color w:val="auto"/>
        </w:rPr>
        <w:t>As of September 2020, according to PitchBook data, there were 296 private technology companies valued over $1 billion in the United States, accounting for over $895 billion of cumulative equity value. More than 85% of these companies are focused in our key investment sectors, including B2B and B2C internet and enterprise software. In 2010, there were only 13 of these private technology companies, with a $63 billion cumulative valuation.</w:t>
      </w:r>
    </w:p>
    <w:p>
      <w:pPr>
        <w:spacing w:after="0" w:line="107" w:lineRule="exact"/>
        <w:rPr>
          <w:sz w:val="20"/>
          <w:szCs w:val="20"/>
          <w:color w:val="auto"/>
        </w:rPr>
      </w:pPr>
    </w:p>
    <w:p>
      <w:pPr>
        <w:ind w:left="540" w:right="579" w:firstLine="432"/>
        <w:spacing w:after="0" w:line="259" w:lineRule="auto"/>
        <w:rPr>
          <w:sz w:val="20"/>
          <w:szCs w:val="20"/>
          <w:color w:val="auto"/>
        </w:rPr>
      </w:pPr>
      <w:r>
        <w:rPr>
          <w:rFonts w:ascii="Arial" w:cs="Arial" w:eastAsia="Arial" w:hAnsi="Arial"/>
          <w:sz w:val="18"/>
          <w:szCs w:val="18"/>
          <w:color w:val="auto"/>
        </w:rPr>
        <w:t>As private markets have experienced more capital inflows and therefore higher valuations, the bar to an IPO has increased. In 2019, there were 29 VC-backed IPOs with the average deal size of $781 million and market capitalization of $6.3 billion. In 2010, there were 20 U.S. VC-backed IPOs with the average deal size of $97 million and market capitalization of $450 million.</w:t>
      </w:r>
    </w:p>
    <w:p>
      <w:pPr>
        <w:spacing w:after="0" w:line="119" w:lineRule="exact"/>
        <w:rPr>
          <w:sz w:val="20"/>
          <w:szCs w:val="20"/>
          <w:color w:val="auto"/>
        </w:rPr>
      </w:pPr>
    </w:p>
    <w:p>
      <w:pPr>
        <w:ind w:left="540" w:right="779" w:firstLine="432"/>
        <w:spacing w:after="0" w:line="301" w:lineRule="auto"/>
        <w:rPr>
          <w:sz w:val="20"/>
          <w:szCs w:val="20"/>
          <w:color w:val="auto"/>
        </w:rPr>
      </w:pPr>
      <w:r>
        <w:rPr>
          <w:rFonts w:ascii="Arial" w:cs="Arial" w:eastAsia="Arial" w:hAnsi="Arial"/>
          <w:sz w:val="16"/>
          <w:szCs w:val="16"/>
          <w:color w:val="auto"/>
        </w:rPr>
        <w:t>There are more scaled private technology companies than there are IPO slots. We believe this disconnect will continue to create a surplus of potential targets for us. We believe a SPAC is the solution to the void of small and mid-cap IPOs for high quality and scaled businesses to access public markets as a means of branding, growth financing, liquidity, and public company governance and controls.</w:t>
      </w:r>
    </w:p>
    <w:p>
      <w:pPr>
        <w:spacing w:after="0" w:line="90" w:lineRule="exact"/>
        <w:rPr>
          <w:sz w:val="20"/>
          <w:szCs w:val="20"/>
          <w:color w:val="auto"/>
        </w:rPr>
      </w:pPr>
    </w:p>
    <w:p>
      <w:pPr>
        <w:ind w:left="540" w:right="619" w:firstLine="432"/>
        <w:spacing w:after="0" w:line="293" w:lineRule="auto"/>
        <w:rPr>
          <w:sz w:val="20"/>
          <w:szCs w:val="20"/>
          <w:color w:val="auto"/>
        </w:rPr>
      </w:pPr>
      <w:r>
        <w:rPr>
          <w:rFonts w:ascii="Arial" w:cs="Arial" w:eastAsia="Arial" w:hAnsi="Arial"/>
          <w:sz w:val="16"/>
          <w:szCs w:val="16"/>
          <w:color w:val="auto"/>
        </w:rPr>
        <w:t>While there has been an increasing number of technology-focused SPACs that have completed IPOs in 2020, we believe there are a limited number of blank check companies that are founded and managed by seasoned venture capitalists. We believe world-class founders and existing venture investors will seek to pursue a SPAC IPO with experienced and known sponsors from the venture capital ecosystem that also have demonstrable SPAC experience and track record. We believe we can provide a high-quality technology company in the $500 million to $1.5 billion valuation range an attractive alternative to staying private longer.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We believe we have a competitive advantage in sourcing potential technology firms backed by the world’s premier venture capital firms. According to CBinsights and Crunchbase data, 36% of unicorn investors hold 75% of all unicorn investments. Our sourcing process will leverage our management team’s deep relationships with top-tier entrepreneurs and investors in the U.S. venture capital ecosystem through the 7GC platform including co-investment partners with leading venture capitalist and growth equity funds. Many of these firms, given 7GC’s strategic approach, bring us organic deal flow. Given our network and thematic approach, we anticipate that similar target</w:t>
      </w:r>
    </w:p>
    <w:p>
      <w:pPr>
        <w:sectPr>
          <w:pgSz w:w="11900" w:h="16838" w:orient="portrait"/>
          <w:cols w:equalWidth="0" w:num="1">
            <w:col w:w="9019"/>
          </w:cols>
          <w:pgMar w:left="1440" w:top="274" w:right="1440" w:bottom="1440" w:gutter="0" w:footer="0" w:header="0"/>
          <w:type w:val="continuous"/>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 w:name="page11"/>
    <w:bookmarkEnd w:id="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839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7" w:lineRule="exact"/>
        <w:rPr>
          <w:sz w:val="20"/>
          <w:szCs w:val="20"/>
          <w:color w:val="auto"/>
        </w:rPr>
      </w:pPr>
    </w:p>
    <w:p>
      <w:pPr>
        <w:jc w:val="both"/>
        <w:ind w:left="540" w:right="719"/>
        <w:spacing w:after="0" w:line="263" w:lineRule="auto"/>
        <w:rPr>
          <w:sz w:val="20"/>
          <w:szCs w:val="20"/>
          <w:color w:val="auto"/>
        </w:rPr>
      </w:pPr>
      <w:r>
        <w:rPr>
          <w:rFonts w:ascii="Arial" w:cs="Arial" w:eastAsia="Arial" w:hAnsi="Arial"/>
          <w:sz w:val="18"/>
          <w:szCs w:val="18"/>
          <w:color w:val="auto"/>
        </w:rPr>
        <w:t>merger candidates may be brought to us by these co-investment partners. In addition, we believe Hennessy Capital’s reputation, experience, and track record of successful SPAC business combinations will make us a preferred partner for these potential targets.</w:t>
      </w:r>
    </w:p>
    <w:p>
      <w:pPr>
        <w:spacing w:after="0" w:line="180" w:lineRule="exact"/>
        <w:rPr>
          <w:sz w:val="20"/>
          <w:szCs w:val="20"/>
          <w:color w:val="auto"/>
        </w:rPr>
      </w:pPr>
    </w:p>
    <w:p>
      <w:pPr>
        <w:ind w:left="980" w:right="3319" w:firstLine="2339"/>
        <w:spacing w:after="0" w:line="469" w:lineRule="auto"/>
        <w:rPr>
          <w:sz w:val="20"/>
          <w:szCs w:val="20"/>
          <w:color w:val="auto"/>
        </w:rPr>
      </w:pPr>
      <w:r>
        <w:rPr>
          <w:rFonts w:ascii="Arial" w:cs="Arial" w:eastAsia="Arial" w:hAnsi="Arial"/>
          <w:sz w:val="16"/>
          <w:szCs w:val="16"/>
          <w:b w:val="1"/>
          <w:bCs w:val="1"/>
          <w:color w:val="auto"/>
        </w:rPr>
        <w:t xml:space="preserve">Business Combination Criteria </w:t>
      </w:r>
      <w:r>
        <w:rPr>
          <w:rFonts w:ascii="Arial" w:cs="Arial" w:eastAsia="Arial" w:hAnsi="Arial"/>
          <w:sz w:val="16"/>
          <w:szCs w:val="16"/>
          <w:color w:val="auto"/>
        </w:rPr>
        <w:t>We intend to seek a business combination with a business:</w:t>
      </w:r>
    </w:p>
    <w:p>
      <w:pPr>
        <w:ind w:left="1400" w:right="63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 technology sector or subsector, whose business is characterized within the consumer internet and enterprise SaaS landscape with scaled market leadership</w:t>
      </w:r>
    </w:p>
    <w:p>
      <w:pPr>
        <w:spacing w:after="0" w:line="102" w:lineRule="exact"/>
        <w:rPr>
          <w:rFonts w:ascii="Arial" w:cs="Arial" w:eastAsia="Arial" w:hAnsi="Arial"/>
          <w:sz w:val="18"/>
          <w:szCs w:val="18"/>
          <w:color w:val="auto"/>
        </w:rPr>
      </w:pPr>
    </w:p>
    <w:p>
      <w:pPr>
        <w:ind w:left="1400" w:right="75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that is immersed in the “offline to online” phenomenon; creating a digitalization process within an incumbent or legacy-based process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 to our proximal co-invest networks of founders, operators, investors, and advisors</w:t>
      </w:r>
    </w:p>
    <w:p>
      <w:pPr>
        <w:spacing w:after="0" w:line="144" w:lineRule="exact"/>
        <w:rPr>
          <w:rFonts w:ascii="Arial" w:cs="Arial" w:eastAsia="Arial" w:hAnsi="Arial"/>
          <w:sz w:val="18"/>
          <w:szCs w:val="18"/>
          <w:color w:val="auto"/>
        </w:rPr>
      </w:pPr>
    </w:p>
    <w:p>
      <w:pPr>
        <w:ind w:left="1400" w:right="1159" w:hanging="424"/>
        <w:spacing w:after="0" w:line="277" w:lineRule="auto"/>
        <w:tabs>
          <w:tab w:leader="none" w:pos="1391"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we have a differentiated view on the ability of the target to create value as a public company versus remaining a private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Business Combination</w:t>
      </w:r>
    </w:p>
    <w:p>
      <w:pPr>
        <w:spacing w:after="0" w:line="162" w:lineRule="exact"/>
        <w:rPr>
          <w:sz w:val="20"/>
          <w:szCs w:val="20"/>
          <w:color w:val="auto"/>
        </w:rPr>
      </w:pPr>
    </w:p>
    <w:p>
      <w:pPr>
        <w:ind w:left="540" w:right="639" w:firstLine="432"/>
        <w:spacing w:after="0" w:line="286"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our independent directors.</w:t>
      </w:r>
    </w:p>
    <w:p>
      <w:pPr>
        <w:spacing w:after="0" w:line="106" w:lineRule="exact"/>
        <w:rPr>
          <w:sz w:val="20"/>
          <w:szCs w:val="20"/>
          <w:color w:val="auto"/>
        </w:rPr>
      </w:pPr>
    </w:p>
    <w:p>
      <w:pPr>
        <w:ind w:left="540" w:right="559" w:firstLine="432"/>
        <w:spacing w:after="0" w:line="284"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76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 Combination Process</w:t>
      </w:r>
    </w:p>
    <w:p>
      <w:pPr>
        <w:spacing w:after="0" w:line="162" w:lineRule="exact"/>
        <w:rPr>
          <w:sz w:val="20"/>
          <w:szCs w:val="20"/>
          <w:color w:val="auto"/>
        </w:rPr>
      </w:pPr>
    </w:p>
    <w:p>
      <w:pPr>
        <w:ind w:left="540" w:right="579" w:firstLine="432"/>
        <w:spacing w:after="0" w:line="293" w:lineRule="auto"/>
        <w:rPr>
          <w:sz w:val="20"/>
          <w:szCs w:val="20"/>
          <w:color w:val="auto"/>
        </w:rPr>
      </w:pPr>
      <w:r>
        <w:rPr>
          <w:rFonts w:ascii="Arial" w:cs="Arial" w:eastAsia="Arial" w:hAnsi="Arial"/>
          <w:sz w:val="16"/>
          <w:szCs w:val="16"/>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our expertise analyzing target companies and evaluating operating projections, financial projections and determining the appropriate return expectations given the risk profile of the target business.</w:t>
      </w:r>
    </w:p>
    <w:p>
      <w:pPr>
        <w:spacing w:after="0" w:line="97" w:lineRule="exact"/>
        <w:rPr>
          <w:sz w:val="20"/>
          <w:szCs w:val="20"/>
          <w:color w:val="auto"/>
        </w:rPr>
      </w:pPr>
    </w:p>
    <w:p>
      <w:pPr>
        <w:ind w:left="540" w:right="63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directors or advisors. In the event we seek to complete our initial business combination with a company that is affiliated with our sponsor, officers, directors or advisors,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11" w:lineRule="exact"/>
        <w:rPr>
          <w:sz w:val="20"/>
          <w:szCs w:val="20"/>
          <w:color w:val="auto"/>
        </w:rPr>
      </w:pPr>
    </w:p>
    <w:p>
      <w:pPr>
        <w:ind w:left="540" w:right="559" w:firstLine="432"/>
        <w:spacing w:after="0" w:line="254" w:lineRule="auto"/>
        <w:rPr>
          <w:sz w:val="20"/>
          <w:szCs w:val="20"/>
          <w:color w:val="auto"/>
        </w:rPr>
      </w:pPr>
      <w:r>
        <w:rPr>
          <w:rFonts w:ascii="Arial" w:cs="Arial" w:eastAsia="Arial" w:hAnsi="Arial"/>
          <w:sz w:val="18"/>
          <w:szCs w:val="18"/>
          <w:color w:val="auto"/>
        </w:rPr>
        <w:t>Members of our management team and our advisors may directly or indirectly own our founders shares, common stock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27" w:lineRule="exact"/>
        <w:rPr>
          <w:sz w:val="20"/>
          <w:szCs w:val="20"/>
          <w:color w:val="auto"/>
        </w:rPr>
      </w:pPr>
    </w:p>
    <w:p>
      <w:pPr>
        <w:ind w:left="540" w:right="559" w:firstLine="432"/>
        <w:spacing w:after="0" w:line="268"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including PTAC, if its initial business combination with Porch.com is not consummated, and PTIC.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or to entities that are not themselves in the business of engaging in business combinations.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12" w:lineRule="exact"/>
        <w:rPr>
          <w:sz w:val="20"/>
          <w:szCs w:val="20"/>
          <w:color w:val="auto"/>
        </w:rPr>
      </w:pPr>
    </w:p>
    <w:p>
      <w:pPr>
        <w:ind w:left="540" w:right="659" w:firstLine="432"/>
        <w:spacing w:after="0" w:line="259" w:lineRule="auto"/>
        <w:rPr>
          <w:sz w:val="20"/>
          <w:szCs w:val="20"/>
          <w:color w:val="auto"/>
        </w:rPr>
      </w:pPr>
      <w:r>
        <w:rPr>
          <w:rFonts w:ascii="Arial" w:cs="Arial" w:eastAsia="Arial" w:hAnsi="Arial"/>
          <w:sz w:val="18"/>
          <w:szCs w:val="18"/>
          <w:color w:val="auto"/>
        </w:rPr>
        <w:t>Our officers and directors may become an officer or director of another special purpose acquisition company with a class of securities intended to be registered under the Securities Exchange Act of 1934, as amended, or the Exchange Act, even before we have entered into a definitive agreement regarding our initial business combination.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540" w:right="779" w:firstLine="432"/>
        <w:spacing w:after="0" w:line="277" w:lineRule="auto"/>
        <w:rPr>
          <w:sz w:val="20"/>
          <w:szCs w:val="20"/>
          <w:color w:val="auto"/>
        </w:rPr>
      </w:pPr>
      <w:r>
        <w:rPr>
          <w:rFonts w:ascii="Arial" w:cs="Arial" w:eastAsia="Arial" w:hAnsi="Arial"/>
          <w:sz w:val="18"/>
          <w:szCs w:val="18"/>
          <w:color w:val="auto"/>
        </w:rPr>
        <w:t>Our executive offices are located at 388 Market Street, Suite 1300, San Francisco, CA 94111 and our telephone number is (628) 400-9284.</w:t>
      </w:r>
    </w:p>
    <w:p>
      <w:pPr>
        <w:spacing w:after="0" w:line="103" w:lineRule="exact"/>
        <w:rPr>
          <w:sz w:val="20"/>
          <w:szCs w:val="20"/>
          <w:color w:val="auto"/>
        </w:rPr>
      </w:pPr>
    </w:p>
    <w:p>
      <w:pPr>
        <w:ind w:left="540" w:right="619" w:firstLine="432"/>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ectPr>
          <w:pgSz w:w="11900" w:h="16838" w:orient="portrait"/>
          <w:cols w:equalWidth="0" w:num="1">
            <w:col w:w="9019"/>
          </w:cols>
          <w:pgMar w:left="1440" w:top="274"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 w:name="page13"/>
    <w:bookmarkEnd w:id="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3133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3133090"/>
                    </a:xfrm>
                    <a:prstGeom prst="rect">
                      <a:avLst/>
                    </a:prstGeom>
                    <a:noFill/>
                  </pic:spPr>
                </pic:pic>
              </a:graphicData>
            </a:graphic>
          </wp:anchor>
        </w:drawing>
      </w:r>
    </w:p>
    <w:p>
      <w:pPr>
        <w:spacing w:after="0" w:line="327" w:lineRule="exact"/>
        <w:rPr>
          <w:sz w:val="20"/>
          <w:szCs w:val="20"/>
          <w:color w:val="auto"/>
        </w:rPr>
      </w:pPr>
    </w:p>
    <w:p>
      <w:pPr>
        <w:ind w:left="540" w:right="55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540" w:right="659" w:firstLine="4"/>
        <w:spacing w:after="0" w:line="270" w:lineRule="auto"/>
        <w:tabs>
          <w:tab w:leader="none" w:pos="785" w:val="left"/>
        </w:tabs>
        <w:numPr>
          <w:ilvl w:val="0"/>
          <w:numId w:val="5"/>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97" w:lineRule="exact"/>
        <w:rPr>
          <w:sz w:val="20"/>
          <w:szCs w:val="20"/>
          <w:color w:val="auto"/>
        </w:rPr>
      </w:pPr>
    </w:p>
    <w:p>
      <w:pPr>
        <w:ind w:left="540" w:right="599" w:firstLine="432"/>
        <w:spacing w:after="0" w:line="254"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076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707644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540" w:right="719" w:firstLine="432"/>
        <w:spacing w:after="0" w:line="273" w:lineRule="auto"/>
        <w:rPr>
          <w:sz w:val="20"/>
          <w:szCs w:val="20"/>
          <w:color w:val="auto"/>
        </w:rPr>
      </w:pPr>
      <w:r>
        <w:rPr>
          <w:rFonts w:ascii="Arial" w:cs="Arial" w:eastAsia="Arial" w:hAnsi="Arial"/>
          <w:sz w:val="17"/>
          <w:szCs w:val="17"/>
          <w:i w:val="1"/>
          <w:iCs w:val="1"/>
          <w:color w:val="auto"/>
        </w:rPr>
        <w:t>In deciding whether to invest in our securities, you should take into account not only the backgrounds of the members of our management team and advisors,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of this prospectus entitled “Risk Factors.”</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00"/>
        <w:spacing w:after="0"/>
        <w:rPr>
          <w:sz w:val="20"/>
          <w:szCs w:val="20"/>
          <w:color w:val="auto"/>
        </w:rPr>
      </w:pPr>
      <w:r>
        <w:rPr>
          <w:rFonts w:ascii="Arial" w:cs="Arial" w:eastAsia="Arial" w:hAnsi="Arial"/>
          <w:sz w:val="15"/>
          <w:szCs w:val="15"/>
          <w:b w:val="1"/>
          <w:bCs w:val="1"/>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20" w:hanging="179"/>
        <w:spacing w:after="0" w:line="314" w:lineRule="auto"/>
        <w:rPr>
          <w:sz w:val="20"/>
          <w:szCs w:val="20"/>
          <w:color w:val="auto"/>
        </w:rPr>
      </w:pPr>
      <w:r>
        <w:rPr>
          <w:rFonts w:ascii="Arial" w:cs="Arial" w:eastAsia="Arial" w:hAnsi="Arial"/>
          <w:sz w:val="16"/>
          <w:szCs w:val="16"/>
          <w:b w:val="1"/>
          <w:bCs w:val="1"/>
          <w:color w:val="auto"/>
        </w:rPr>
        <w:t>Trading commencement and separation of Class A common stock and warrants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17,500,000 units, at $10.00 per unit, each unit consisting of:</w:t>
      </w:r>
    </w:p>
    <w:p>
      <w:pPr>
        <w:spacing w:after="0" w:line="225" w:lineRule="exact"/>
        <w:rPr>
          <w:sz w:val="20"/>
          <w:szCs w:val="20"/>
          <w:color w:val="auto"/>
        </w:rPr>
      </w:pPr>
    </w:p>
    <w:p>
      <w:pPr>
        <w:ind w:left="420" w:hanging="20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198" w:lineRule="exact"/>
        <w:rPr>
          <w:rFonts w:ascii="Arial" w:cs="Arial" w:eastAsia="Arial" w:hAnsi="Arial"/>
          <w:sz w:val="18"/>
          <w:szCs w:val="18"/>
          <w:color w:val="auto"/>
        </w:rPr>
      </w:pPr>
    </w:p>
    <w:p>
      <w:pPr>
        <w:ind w:right="2919" w:firstLine="218"/>
        <w:spacing w:after="0" w:line="469" w:lineRule="auto"/>
        <w:tabs>
          <w:tab w:leader="none" w:pos="414"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one-half of one redeemable warrant. Units: “VIIU”</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Class A Common Stock: “VII”</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“VIIW”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59"/>
        <w:spacing w:after="0" w:line="283" w:lineRule="auto"/>
        <w:rPr>
          <w:sz w:val="20"/>
          <w:szCs w:val="20"/>
          <w:color w:val="auto"/>
        </w:rPr>
      </w:pPr>
      <w:r>
        <w:rPr>
          <w:rFonts w:ascii="Arial" w:cs="Arial" w:eastAsia="Arial" w:hAnsi="Arial"/>
          <w:sz w:val="16"/>
          <w:szCs w:val="16"/>
          <w:color w:val="auto"/>
        </w:rPr>
        <w:t>The units will begin trading on or promptly after the date of this prospectus. We expect the Class A common stock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unless Cantor, the representative of the underwriters,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 two units, you will not be able to receive or trade a whole warrant.</w:t>
      </w:r>
    </w:p>
    <w:p>
      <w:pPr>
        <w:spacing w:after="0" w:line="148" w:lineRule="exact"/>
        <w:rPr>
          <w:sz w:val="20"/>
          <w:szCs w:val="20"/>
          <w:color w:val="auto"/>
        </w:rPr>
      </w:pPr>
    </w:p>
    <w:p>
      <w:pPr>
        <w:ind w:right="579"/>
        <w:spacing w:after="0" w:line="288" w:lineRule="auto"/>
        <w:rPr>
          <w:sz w:val="20"/>
          <w:szCs w:val="20"/>
          <w:color w:val="auto"/>
        </w:rPr>
      </w:pPr>
      <w:r>
        <w:rPr>
          <w:rFonts w:ascii="Arial" w:cs="Arial" w:eastAsia="Arial" w:hAnsi="Arial"/>
          <w:sz w:val="16"/>
          <w:szCs w:val="16"/>
          <w:color w:val="auto"/>
        </w:rPr>
        <w:t>In no event will the Class A common stock and warrants be traded separately until we have filed a Current Report on Form 8-K with the SEC containing an audited balance sheet reflecting our receipt of the gross proceeds at the closing of this offering. We will file the Current Report on Form 8-K promptly after the closing of this offering, which is anticipated to take place three business days from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2900" w:space="180"/>
            <w:col w:w="5939"/>
          </w:cols>
          <w:pgMar w:left="1440" w:top="274" w:right="1440" w:bottom="1440" w:gutter="0" w:footer="0" w:header="0"/>
          <w:type w:val="continuous"/>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 w:name="page15"/>
    <w:bookmarkEnd w:id="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6836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6836410"/>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Units: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outstanding before this</w:t>
      </w:r>
    </w:p>
    <w:p>
      <w:pPr>
        <w:spacing w:after="0" w:line="23" w:lineRule="exact"/>
        <w:rPr>
          <w:sz w:val="20"/>
          <w:szCs w:val="20"/>
          <w:color w:val="auto"/>
        </w:rPr>
      </w:pPr>
    </w:p>
    <w:p>
      <w:pPr>
        <w:ind w:left="720"/>
        <w:spacing w:after="0"/>
        <w:tabs>
          <w:tab w:leader="none" w:pos="306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0</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outstanding after this</w:t>
      </w:r>
    </w:p>
    <w:p>
      <w:pPr>
        <w:spacing w:after="0" w:line="23" w:lineRule="exact"/>
        <w:rPr>
          <w:sz w:val="20"/>
          <w:szCs w:val="20"/>
          <w:color w:val="auto"/>
        </w:rPr>
      </w:pPr>
    </w:p>
    <w:p>
      <w:pPr>
        <w:ind w:left="720"/>
        <w:spacing w:after="0"/>
        <w:tabs>
          <w:tab w:leader="none" w:pos="3060" w:val="left"/>
        </w:tabs>
        <w:rPr>
          <w:sz w:val="20"/>
          <w:szCs w:val="20"/>
          <w:color w:val="auto"/>
        </w:rPr>
      </w:pPr>
      <w:r>
        <w:rPr>
          <w:rFonts w:ascii="Arial" w:cs="Arial" w:eastAsia="Arial" w:hAnsi="Arial"/>
          <w:sz w:val="15"/>
          <w:szCs w:val="15"/>
          <w:color w:val="auto"/>
        </w:rPr>
        <w:t>offering</w:t>
      </w:r>
      <w:r>
        <w:rPr>
          <w:sz w:val="20"/>
          <w:szCs w:val="20"/>
          <w:color w:val="auto"/>
        </w:rPr>
        <w:tab/>
      </w:r>
      <w:r>
        <w:rPr>
          <w:rFonts w:ascii="Arial" w:cs="Arial" w:eastAsia="Arial" w:hAnsi="Arial"/>
          <w:sz w:val="15"/>
          <w:szCs w:val="15"/>
          <w:color w:val="auto"/>
        </w:rPr>
        <w:t>17,500,000</w:t>
      </w:r>
      <w:r>
        <w:rPr>
          <w:rFonts w:ascii="Arial" w:cs="Arial" w:eastAsia="Arial" w:hAnsi="Arial"/>
          <w:sz w:val="17"/>
          <w:szCs w:val="17"/>
          <w:color w:val="auto"/>
          <w:vertAlign w:val="superscript"/>
        </w:rPr>
        <w:t>(1)</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Common stock:</w:t>
      </w:r>
    </w:p>
    <w:p>
      <w:pPr>
        <w:sectPr>
          <w:pgSz w:w="11900" w:h="16838" w:orient="portrait"/>
          <w:cols w:equalWidth="0" w:num="1">
            <w:col w:w="9019"/>
          </w:cols>
          <w:pgMar w:left="1440" w:top="274" w:right="1440" w:bottom="1440" w:gutter="0" w:footer="0" w:header="0"/>
        </w:sectPr>
      </w:pPr>
    </w:p>
    <w:p>
      <w:pPr>
        <w:spacing w:after="0" w:line="202" w:lineRule="exact"/>
        <w:rPr>
          <w:sz w:val="20"/>
          <w:szCs w:val="20"/>
          <w:color w:val="auto"/>
        </w:rPr>
      </w:pPr>
    </w:p>
    <w:p>
      <w:pPr>
        <w:ind w:left="720" w:right="140" w:hanging="179"/>
        <w:spacing w:after="0" w:line="277" w:lineRule="auto"/>
        <w:rPr>
          <w:sz w:val="20"/>
          <w:szCs w:val="20"/>
          <w:color w:val="auto"/>
        </w:rPr>
      </w:pPr>
      <w:r>
        <w:rPr>
          <w:rFonts w:ascii="Arial" w:cs="Arial" w:eastAsia="Arial" w:hAnsi="Arial"/>
          <w:sz w:val="18"/>
          <w:szCs w:val="18"/>
          <w:color w:val="auto"/>
        </w:rPr>
        <w:t>Number outstanding before this offering</w:t>
      </w:r>
    </w:p>
    <w:p>
      <w:pPr>
        <w:spacing w:after="0" w:line="143" w:lineRule="exact"/>
        <w:rPr>
          <w:sz w:val="20"/>
          <w:szCs w:val="20"/>
          <w:color w:val="auto"/>
        </w:rPr>
      </w:pPr>
    </w:p>
    <w:p>
      <w:pPr>
        <w:ind w:left="720" w:right="260" w:hanging="179"/>
        <w:spacing w:after="0" w:line="277" w:lineRule="auto"/>
        <w:rPr>
          <w:sz w:val="20"/>
          <w:szCs w:val="20"/>
          <w:color w:val="auto"/>
        </w:rPr>
      </w:pPr>
      <w:r>
        <w:rPr>
          <w:rFonts w:ascii="Arial" w:cs="Arial" w:eastAsia="Arial" w:hAnsi="Arial"/>
          <w:sz w:val="18"/>
          <w:szCs w:val="18"/>
          <w:color w:val="auto"/>
        </w:rPr>
        <w:t>Number outstanding after this offering</w:t>
      </w:r>
    </w:p>
    <w:p>
      <w:pPr>
        <w:spacing w:after="0" w:line="3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Redeemable Warrants:</w:t>
      </w:r>
    </w:p>
    <w:p>
      <w:pPr>
        <w:spacing w:after="0" w:line="202" w:lineRule="exact"/>
        <w:rPr>
          <w:sz w:val="20"/>
          <w:szCs w:val="20"/>
          <w:color w:val="auto"/>
        </w:rPr>
      </w:pPr>
    </w:p>
    <w:p>
      <w:pPr>
        <w:ind w:left="720" w:hanging="179"/>
        <w:spacing w:after="0" w:line="301" w:lineRule="auto"/>
        <w:rPr>
          <w:sz w:val="20"/>
          <w:szCs w:val="20"/>
          <w:color w:val="auto"/>
        </w:rPr>
      </w:pPr>
      <w:r>
        <w:rPr>
          <w:rFonts w:ascii="Arial" w:cs="Arial" w:eastAsia="Arial" w:hAnsi="Arial"/>
          <w:sz w:val="16"/>
          <w:szCs w:val="16"/>
          <w:color w:val="auto"/>
        </w:rPr>
        <w:t>Number of private placement warrants to be sold in a private placement simultaneously with this offering</w:t>
      </w:r>
    </w:p>
    <w:p>
      <w:pPr>
        <w:spacing w:after="0" w:line="130" w:lineRule="exact"/>
        <w:rPr>
          <w:sz w:val="20"/>
          <w:szCs w:val="20"/>
          <w:color w:val="auto"/>
        </w:rPr>
      </w:pPr>
    </w:p>
    <w:p>
      <w:pPr>
        <w:ind w:left="720" w:right="100" w:hanging="179"/>
        <w:spacing w:after="0" w:line="311" w:lineRule="auto"/>
        <w:rPr>
          <w:sz w:val="20"/>
          <w:szCs w:val="20"/>
          <w:color w:val="auto"/>
        </w:rPr>
      </w:pPr>
      <w:r>
        <w:rPr>
          <w:rFonts w:ascii="Arial" w:cs="Arial" w:eastAsia="Arial" w:hAnsi="Arial"/>
          <w:sz w:val="16"/>
          <w:szCs w:val="16"/>
          <w:color w:val="auto"/>
        </w:rPr>
        <w:t>Number of warrants to be outstanding after this offering and the private placement</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5,031,250 shares of Class B common stock</w:t>
      </w:r>
      <w:r>
        <w:rPr>
          <w:rFonts w:ascii="Arial" w:cs="Arial" w:eastAsia="Arial" w:hAnsi="Arial"/>
          <w:sz w:val="20"/>
          <w:szCs w:val="20"/>
          <w:color w:val="auto"/>
          <w:vertAlign w:val="superscript"/>
        </w:rPr>
        <w:t>(2)</w:t>
      </w:r>
    </w:p>
    <w:p>
      <w:pPr>
        <w:spacing w:after="0" w:line="391" w:lineRule="exact"/>
        <w:rPr>
          <w:sz w:val="20"/>
          <w:szCs w:val="20"/>
          <w:color w:val="auto"/>
        </w:rPr>
      </w:pPr>
    </w:p>
    <w:p>
      <w:pPr>
        <w:ind w:right="1839"/>
        <w:spacing w:after="0" w:line="299" w:lineRule="auto"/>
        <w:rPr>
          <w:sz w:val="20"/>
          <w:szCs w:val="20"/>
          <w:color w:val="auto"/>
        </w:rPr>
      </w:pPr>
      <w:r>
        <w:rPr>
          <w:rFonts w:ascii="Arial" w:cs="Arial" w:eastAsia="Arial" w:hAnsi="Arial"/>
          <w:sz w:val="18"/>
          <w:szCs w:val="18"/>
          <w:color w:val="auto"/>
        </w:rPr>
        <w:t xml:space="preserve">21,875,000 shares of Class A common stock and Class B common stock </w:t>
      </w:r>
      <w:r>
        <w:rPr>
          <w:rFonts w:ascii="Arial" w:cs="Arial" w:eastAsia="Arial" w:hAnsi="Arial"/>
          <w:sz w:val="20"/>
          <w:szCs w:val="20"/>
          <w:color w:val="auto"/>
          <w:vertAlign w:val="superscript"/>
        </w:rPr>
        <w:t>(1)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6,250,000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15,000,000</w:t>
      </w:r>
    </w:p>
    <w:p>
      <w:pPr>
        <w:spacing w:after="0" w:line="198" w:lineRule="exact"/>
        <w:rPr>
          <w:sz w:val="20"/>
          <w:szCs w:val="20"/>
          <w:color w:val="auto"/>
        </w:rPr>
      </w:pPr>
    </w:p>
    <w:p>
      <w:pPr>
        <w:ind w:right="799"/>
        <w:spacing w:after="0" w:line="308" w:lineRule="auto"/>
        <w:rPr>
          <w:sz w:val="20"/>
          <w:szCs w:val="20"/>
          <w:color w:val="auto"/>
        </w:rPr>
      </w:pPr>
      <w:r>
        <w:rPr>
          <w:rFonts w:ascii="Arial" w:cs="Arial" w:eastAsia="Arial" w:hAnsi="Arial"/>
          <w:sz w:val="17"/>
          <w:szCs w:val="17"/>
          <w:color w:val="auto"/>
        </w:rPr>
        <w:t>Each whole warrant is exercisable to purchase one share of our Class A common stock and only whole warrants are exercisable.</w:t>
      </w:r>
    </w:p>
    <w:p>
      <w:pPr>
        <w:spacing w:after="0" w:line="119" w:lineRule="exact"/>
        <w:rPr>
          <w:sz w:val="20"/>
          <w:szCs w:val="20"/>
          <w:color w:val="auto"/>
        </w:rPr>
      </w:pPr>
    </w:p>
    <w:p>
      <w:pPr>
        <w:ind w:right="599"/>
        <w:spacing w:after="0" w:line="290" w:lineRule="auto"/>
        <w:rPr>
          <w:sz w:val="20"/>
          <w:szCs w:val="20"/>
          <w:color w:val="auto"/>
        </w:rPr>
      </w:pPr>
      <w:r>
        <w:rPr>
          <w:rFonts w:ascii="Arial" w:cs="Arial" w:eastAsia="Arial" w:hAnsi="Arial"/>
          <w:sz w:val="16"/>
          <w:szCs w:val="16"/>
          <w:color w:val="auto"/>
        </w:rPr>
        <w:t>We structured each unit to contain one-half of one redeemable warrant, with each whole warrant exercisable for one share of Class A common stock, as compared to units issued by some other similar blank check companies which contain whole warrants exercisable for one whole share, in order to reduce the dilutive effect of the warrants upon completion of an initial business combination as compared to units that each contain a warrant to purchase one whole share, thus making us, we believe, a more attractive initial business combination partner for target businesses.</w:t>
      </w:r>
    </w:p>
    <w:p>
      <w:pPr>
        <w:spacing w:after="0" w:line="345" w:lineRule="exact"/>
        <w:rPr>
          <w:sz w:val="20"/>
          <w:szCs w:val="20"/>
          <w:color w:val="auto"/>
        </w:rPr>
      </w:pPr>
    </w:p>
    <w:p>
      <w:pPr>
        <w:sectPr>
          <w:pgSz w:w="11900" w:h="16838" w:orient="portrait"/>
          <w:cols w:equalWidth="0" w:num="2">
            <w:col w:w="2960" w:space="120"/>
            <w:col w:w="5939"/>
          </w:cols>
          <w:pgMar w:left="1440" w:top="274" w:right="1440" w:bottom="1440" w:gutter="0" w:footer="0" w:header="0"/>
          <w:type w:val="continuous"/>
        </w:sectPr>
      </w:pPr>
    </w:p>
    <w:p>
      <w:pPr>
        <w:ind w:left="980" w:right="999" w:hanging="436"/>
        <w:spacing w:after="0" w:line="266" w:lineRule="auto"/>
        <w:tabs>
          <w:tab w:leader="none" w:pos="971"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forfeiture by our sponsor of 656,250 founder shares.</w:t>
      </w:r>
    </w:p>
    <w:p>
      <w:pPr>
        <w:spacing w:after="0" w:line="1" w:lineRule="exact"/>
        <w:rPr>
          <w:rFonts w:ascii="Arial" w:cs="Arial" w:eastAsia="Arial" w:hAnsi="Arial"/>
          <w:sz w:val="16"/>
          <w:szCs w:val="16"/>
          <w:color w:val="auto"/>
        </w:rPr>
      </w:pPr>
    </w:p>
    <w:p>
      <w:pPr>
        <w:ind w:left="980" w:right="839" w:hanging="436"/>
        <w:spacing w:after="0" w:line="26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up to 656,250 shares that are subject to forfeiture by our sponsor depending on the extent to which the underwriters’ over-allotment option is exercised.</w:t>
      </w:r>
    </w:p>
    <w:p>
      <w:pPr>
        <w:ind w:left="980" w:right="579" w:hanging="436"/>
        <w:spacing w:after="0" w:line="295" w:lineRule="auto"/>
        <w:tabs>
          <w:tab w:leader="none" w:pos="9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Comprised of 17,500,000 shares of Class A common stock and 4,375,000 shares of Class B common stock (or founder shares). The Class B common stock will automatically convert into shares of our Class A common stock at the time of our initial business combination on a one-for-one basis, subject to adjustment as described below adjacent to the caption “Founder shares conversion and anti-dilution rights.”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 w:name="page16"/>
    <w:bookmarkEnd w:id="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8773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773795"/>
                    </a:xfrm>
                    <a:prstGeom prst="rect">
                      <a:avLst/>
                    </a:prstGeom>
                    <a:noFill/>
                  </pic:spPr>
                </pic:pic>
              </a:graphicData>
            </a:graphic>
          </wp:anchor>
        </w:drawing>
      </w:r>
    </w:p>
    <w:p>
      <w:pPr>
        <w:spacing w:after="0" w:line="367"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color w:val="auto"/>
        </w:rPr>
        <w:t>Exercise price</w:t>
      </w:r>
      <w:r>
        <w:rPr>
          <w:sz w:val="20"/>
          <w:szCs w:val="20"/>
          <w:color w:val="auto"/>
        </w:rPr>
        <w:tab/>
      </w:r>
      <w:r>
        <w:rPr>
          <w:rFonts w:ascii="Arial" w:cs="Arial" w:eastAsia="Arial" w:hAnsi="Arial"/>
          <w:sz w:val="16"/>
          <w:szCs w:val="16"/>
          <w:color w:val="auto"/>
        </w:rPr>
        <w:t>$11.50 per share, subject to adjustment as described herein. In addition, if</w:t>
      </w:r>
    </w:p>
    <w:p>
      <w:pPr>
        <w:spacing w:after="0" w:line="23" w:lineRule="exact"/>
        <w:rPr>
          <w:sz w:val="20"/>
          <w:szCs w:val="20"/>
          <w:color w:val="auto"/>
        </w:rPr>
      </w:pPr>
    </w:p>
    <w:p>
      <w:pPr>
        <w:ind w:left="3080" w:right="559" w:firstLine="2"/>
        <w:spacing w:after="0" w:line="283" w:lineRule="auto"/>
        <w:tabs>
          <w:tab w:leader="none" w:pos="3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180% of the higher of the Market Value and the Newly Issued Price.</w:t>
      </w:r>
    </w:p>
    <w:p>
      <w:pPr>
        <w:spacing w:after="0" w:line="357"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198" w:lineRule="exact"/>
        <w:rPr>
          <w:sz w:val="20"/>
          <w:szCs w:val="20"/>
          <w:color w:val="auto"/>
        </w:rPr>
      </w:pPr>
    </w:p>
    <w:p>
      <w:pPr>
        <w:ind w:left="3500" w:hanging="202"/>
        <w:spacing w:after="0"/>
        <w:tabs>
          <w:tab w:leader="none" w:pos="3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30 days after the completion of our initial business combination, or</w:t>
      </w:r>
    </w:p>
    <w:p>
      <w:pPr>
        <w:spacing w:after="0" w:line="221" w:lineRule="exact"/>
        <w:rPr>
          <w:rFonts w:ascii="Arial" w:cs="Arial" w:eastAsia="Arial" w:hAnsi="Arial"/>
          <w:sz w:val="16"/>
          <w:szCs w:val="16"/>
          <w:color w:val="auto"/>
        </w:rPr>
      </w:pPr>
    </w:p>
    <w:p>
      <w:pPr>
        <w:ind w:left="3500" w:hanging="202"/>
        <w:spacing w:after="0"/>
        <w:tabs>
          <w:tab w:leader="none" w:pos="3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198" w:lineRule="exact"/>
        <w:rPr>
          <w:sz w:val="20"/>
          <w:szCs w:val="20"/>
          <w:color w:val="auto"/>
        </w:rPr>
      </w:pPr>
    </w:p>
    <w:p>
      <w:pPr>
        <w:ind w:left="3080" w:right="619"/>
        <w:spacing w:after="0" w:line="255" w:lineRule="auto"/>
        <w:rPr>
          <w:sz w:val="20"/>
          <w:szCs w:val="20"/>
          <w:color w:val="auto"/>
        </w:rPr>
      </w:pPr>
      <w:r>
        <w:rPr>
          <w:rFonts w:ascii="Arial" w:cs="Arial" w:eastAsia="Arial" w:hAnsi="Arial"/>
          <w:sz w:val="18"/>
          <w:szCs w:val="18"/>
          <w:color w:val="auto"/>
        </w:rPr>
        <w:t>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w:t>
      </w:r>
    </w:p>
    <w:p>
      <w:pPr>
        <w:spacing w:after="0" w:line="165" w:lineRule="exact"/>
        <w:rPr>
          <w:sz w:val="20"/>
          <w:szCs w:val="20"/>
          <w:color w:val="auto"/>
        </w:rPr>
      </w:pPr>
    </w:p>
    <w:p>
      <w:pPr>
        <w:ind w:left="3080" w:right="639"/>
        <w:spacing w:after="0" w:line="283"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business day after the closing of our initial business combination, warrantholders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If that exemption, or another exemption, is not available, holders will not be able to exercise their warrants on a cashless basis.</w:t>
      </w:r>
    </w:p>
    <w:p>
      <w:pPr>
        <w:spacing w:after="0" w:line="145" w:lineRule="exact"/>
        <w:rPr>
          <w:sz w:val="20"/>
          <w:szCs w:val="20"/>
          <w:color w:val="auto"/>
        </w:rPr>
      </w:pPr>
    </w:p>
    <w:p>
      <w:pPr>
        <w:ind w:left="3080" w:right="839"/>
        <w:spacing w:after="0" w:line="257"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08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b w:val="1"/>
          <w:bCs w:val="1"/>
          <w:color w:val="auto"/>
        </w:rPr>
        <w:t>Redemption of warrants</w:t>
      </w:r>
      <w:r>
        <w:rPr>
          <w:sz w:val="20"/>
          <w:szCs w:val="20"/>
          <w:color w:val="auto"/>
        </w:rPr>
        <w:tab/>
      </w:r>
      <w:r>
        <w:rPr>
          <w:rFonts w:ascii="Arial" w:cs="Arial" w:eastAsia="Arial" w:hAnsi="Arial"/>
          <w:sz w:val="15"/>
          <w:szCs w:val="15"/>
          <w:color w:val="auto"/>
        </w:rPr>
        <w:t>Once the warrants become exercisable, we may redeem the outstanding</w:t>
      </w:r>
    </w:p>
    <w:p>
      <w:pPr>
        <w:spacing w:after="0" w:line="27" w:lineRule="exact"/>
        <w:rPr>
          <w:sz w:val="20"/>
          <w:szCs w:val="20"/>
          <w:color w:val="auto"/>
        </w:rPr>
      </w:pPr>
    </w:p>
    <w:p>
      <w:pPr>
        <w:ind w:left="3080" w:right="619"/>
        <w:spacing w:after="0" w:line="260" w:lineRule="auto"/>
        <w:rPr>
          <w:sz w:val="20"/>
          <w:szCs w:val="20"/>
          <w:color w:val="auto"/>
        </w:rPr>
      </w:pPr>
      <w:r>
        <w:rPr>
          <w:rFonts w:ascii="Arial" w:cs="Arial" w:eastAsia="Arial" w:hAnsi="Arial"/>
          <w:sz w:val="18"/>
          <w:szCs w:val="18"/>
          <w:color w:val="auto"/>
        </w:rPr>
        <w:t>warrants (except as described herein with respect to the private placement warrants):</w:t>
      </w:r>
    </w:p>
    <w:p>
      <w:pPr>
        <w:spacing w:after="0" w:line="14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in whole and not in part;</w:t>
      </w:r>
    </w:p>
    <w:p>
      <w:pPr>
        <w:spacing w:after="0" w:line="19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at a price of $0.01 per warrant;</w:t>
      </w:r>
    </w:p>
    <w:p>
      <w:pPr>
        <w:spacing w:after="0" w:line="19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upon a minimum of 30 days’ prior written notice of redemption,</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which we refer to as the 30-day redemption period; and</w:t>
      </w:r>
    </w:p>
    <w:p>
      <w:pPr>
        <w:spacing w:after="0" w:line="184"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if, and only if, the last sale price of our Class A common stock</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equals or exceeds $18.00 per share (as adjusted for stock splits,</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stock dividends, reorganizations, recapitalizations and the like) for</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any 20 trading days within a 30-trading day period commencing</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once the warrants become exercisable ending on the third trading</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day prior to the date on which we send the notice of redemption to</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the warrantholders.</w:t>
      </w:r>
    </w:p>
    <w:p>
      <w:pPr>
        <w:spacing w:after="0" w:line="184" w:lineRule="exact"/>
        <w:rPr>
          <w:sz w:val="20"/>
          <w:szCs w:val="20"/>
          <w:color w:val="auto"/>
        </w:rPr>
      </w:pPr>
    </w:p>
    <w:p>
      <w:pPr>
        <w:ind w:left="3080" w:right="559"/>
        <w:spacing w:after="0" w:line="286" w:lineRule="auto"/>
        <w:rPr>
          <w:sz w:val="20"/>
          <w:szCs w:val="20"/>
          <w:color w:val="auto"/>
        </w:rPr>
      </w:pPr>
      <w:r>
        <w:rPr>
          <w:rFonts w:ascii="Arial" w:cs="Arial" w:eastAsia="Arial" w:hAnsi="Arial"/>
          <w:sz w:val="16"/>
          <w:szCs w:val="16"/>
          <w:color w:val="auto"/>
        </w:rPr>
        <w:t>We will not redeem the warrants unless a registration statement under the Securities Act covering the shares of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this offering.</w:t>
      </w:r>
    </w:p>
    <w:p>
      <w:pPr>
        <w:spacing w:after="0" w:line="144" w:lineRule="exact"/>
        <w:rPr>
          <w:sz w:val="20"/>
          <w:szCs w:val="20"/>
          <w:color w:val="auto"/>
        </w:rPr>
      </w:pPr>
    </w:p>
    <w:p>
      <w:pPr>
        <w:ind w:left="3080" w:right="579"/>
        <w:spacing w:after="0" w:line="267"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redemption is sent to the holders of warrants. Please see the section of this prospectus entitled “Description of Securities — Redeemable Warrants — Public Stockholders’ Warrants” for additional information.</w:t>
      </w:r>
    </w:p>
    <w:p>
      <w:pPr>
        <w:spacing w:after="0" w:line="160" w:lineRule="exact"/>
        <w:rPr>
          <w:sz w:val="20"/>
          <w:szCs w:val="20"/>
          <w:color w:val="auto"/>
        </w:rPr>
      </w:pPr>
    </w:p>
    <w:p>
      <w:pPr>
        <w:ind w:left="3080" w:right="679"/>
        <w:spacing w:after="0" w:line="308" w:lineRule="auto"/>
        <w:rPr>
          <w:sz w:val="20"/>
          <w:szCs w:val="20"/>
          <w:color w:val="auto"/>
        </w:rPr>
      </w:pPr>
      <w:r>
        <w:rPr>
          <w:rFonts w:ascii="Arial" w:cs="Arial" w:eastAsia="Arial" w:hAnsi="Arial"/>
          <w:sz w:val="17"/>
          <w:szCs w:val="17"/>
          <w:color w:val="auto"/>
        </w:rPr>
        <w:t>None of the private placement warrants will be redeemable by us so long as they are held by the sponsor or its permitted transferees.</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 w:name="page18"/>
    <w:bookmarkEnd w:id="1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396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3966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In September 2020, our sponsor purchased 5,031,250 founder shares for</w:t>
      </w:r>
    </w:p>
    <w:p>
      <w:pPr>
        <w:spacing w:after="0" w:line="27" w:lineRule="exact"/>
        <w:rPr>
          <w:sz w:val="20"/>
          <w:szCs w:val="20"/>
          <w:color w:val="auto"/>
        </w:rPr>
      </w:pPr>
    </w:p>
    <w:p>
      <w:pPr>
        <w:ind w:left="3080" w:right="599"/>
        <w:spacing w:after="0" w:line="283" w:lineRule="auto"/>
        <w:rPr>
          <w:sz w:val="20"/>
          <w:szCs w:val="20"/>
          <w:color w:val="auto"/>
        </w:rPr>
      </w:pPr>
      <w:r>
        <w:rPr>
          <w:rFonts w:ascii="Arial" w:cs="Arial" w:eastAsia="Arial" w:hAnsi="Arial"/>
          <w:sz w:val="16"/>
          <w:szCs w:val="16"/>
          <w:color w:val="auto"/>
        </w:rPr>
        <w:t>an aggregate purchase price of $25,000, or approximately $0.005 per share. Prior to the initial investment in the company of $25,000 by our sponsor, the company had no assets, tangible or intangible. On December 1, 2020, our sponsor transferred 25,000 founder shares to each of Messrs. Jones, Schofield and Eggen, and Ms. Robinson, our independent director nominees. The per share purchase price of the founder shares was determined by dividing the amount of cash contributed to the company by the aggregate number of founder shares issued. The number of founder shares issued was determined based on the expectation that the founder shares would represent 20% of the outstanding shares after this offering. As such, our initial stockholders will collectively own 20% of our issued and outstanding shares after this offering (assuming they do not purchase any units in this offering). Neither our sponsor nor any of our officers or directors have expressed an intention to purchase any units in this offering. Up to 656,250 founder shares will be subject to forfeiture by our sponsor depending on the extent to which the underwriters’ over-allotment option is exercised so that our initial stockholders will maintain ownership of 20% of our common stock after this offering. We will effect a stock dividend or share contribution prior to this offering should the size of the offering change, in order to maintain such ownership percentage.</w:t>
      </w:r>
    </w:p>
    <w:p>
      <w:pPr>
        <w:spacing w:after="0" w:line="142" w:lineRule="exact"/>
        <w:rPr>
          <w:sz w:val="20"/>
          <w:szCs w:val="20"/>
          <w:color w:val="auto"/>
        </w:rPr>
      </w:pPr>
    </w:p>
    <w:p>
      <w:pPr>
        <w:ind w:left="3080" w:right="799"/>
        <w:spacing w:after="0" w:line="308" w:lineRule="auto"/>
        <w:rPr>
          <w:sz w:val="20"/>
          <w:szCs w:val="20"/>
          <w:color w:val="auto"/>
        </w:rPr>
      </w:pPr>
      <w:r>
        <w:rPr>
          <w:rFonts w:ascii="Arial" w:cs="Arial" w:eastAsia="Arial" w:hAnsi="Arial"/>
          <w:sz w:val="17"/>
          <w:szCs w:val="17"/>
          <w:color w:val="auto"/>
        </w:rPr>
        <w:t>The founder shares are identical to the shares of Class A common stock included in the units being sold in this offering, except that:</w:t>
      </w:r>
    </w:p>
    <w:p>
      <w:pPr>
        <w:spacing w:after="0" w:line="11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the founder shares are shares of Class B common stock that</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automatically convert into shares of our Class A common stock at</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the time of our initial business combination, on a one-for-one basis,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subject to adjustment pursuant to certain anti-dilution rights, as</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described herein;</w:t>
      </w:r>
    </w:p>
    <w:p>
      <w:pPr>
        <w:spacing w:after="0" w:line="184"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  the founder shares are subject to certain transfer restrictions, as</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described in more detail below;</w:t>
      </w:r>
    </w:p>
    <w:p>
      <w:pPr>
        <w:spacing w:after="0" w:line="184"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our sponsor, officers and directors have entered into a letter</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agreement with us, pursuant to which they have agreed to (i) waive</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their redemption rights with respect to their founder shares and</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public shares in connection with the completion of our initial</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business combination, (ii) waive their redemption rights with</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respect to their founder shares and public shares in connection with</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 stockholder vote to approve an amendment to our amended and</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restated certificate of incorporation (A) to modify the substance or</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timing of our obligation to offer redemption rights in connection</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with any proposed initial business combination or certain</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amendments to our charter prior thereto or to redeem 100% of our</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public shares if we do not complete our initial business combination</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within 24 months from the closing of this offering or (B) with</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respect to any other provision relating to stockholders’ rights or pre-</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initial business combination activity, (iii) waive their rights to</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liquidating distributions from the trust account with respect to their</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founder shares if we fail to complete our initial business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combination within 24 months from the closing of this offering,</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although they will be entitled to liquidating distributions from the</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trust account with respect to any public shares they hold if we fail to</w:t>
      </w:r>
    </w:p>
    <w:p>
      <w:pPr>
        <w:spacing w:after="0" w:line="3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complete our initial business combination within the prescribed time</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frame and (iv) not sell any of their founder shares or public shares</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to us in any tender offer we undertake in connection with a</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proposed initial business combination;</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8" w:name="page19"/>
    <w:bookmarkEnd w:id="1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550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5509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520" w:right="599" w:hanging="222"/>
        <w:spacing w:after="0" w:line="285" w:lineRule="auto"/>
        <w:tabs>
          <w:tab w:leader="none" w:pos="3502"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 letter agreement, our sponsor, officers and directors have agreed to vote any founder shares held by them and any public shares purchased during or after this offering (including in open market and privately negotiated transactions) in favor of our initial business combination. If we submit our initial business combination to our public stockholders for a vote, we will complete our initial business combination only if a majority of the outstanding shares of common stock voted are voted in favor of the initial business combination. As a result, in addition to our initial stockholders’ founder shares, we would need only 6,562,501, or 37.5%, of the 17,500,000 public shares sold in this offering to be voted in favor of an initial business combination (assuming all outstanding shares are voted; or 1,093,752, or 6.25%, assuming only the minimum number of shares representing a quorum are voted and assuming our sponsor, officers and directors do not purchase any units in or after this offering) in order to have our initial business combination approved (in each case assuming the over-allotment option is not exercised); and</w:t>
      </w:r>
    </w:p>
    <w:p>
      <w:pPr>
        <w:spacing w:after="0" w:line="130" w:lineRule="exact"/>
        <w:rPr>
          <w:rFonts w:ascii="Arial" w:cs="Arial" w:eastAsia="Arial" w:hAnsi="Arial"/>
          <w:sz w:val="16"/>
          <w:szCs w:val="16"/>
          <w:color w:val="auto"/>
        </w:rPr>
      </w:pPr>
    </w:p>
    <w:p>
      <w:pPr>
        <w:ind w:left="3500" w:hanging="202"/>
        <w:spacing w:after="0"/>
        <w:tabs>
          <w:tab w:leader="none" w:pos="3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restrictions on</w:t>
      </w:r>
    </w:p>
    <w:p>
      <w:pPr>
        <w:spacing w:after="0" w:line="27" w:lineRule="exact"/>
        <w:rPr>
          <w:sz w:val="20"/>
          <w:szCs w:val="20"/>
          <w:color w:val="auto"/>
        </w:rPr>
      </w:pPr>
    </w:p>
    <w:p>
      <w:pPr>
        <w:ind w:left="3080" w:right="579" w:hanging="2357"/>
        <w:spacing w:after="0" w:line="284" w:lineRule="auto"/>
        <w:tabs>
          <w:tab w:leader="none" w:pos="3060" w:val="left"/>
        </w:tabs>
        <w:rPr>
          <w:sz w:val="20"/>
          <w:szCs w:val="20"/>
          <w:color w:val="auto"/>
        </w:rPr>
      </w:pPr>
      <w:r>
        <w:rPr>
          <w:rFonts w:ascii="Arial" w:cs="Arial" w:eastAsia="Arial" w:hAnsi="Arial"/>
          <w:sz w:val="18"/>
          <w:szCs w:val="18"/>
          <w:b w:val="1"/>
          <w:bCs w:val="1"/>
          <w:color w:val="auto"/>
        </w:rPr>
        <w:t>founder shares</w:t>
      </w:r>
      <w:r>
        <w:rPr>
          <w:sz w:val="20"/>
          <w:szCs w:val="20"/>
          <w:color w:val="auto"/>
        </w:rPr>
        <w:tab/>
      </w:r>
      <w:r>
        <w:rPr>
          <w:rFonts w:ascii="Arial" w:cs="Arial" w:eastAsia="Arial" w:hAnsi="Arial"/>
          <w:sz w:val="16"/>
          <w:szCs w:val="16"/>
          <w:color w:val="auto"/>
        </w:rPr>
        <w:t>Our initial stockholders have agreed not to transfer, assign or sell any of their founder shares until the earlier to occur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or other similar transaction that results in all of our stockholders having the right to exchange their shares of common stock for cash, securities or other property (except as described herein under the section of this prospectus entitled “Principal Stockholders — Restrictions on Transfers of Founder Shares and Private Placement Warrants”). Any permitted transferees will be subject to the same restrictions and other agreements of our initial stockholders with respect to any founder shares.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Founder shares conversion and</w:t>
      </w:r>
    </w:p>
    <w:p>
      <w:pPr>
        <w:spacing w:after="0" w:line="27" w:lineRule="exact"/>
        <w:rPr>
          <w:sz w:val="20"/>
          <w:szCs w:val="20"/>
          <w:color w:val="auto"/>
        </w:rPr>
      </w:pPr>
    </w:p>
    <w:p>
      <w:pPr>
        <w:ind w:left="3080" w:right="619" w:hanging="2357"/>
        <w:spacing w:after="0" w:line="284" w:lineRule="auto"/>
        <w:tabs>
          <w:tab w:leader="none" w:pos="3060" w:val="left"/>
        </w:tabs>
        <w:rPr>
          <w:sz w:val="20"/>
          <w:szCs w:val="20"/>
          <w:color w:val="auto"/>
        </w:rPr>
      </w:pPr>
      <w:r>
        <w:rPr>
          <w:rFonts w:ascii="Arial" w:cs="Arial" w:eastAsia="Arial" w:hAnsi="Arial"/>
          <w:sz w:val="18"/>
          <w:szCs w:val="18"/>
          <w:b w:val="1"/>
          <w:bCs w:val="1"/>
          <w:color w:val="auto"/>
        </w:rPr>
        <w:t>anti-dilution rights</w:t>
      </w:r>
      <w:r>
        <w:rPr>
          <w:sz w:val="20"/>
          <w:szCs w:val="20"/>
          <w:color w:val="auto"/>
        </w:rPr>
        <w:tab/>
      </w:r>
      <w:r>
        <w:rPr>
          <w:rFonts w:ascii="Arial" w:cs="Arial" w:eastAsia="Arial" w:hAnsi="Arial"/>
          <w:sz w:val="16"/>
          <w:szCs w:val="16"/>
          <w:color w:val="auto"/>
        </w:rPr>
        <w:t>The shares of Class B common stock will automatically convert into shares of our Class A common stock at the time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this offering plus all shares of Class A common stock and equity-linked securities issued or deemed issued in connection with the initial business combination (excluding any shares or equity-linked securities issued,</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9" w:name="page20"/>
    <w:bookmarkEnd w:id="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162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7162165"/>
                    </a:xfrm>
                    <a:prstGeom prst="rect">
                      <a:avLst/>
                    </a:prstGeom>
                    <a:noFill/>
                  </pic:spPr>
                </pic:pic>
              </a:graphicData>
            </a:graphic>
          </wp:anchor>
        </w:drawing>
      </w:r>
    </w:p>
    <w:p>
      <w:pPr>
        <w:spacing w:after="0" w:line="367" w:lineRule="exact"/>
        <w:rPr>
          <w:sz w:val="20"/>
          <w:szCs w:val="20"/>
          <w:color w:val="auto"/>
        </w:rPr>
      </w:pPr>
    </w:p>
    <w:p>
      <w:pPr>
        <w:ind w:left="3080" w:right="579"/>
        <w:spacing w:after="0" w:line="288" w:lineRule="auto"/>
        <w:rPr>
          <w:sz w:val="20"/>
          <w:szCs w:val="20"/>
          <w:color w:val="auto"/>
        </w:rPr>
      </w:pPr>
      <w:r>
        <w:rPr>
          <w:rFonts w:ascii="Arial" w:cs="Arial" w:eastAsia="Arial" w:hAnsi="Arial"/>
          <w:sz w:val="16"/>
          <w:szCs w:val="16"/>
          <w:color w:val="auto"/>
        </w:rPr>
        <w:t>or to be issued, to any seller in the initial business combination and any private placement-equivalent warrants issued to our sponsor or its affiliates upon conversion of loans made to us). The term “equity-linked securities” refers to any debt or equity securities that are convertible, exercisable or exchangeable for shares of Class A common stock issued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ectPr>
          <w:pgSz w:w="11900" w:h="16838" w:orient="portrait"/>
          <w:cols w:equalWidth="0" w:num="1">
            <w:col w:w="9019"/>
          </w:cols>
          <w:pgMar w:left="1440" w:top="274" w:right="1440" w:bottom="1440" w:gutter="0" w:footer="0" w:header="0"/>
        </w:sectPr>
      </w:pPr>
    </w:p>
    <w:p>
      <w:pPr>
        <w:spacing w:after="0" w:line="12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Voting Rights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right="599"/>
        <w:spacing w:after="0" w:line="259" w:lineRule="auto"/>
        <w:rPr>
          <w:sz w:val="20"/>
          <w:szCs w:val="20"/>
          <w:color w:val="auto"/>
        </w:rPr>
      </w:pPr>
      <w:r>
        <w:rPr>
          <w:rFonts w:ascii="Arial" w:cs="Arial" w:eastAsia="Arial" w:hAnsi="Arial"/>
          <w:sz w:val="18"/>
          <w:szCs w:val="18"/>
          <w:color w:val="auto"/>
        </w:rPr>
        <w:t>Holders of the Class A common stock and holders of the Class B common stock will vote together as a single class on all matters submitted to a vote of our stockholders, with each share of common stock entitling the holder to one vote.</w:t>
      </w:r>
    </w:p>
    <w:p>
      <w:pPr>
        <w:spacing w:after="0" w:line="156" w:lineRule="exact"/>
        <w:rPr>
          <w:sz w:val="20"/>
          <w:szCs w:val="20"/>
          <w:color w:val="auto"/>
        </w:rPr>
      </w:pPr>
    </w:p>
    <w:p>
      <w:pPr>
        <w:sectPr>
          <w:pgSz w:w="11900" w:h="16838" w:orient="portrait"/>
          <w:cols w:equalWidth="0" w:num="2">
            <w:col w:w="2360" w:space="720"/>
            <w:col w:w="5939"/>
          </w:cols>
          <w:pgMar w:left="1440" w:top="274" w:right="1440"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Private placement warrants</w:t>
      </w:r>
    </w:p>
    <w:p>
      <w:pPr>
        <w:spacing w:after="0" w:line="20" w:lineRule="exact"/>
        <w:rPr>
          <w:sz w:val="20"/>
          <w:szCs w:val="20"/>
          <w:color w:val="auto"/>
        </w:rPr>
      </w:pPr>
      <w:r>
        <w:rPr>
          <w:sz w:val="20"/>
          <w:szCs w:val="20"/>
          <w:color w:val="auto"/>
        </w:rPr>
        <w:br w:type="column"/>
      </w:r>
    </w:p>
    <w:p>
      <w:pPr>
        <w:ind w:right="579"/>
        <w:spacing w:after="0" w:line="285" w:lineRule="auto"/>
        <w:rPr>
          <w:sz w:val="20"/>
          <w:szCs w:val="20"/>
          <w:color w:val="auto"/>
        </w:rPr>
      </w:pPr>
      <w:r>
        <w:rPr>
          <w:rFonts w:ascii="Arial" w:cs="Arial" w:eastAsia="Arial" w:hAnsi="Arial"/>
          <w:sz w:val="16"/>
          <w:szCs w:val="16"/>
          <w:color w:val="auto"/>
        </w:rPr>
        <w:t>Our sponsor has committed, pursuant to a written agreement, to purchase an aggregate of 6,250,000 private placement warrants (or 6,775,000 private placement warrants if the underwriters’ over-allotment option is exercised in full), each exercisable to purchase one share of our Class A common stock at $11.50 per share, at a price of $1.00 per warrant in a private placement that will occur simultaneously with the closing of this offering. Each private placement warrant entitles the holder thereof to purchase one share of our Class A common stock at a price of $11.50 per share. A portion of the purchase price of the private placement warrants will be added to the proceeds from this offering to be held in the trust account such that at the time of closing $175.0 million (or $201.25 million if the underwriters exercise their over-allotment option in full) will be held in the trust account. If we do not complete our initial business combination within 24 months from the closing of this offering, the proceeds from the sale of the private placement warrants held in the trust account will be used to fund the redemption of our public shares (subject to the requirements of applicable law) and the private placement warrants will expire worthless.</w:t>
      </w:r>
    </w:p>
    <w:p>
      <w:pPr>
        <w:spacing w:after="0" w:line="200" w:lineRule="exact"/>
        <w:rPr>
          <w:sz w:val="20"/>
          <w:szCs w:val="20"/>
          <w:color w:val="auto"/>
        </w:rPr>
      </w:pPr>
    </w:p>
    <w:p>
      <w:pPr>
        <w:sectPr>
          <w:pgSz w:w="11900" w:h="16838" w:orient="portrait"/>
          <w:cols w:equalWidth="0" w:num="2">
            <w:col w:w="2680" w:space="400"/>
            <w:col w:w="5939"/>
          </w:cols>
          <w:pgMar w:left="1440" w:top="274" w:right="1440" w:bottom="1440" w:gutter="0" w:footer="0" w:header="0"/>
          <w:type w:val="continuous"/>
        </w:sectPr>
      </w:pPr>
    </w:p>
    <w:p>
      <w:pPr>
        <w:spacing w:after="0" w:line="163" w:lineRule="exact"/>
        <w:rPr>
          <w:sz w:val="20"/>
          <w:szCs w:val="20"/>
          <w:color w:val="auto"/>
        </w:rPr>
      </w:pPr>
    </w:p>
    <w:p>
      <w:pPr>
        <w:ind w:left="3080" w:right="579"/>
        <w:spacing w:after="0" w:line="293" w:lineRule="auto"/>
        <w:rPr>
          <w:sz w:val="20"/>
          <w:szCs w:val="20"/>
          <w:color w:val="auto"/>
        </w:rPr>
      </w:pPr>
      <w:r>
        <w:rPr>
          <w:rFonts w:ascii="Arial" w:cs="Arial" w:eastAsia="Arial" w:hAnsi="Arial"/>
          <w:sz w:val="16"/>
          <w:szCs w:val="16"/>
          <w:color w:val="auto"/>
        </w:rPr>
        <w:t>The private placement warrants will be non-redeemable and exercisable on a cashless basis so long as they are held by the sponsor or its permitted transferees.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ectPr>
          <w:pgSz w:w="11900" w:h="16838" w:orient="portrait"/>
          <w:cols w:equalWidth="0" w:num="1">
            <w:col w:w="9019"/>
          </w:cols>
          <w:pgMar w:left="1440" w:top="274" w:right="1440" w:bottom="1440" w:gutter="0" w:footer="0" w:header="0"/>
          <w:type w:val="continuous"/>
        </w:sectPr>
      </w:pP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restrictions on private</w:t>
      </w:r>
    </w:p>
    <w:p>
      <w:pPr>
        <w:spacing w:after="0" w:line="27" w:lineRule="exact"/>
        <w:rPr>
          <w:sz w:val="20"/>
          <w:szCs w:val="20"/>
          <w:color w:val="auto"/>
        </w:rPr>
      </w:pPr>
    </w:p>
    <w:p>
      <w:pPr>
        <w:ind w:left="3080" w:right="659" w:hanging="2357"/>
        <w:spacing w:after="0" w:line="290" w:lineRule="auto"/>
        <w:tabs>
          <w:tab w:leader="none" w:pos="3060" w:val="left"/>
        </w:tabs>
        <w:rPr>
          <w:sz w:val="20"/>
          <w:szCs w:val="20"/>
          <w:color w:val="auto"/>
        </w:rPr>
      </w:pPr>
      <w:r>
        <w:rPr>
          <w:rFonts w:ascii="Arial" w:cs="Arial" w:eastAsia="Arial" w:hAnsi="Arial"/>
          <w:sz w:val="18"/>
          <w:szCs w:val="18"/>
          <w:b w:val="1"/>
          <w:bCs w:val="1"/>
          <w:color w:val="auto"/>
        </w:rPr>
        <w:t>placement warrants</w:t>
      </w:r>
      <w:r>
        <w:rPr>
          <w:sz w:val="20"/>
          <w:szCs w:val="20"/>
          <w:color w:val="auto"/>
        </w:rPr>
        <w:tab/>
      </w:r>
      <w:r>
        <w:rPr>
          <w:rFonts w:ascii="Arial" w:cs="Arial" w:eastAsia="Arial" w:hAnsi="Arial"/>
          <w:sz w:val="16"/>
          <w:szCs w:val="16"/>
          <w:color w:val="auto"/>
        </w:rPr>
        <w:t>The private placement warrants (including the Class A common stock issuable upon exercise of the private placement warrants) will not be transferable, assignable or salable until 30 days after the completion of our initial business combination (except as described under the section of this prospectus entitled “Principal Stockholders — Restrictions on Transfers of Founder Shares and Private Placement Warrants”).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0" w:name="page21"/>
    <w:bookmarkEnd w:id="20"/>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25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82523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86" w:lineRule="auto"/>
        <w:rPr>
          <w:sz w:val="20"/>
          <w:szCs w:val="20"/>
          <w:color w:val="auto"/>
        </w:rPr>
      </w:pPr>
      <w:r>
        <w:rPr>
          <w:rFonts w:ascii="Arial" w:cs="Arial" w:eastAsia="Arial" w:hAnsi="Arial"/>
          <w:sz w:val="15"/>
          <w:szCs w:val="15"/>
          <w:b w:val="1"/>
          <w:bCs w:val="1"/>
          <w:color w:val="auto"/>
        </w:rPr>
        <w:t>Cashless exercise of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20" w:hanging="179"/>
        <w:spacing w:after="0" w:line="282" w:lineRule="auto"/>
        <w:rPr>
          <w:sz w:val="20"/>
          <w:szCs w:val="20"/>
          <w:color w:val="auto"/>
        </w:rPr>
      </w:pPr>
      <w:r>
        <w:rPr>
          <w:rFonts w:ascii="Arial" w:cs="Arial" w:eastAsia="Arial" w:hAnsi="Arial"/>
          <w:sz w:val="18"/>
          <w:szCs w:val="18"/>
          <w:b w:val="1"/>
          <w:bCs w:val="1"/>
          <w:color w:val="auto"/>
        </w:rPr>
        <w:t>Proceeds to be held in trust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59"/>
        <w:spacing w:after="0" w:line="268" w:lineRule="auto"/>
        <w:rPr>
          <w:sz w:val="20"/>
          <w:szCs w:val="20"/>
          <w:color w:val="auto"/>
        </w:rPr>
      </w:pPr>
      <w:r>
        <w:rPr>
          <w:rFonts w:ascii="Arial" w:cs="Arial" w:eastAsia="Arial" w:hAnsi="Arial"/>
          <w:sz w:val="17"/>
          <w:szCs w:val="17"/>
          <w:color w:val="auto"/>
        </w:rPr>
        <w:t>If holders of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an initial business combination. If they remain affiliated with us, their ability to sell our securities in the open market will be significantly limited.</w:t>
      </w:r>
    </w:p>
    <w:p>
      <w:pPr>
        <w:spacing w:after="0" w:line="139" w:lineRule="exact"/>
        <w:rPr>
          <w:sz w:val="20"/>
          <w:szCs w:val="20"/>
          <w:color w:val="auto"/>
        </w:rPr>
      </w:pPr>
    </w:p>
    <w:p>
      <w:pPr>
        <w:ind w:right="559"/>
        <w:spacing w:after="0" w:line="289" w:lineRule="auto"/>
        <w:rPr>
          <w:sz w:val="20"/>
          <w:szCs w:val="20"/>
          <w:color w:val="auto"/>
        </w:rPr>
      </w:pPr>
      <w:r>
        <w:rPr>
          <w:rFonts w:ascii="Arial" w:cs="Arial" w:eastAsia="Arial" w:hAnsi="Arial"/>
          <w:sz w:val="16"/>
          <w:szCs w:val="16"/>
          <w:color w:val="auto"/>
        </w:rPr>
        <w:t>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Nasdaq rules provide that at least 90% of the gross proceeds from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offering and the sale of the private placement warrants be deposited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trust account. Of the net proceeds of this offering and the sale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private placement warrants, $175,000,000, or $10.00 per unit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($201,250,000, or $10.00 per unit, if the underwriters’ over-allotment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option is exercised in full) will be initially placed into a trust account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at J.P. Morgan Chase Bank, N.A., with Continental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 Transfer &amp; Trust Company acting as trustee. These proceeds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 $6,125,000 (or $7,043,750 if the underwriters’ over-allotment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option is exercised in full) in deferred underwriting commissions.</w:t>
      </w:r>
    </w:p>
    <w:p>
      <w:pPr>
        <w:spacing w:after="0" w:line="184" w:lineRule="exact"/>
        <w:rPr>
          <w:sz w:val="20"/>
          <w:szCs w:val="20"/>
          <w:color w:val="auto"/>
        </w:rPr>
      </w:pPr>
    </w:p>
    <w:p>
      <w:pPr>
        <w:ind w:right="559"/>
        <w:spacing w:after="0" w:line="267" w:lineRule="auto"/>
        <w:rPr>
          <w:sz w:val="20"/>
          <w:szCs w:val="20"/>
          <w:color w:val="auto"/>
        </w:rPr>
      </w:pPr>
      <w:r>
        <w:rPr>
          <w:rFonts w:ascii="Arial" w:cs="Arial" w:eastAsia="Arial" w:hAnsi="Arial"/>
          <w:sz w:val="17"/>
          <w:szCs w:val="17"/>
          <w:color w:val="auto"/>
        </w:rPr>
        <w:t>Except with respect to interest earned on the funds held in the trust account that may be released to us to pay our tax obligations (less up to $100,000 interest to pay dissolution expenses), the proceeds from this offering and the sale of the private placement warrants will not be released from the trust account until the earliest of (a) the completion of our initial business combination, (b) the redemption of any public shares properly submitted in connection with a stockholder vote to amend our amended and restated certificate of incorporation (i) to modify the substance or timing of our obligation to redeem 100% of our public shares if we do not complete our initial business combination within 24 months from the closing of this offering or (ii) with respect to any other provision relating to stockholders’ rights or pre-business combination activity, and (c) the redemption of our public shares if we are unable to complete our initial business combination within 24 months from the closing of this offering, subject to applicable law. Stockholders who do not exercise their redemption rights in connection with an amendment to our certificate of incorporation would still be able to exercise their redemption rights in connection with a subsequent business combination. The proceeds deposited in the trust account could become subject to the claims of our creditors, if any, which could have priority over the claims of our public stockholders.</w:t>
      </w:r>
    </w:p>
    <w:p>
      <w:pPr>
        <w:spacing w:after="0" w:line="200" w:lineRule="exact"/>
        <w:rPr>
          <w:sz w:val="20"/>
          <w:szCs w:val="20"/>
          <w:color w:val="auto"/>
        </w:rPr>
      </w:pPr>
    </w:p>
    <w:p>
      <w:pPr>
        <w:sectPr>
          <w:pgSz w:w="11900" w:h="16838" w:orient="portrait"/>
          <w:cols w:equalWidth="0" w:num="2">
            <w:col w:w="2640" w:space="440"/>
            <w:col w:w="5939"/>
          </w:cols>
          <w:pgMar w:left="1440" w:top="274" w:right="1440"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1" w:name="page22"/>
    <w:bookmarkEnd w:id="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7470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7470775"/>
                    </a:xfrm>
                    <a:prstGeom prst="rect">
                      <a:avLst/>
                    </a:prstGeom>
                    <a:noFill/>
                  </pic:spPr>
                </pic:pic>
              </a:graphicData>
            </a:graphic>
          </wp:anchor>
        </w:drawing>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Anticipated expenses and</w:t>
      </w:r>
    </w:p>
    <w:p>
      <w:pPr>
        <w:spacing w:after="0" w:line="27" w:lineRule="exact"/>
        <w:rPr>
          <w:sz w:val="20"/>
          <w:szCs w:val="20"/>
          <w:color w:val="auto"/>
        </w:rPr>
      </w:pPr>
    </w:p>
    <w:p>
      <w:pPr>
        <w:ind w:left="3080" w:right="579" w:hanging="2357"/>
        <w:spacing w:after="0" w:line="266" w:lineRule="auto"/>
        <w:tabs>
          <w:tab w:leader="none" w:pos="3060" w:val="left"/>
        </w:tabs>
        <w:rPr>
          <w:sz w:val="20"/>
          <w:szCs w:val="20"/>
          <w:color w:val="auto"/>
        </w:rPr>
      </w:pPr>
      <w:r>
        <w:rPr>
          <w:rFonts w:ascii="Arial" w:cs="Arial" w:eastAsia="Arial" w:hAnsi="Arial"/>
          <w:sz w:val="18"/>
          <w:szCs w:val="18"/>
          <w:b w:val="1"/>
          <w:bCs w:val="1"/>
          <w:color w:val="auto"/>
        </w:rPr>
        <w:t>funding sources</w:t>
      </w:r>
      <w:r>
        <w:rPr>
          <w:sz w:val="20"/>
          <w:szCs w:val="20"/>
          <w:color w:val="auto"/>
        </w:rPr>
        <w:tab/>
      </w:r>
      <w:r>
        <w:rPr>
          <w:rFonts w:ascii="Arial" w:cs="Arial" w:eastAsia="Arial" w:hAnsi="Arial"/>
          <w:sz w:val="17"/>
          <w:szCs w:val="17"/>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$175,000 of interest annually assuming an interest rate of 0.1% per year; however, we can provide no assurances regarding this amount. Unless and until we complete our initial business combination, we may pay our expenses only from:</w:t>
      </w:r>
    </w:p>
    <w:p>
      <w:pPr>
        <w:spacing w:after="0" w:line="151" w:lineRule="exact"/>
        <w:rPr>
          <w:sz w:val="20"/>
          <w:szCs w:val="20"/>
          <w:color w:val="auto"/>
        </w:rPr>
      </w:pPr>
    </w:p>
    <w:p>
      <w:pPr>
        <w:ind w:left="3520" w:right="639" w:hanging="222"/>
        <w:spacing w:after="0" w:line="288" w:lineRule="auto"/>
        <w:tabs>
          <w:tab w:leader="none" w:pos="35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net proceeds of this offering and the sale of the private placement warrants not held in the trust account, which will be approximately $1,800,000 in working capital after the payment of approximately $950,000 in expenses relating to this offering; and 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an initial business combination.</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completing our</w:t>
      </w:r>
    </w:p>
    <w:p>
      <w:pPr>
        <w:spacing w:after="0" w:line="27" w:lineRule="exact"/>
        <w:rPr>
          <w:sz w:val="20"/>
          <w:szCs w:val="20"/>
          <w:color w:val="auto"/>
        </w:rPr>
      </w:pPr>
    </w:p>
    <w:p>
      <w:pPr>
        <w:ind w:left="3080" w:right="599" w:hanging="2357"/>
        <w:spacing w:after="0" w:line="283" w:lineRule="auto"/>
        <w:tabs>
          <w:tab w:leader="none" w:pos="3060" w:val="left"/>
        </w:tabs>
        <w:rPr>
          <w:sz w:val="20"/>
          <w:szCs w:val="20"/>
          <w:color w:val="auto"/>
        </w:rPr>
      </w:pPr>
      <w:r>
        <w:rPr>
          <w:rFonts w:ascii="Arial" w:cs="Arial" w:eastAsia="Arial" w:hAnsi="Arial"/>
          <w:sz w:val="18"/>
          <w:szCs w:val="18"/>
          <w:b w:val="1"/>
          <w:bCs w:val="1"/>
          <w:color w:val="auto"/>
        </w:rPr>
        <w:t>initial business combination</w:t>
      </w:r>
      <w:r>
        <w:rPr>
          <w:sz w:val="20"/>
          <w:szCs w:val="20"/>
          <w:color w:val="auto"/>
        </w:rPr>
        <w:tab/>
      </w: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There is no limitation on our ability to raise funds privately or through loans in connection with our initial business combination. Additionally, pursuant to Nasdaq rules, any initial business combination must be approved by a majority of our independent directors.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59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85952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720" w:hanging="179"/>
        <w:spacing w:after="0" w:line="289" w:lineRule="auto"/>
        <w:rPr>
          <w:sz w:val="20"/>
          <w:szCs w:val="20"/>
          <w:color w:val="auto"/>
        </w:rPr>
      </w:pPr>
      <w:r>
        <w:rPr>
          <w:rFonts w:ascii="Arial" w:cs="Arial" w:eastAsia="Arial" w:hAnsi="Arial"/>
          <w:sz w:val="17"/>
          <w:szCs w:val="17"/>
          <w:b w:val="1"/>
          <w:bCs w:val="1"/>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559"/>
        <w:spacing w:after="0" w:line="266"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200" w:lineRule="exact"/>
        <w:rPr>
          <w:sz w:val="20"/>
          <w:szCs w:val="20"/>
          <w:color w:val="auto"/>
        </w:rPr>
      </w:pPr>
    </w:p>
    <w:p>
      <w:pPr>
        <w:spacing w:after="0" w:line="386" w:lineRule="exact"/>
        <w:rPr>
          <w:sz w:val="20"/>
          <w:szCs w:val="20"/>
          <w:color w:val="auto"/>
        </w:rPr>
      </w:pPr>
    </w:p>
    <w:p>
      <w:pPr>
        <w:ind w:right="559"/>
        <w:spacing w:after="0" w:line="284"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w:t>
      </w:r>
    </w:p>
    <w:p>
      <w:pPr>
        <w:spacing w:after="0" w:line="200" w:lineRule="exact"/>
        <w:rPr>
          <w:sz w:val="20"/>
          <w:szCs w:val="20"/>
          <w:color w:val="auto"/>
        </w:rPr>
      </w:pPr>
    </w:p>
    <w:p>
      <w:pPr>
        <w:sectPr>
          <w:pgSz w:w="11900" w:h="16838" w:orient="portrait"/>
          <w:cols w:equalWidth="0" w:num="2">
            <w:col w:w="2840" w:space="240"/>
            <w:col w:w="5939"/>
          </w:cols>
          <w:pgMar w:left="1440" w:top="274"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3" w:name="page24"/>
    <w:bookmarkEnd w:id="2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276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2765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20" w:hanging="179"/>
        <w:spacing w:after="0" w:line="303" w:lineRule="auto"/>
        <w:rPr>
          <w:sz w:val="20"/>
          <w:szCs w:val="20"/>
          <w:color w:val="auto"/>
        </w:rPr>
      </w:pPr>
      <w:r>
        <w:rPr>
          <w:rFonts w:ascii="Arial" w:cs="Arial" w:eastAsia="Arial" w:hAnsi="Arial"/>
          <w:sz w:val="16"/>
          <w:szCs w:val="16"/>
          <w:b w:val="1"/>
          <w:bCs w:val="1"/>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819"/>
        <w:spacing w:after="0" w:line="296" w:lineRule="auto"/>
        <w:rPr>
          <w:sz w:val="20"/>
          <w:szCs w:val="20"/>
          <w:color w:val="auto"/>
        </w:rPr>
      </w:pPr>
      <w:r>
        <w:rPr>
          <w:rFonts w:ascii="Arial" w:cs="Arial" w:eastAsia="Arial" w:hAnsi="Arial"/>
          <w:sz w:val="16"/>
          <w:szCs w:val="16"/>
          <w:color w:val="auto"/>
        </w:rPr>
        <w:t>warrants in such transactions prior to completion of our initial business combination. See “Proposed Business — Permitted purchases of our securities” for a description of how our sponsor, initial stockholders, directors, officers, advisors or any of their affiliates will select which stockholders to purchase securities from in any private transaction.</w:t>
      </w:r>
    </w:p>
    <w:p>
      <w:pPr>
        <w:spacing w:after="0" w:line="121" w:lineRule="exact"/>
        <w:rPr>
          <w:sz w:val="20"/>
          <w:szCs w:val="20"/>
          <w:color w:val="auto"/>
        </w:rPr>
      </w:pPr>
    </w:p>
    <w:p>
      <w:pPr>
        <w:ind w:right="599"/>
        <w:spacing w:after="0" w:line="285"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619"/>
        <w:spacing w:after="0" w:line="267" w:lineRule="auto"/>
        <w:rPr>
          <w:sz w:val="20"/>
          <w:szCs w:val="20"/>
          <w:color w:val="auto"/>
        </w:rPr>
      </w:pPr>
      <w:r>
        <w:rPr>
          <w:rFonts w:ascii="Arial" w:cs="Arial" w:eastAsia="Arial" w:hAnsi="Arial"/>
          <w:sz w:val="17"/>
          <w:szCs w:val="17"/>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per-share amount we will distribute to investors who properly redeem their shares will not be reduced by the deferred underwriting commissions we will pay to Cantor. There will be no redemption rights upon the completion of our initial business combination with respect to our warrants. Our sponsor, officers and directors have entered into a letter agreement with us, pursuant to which they have agreed to waive their redemption rights with respect to any founder shares held by them and any public shares they may acquire during or after this offering in connection with the completion of our initial business combination or otherwise.</w:t>
      </w:r>
    </w:p>
    <w:p>
      <w:pPr>
        <w:spacing w:after="0" w:line="161" w:lineRule="exact"/>
        <w:rPr>
          <w:sz w:val="20"/>
          <w:szCs w:val="20"/>
          <w:color w:val="auto"/>
        </w:rPr>
      </w:pPr>
    </w:p>
    <w:p>
      <w:pPr>
        <w:ind w:right="619"/>
        <w:spacing w:after="0" w:line="288"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a date set forth in the proxy materials mailed to such holders or to deliver their shares to the transfer agent electronically using the Depository Trust Company’s DWAC (Deposit/Withdrawal At Custodian)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w:t>
      </w:r>
    </w:p>
    <w:p>
      <w:pPr>
        <w:spacing w:after="0" w:line="200" w:lineRule="exact"/>
        <w:rPr>
          <w:sz w:val="20"/>
          <w:szCs w:val="20"/>
          <w:color w:val="auto"/>
        </w:rPr>
      </w:pPr>
    </w:p>
    <w:p>
      <w:pPr>
        <w:sectPr>
          <w:pgSz w:w="11900" w:h="16838" w:orient="portrait"/>
          <w:cols w:equalWidth="0" w:num="2">
            <w:col w:w="2780" w:space="300"/>
            <w:col w:w="5939"/>
          </w:cols>
          <w:pgMar w:left="1440" w:top="274" w:right="1440"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4" w:name="page25"/>
    <w:bookmarkEnd w:id="24"/>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893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89381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Manner of conducting</w:t>
      </w:r>
    </w:p>
    <w:p>
      <w:pPr>
        <w:spacing w:after="0" w:line="27" w:lineRule="exact"/>
        <w:rPr>
          <w:sz w:val="20"/>
          <w:szCs w:val="20"/>
          <w:color w:val="auto"/>
        </w:rPr>
      </w:pPr>
    </w:p>
    <w:p>
      <w:pPr>
        <w:ind w:left="3080" w:right="699" w:hanging="2359"/>
        <w:spacing w:after="0" w:line="253" w:lineRule="auto"/>
        <w:tabs>
          <w:tab w:leader="none" w:pos="3060" w:val="left"/>
        </w:tabs>
        <w:rPr>
          <w:sz w:val="20"/>
          <w:szCs w:val="20"/>
          <w:color w:val="auto"/>
        </w:rPr>
      </w:pPr>
      <w:r>
        <w:rPr>
          <w:rFonts w:ascii="Arial" w:cs="Arial" w:eastAsia="Arial" w:hAnsi="Arial"/>
          <w:sz w:val="18"/>
          <w:szCs w:val="18"/>
          <w:b w:val="1"/>
          <w:bCs w:val="1"/>
          <w:color w:val="auto"/>
        </w:rPr>
        <w:t>redemptions</w:t>
      </w:r>
      <w:r>
        <w:rPr>
          <w:sz w:val="20"/>
          <w:szCs w:val="20"/>
          <w:color w:val="auto"/>
        </w:rPr>
        <w:tab/>
      </w: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by means of a tender offer.</w:t>
      </w:r>
    </w:p>
    <w:p>
      <w:pPr>
        <w:spacing w:after="0" w:line="150" w:lineRule="exact"/>
        <w:rPr>
          <w:sz w:val="20"/>
          <w:szCs w:val="20"/>
          <w:color w:val="auto"/>
        </w:rPr>
      </w:pPr>
    </w:p>
    <w:p>
      <w:pPr>
        <w:ind w:left="3080" w:right="559"/>
        <w:spacing w:after="0" w:line="267" w:lineRule="auto"/>
        <w:rPr>
          <w:sz w:val="20"/>
          <w:szCs w:val="20"/>
          <w:color w:val="auto"/>
        </w:rPr>
      </w:pPr>
      <w:r>
        <w:rPr>
          <w:rFonts w:ascii="Arial" w:cs="Arial" w:eastAsia="Arial" w:hAnsi="Arial"/>
          <w:sz w:val="17"/>
          <w:szCs w:val="17"/>
          <w:color w:val="auto"/>
        </w:rPr>
        <w:t>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requirements.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64" w:lineRule="exact"/>
        <w:rPr>
          <w:sz w:val="20"/>
          <w:szCs w:val="20"/>
          <w:color w:val="auto"/>
        </w:rPr>
      </w:pPr>
    </w:p>
    <w:p>
      <w:pPr>
        <w:ind w:left="3080" w:right="719"/>
        <w:spacing w:after="0" w:line="286"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legal reasons, we will, pursuant to our amended and restated certificate of incorporation:</w:t>
      </w:r>
    </w:p>
    <w:p>
      <w:pPr>
        <w:spacing w:after="0" w:line="138" w:lineRule="exact"/>
        <w:rPr>
          <w:sz w:val="20"/>
          <w:szCs w:val="20"/>
          <w:color w:val="auto"/>
        </w:rPr>
      </w:pPr>
    </w:p>
    <w:p>
      <w:pPr>
        <w:ind w:left="3520" w:right="599" w:hanging="222"/>
        <w:spacing w:after="0" w:line="342" w:lineRule="auto"/>
        <w:tabs>
          <w:tab w:leader="none" w:pos="350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conduct the redemptions pursuant to Rule 13e-4 and Regulation 14E of the Exchange Act, which regulate issuer tender offers, and</w:t>
      </w:r>
    </w:p>
    <w:p>
      <w:pPr>
        <w:spacing w:after="0" w:line="96" w:lineRule="exact"/>
        <w:rPr>
          <w:rFonts w:ascii="Arial" w:cs="Arial" w:eastAsia="Arial" w:hAnsi="Arial"/>
          <w:sz w:val="16"/>
          <w:szCs w:val="16"/>
          <w:color w:val="auto"/>
        </w:rPr>
      </w:pPr>
    </w:p>
    <w:p>
      <w:pPr>
        <w:ind w:left="3520" w:right="799" w:hanging="222"/>
        <w:spacing w:after="0" w:line="255" w:lineRule="auto"/>
        <w:tabs>
          <w:tab w:leader="none" w:pos="35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65" w:lineRule="exact"/>
        <w:rPr>
          <w:sz w:val="20"/>
          <w:szCs w:val="20"/>
          <w:color w:val="auto"/>
        </w:rPr>
      </w:pPr>
    </w:p>
    <w:p>
      <w:pPr>
        <w:ind w:left="3080" w:right="799"/>
        <w:spacing w:after="0" w:line="277" w:lineRule="auto"/>
        <w:rPr>
          <w:sz w:val="20"/>
          <w:szCs w:val="20"/>
          <w:color w:val="auto"/>
        </w:rPr>
      </w:pPr>
      <w:r>
        <w:rPr>
          <w:rFonts w:ascii="Arial" w:cs="Arial" w:eastAsia="Arial" w:hAnsi="Arial"/>
          <w:sz w:val="18"/>
          <w:szCs w:val="18"/>
          <w:color w:val="auto"/>
        </w:rPr>
        <w:t>Such provisions may be amended if approved by holders of 65% of our common stock entitled to vote thereon.</w:t>
      </w:r>
    </w:p>
    <w:p>
      <w:pPr>
        <w:spacing w:after="0" w:line="143" w:lineRule="exact"/>
        <w:rPr>
          <w:sz w:val="20"/>
          <w:szCs w:val="20"/>
          <w:color w:val="auto"/>
        </w:rPr>
      </w:pPr>
    </w:p>
    <w:p>
      <w:pPr>
        <w:ind w:left="3080" w:right="559"/>
        <w:spacing w:after="0" w:line="284" w:lineRule="auto"/>
        <w:rPr>
          <w:sz w:val="20"/>
          <w:szCs w:val="20"/>
          <w:color w:val="auto"/>
        </w:rPr>
      </w:pPr>
      <w:r>
        <w:rPr>
          <w:rFonts w:ascii="Arial" w:cs="Arial" w:eastAsia="Arial" w:hAnsi="Arial"/>
          <w:sz w:val="16"/>
          <w:szCs w:val="16"/>
          <w:color w:val="auto"/>
        </w:rPr>
        <w:t>Whether or not we maintain our registration under the Exchange Act or our listing on Nasdaq, we will provide our public stockholders with the opportunity to redeem their public shares by one of the two methods listed above. Upon the public announcement of our initial business combination, if we elect to conduct redemptions pursuant to the tender offer rules, we or our sponsor will terminate any plan established in accordance with</w:t>
      </w:r>
    </w:p>
    <w:p>
      <w:pPr>
        <w:spacing w:after="0" w:line="4" w:lineRule="exact"/>
        <w:rPr>
          <w:sz w:val="20"/>
          <w:szCs w:val="20"/>
          <w:color w:val="auto"/>
        </w:rPr>
      </w:pPr>
    </w:p>
    <w:p>
      <w:pPr>
        <w:ind w:left="3080" w:right="659"/>
        <w:spacing w:after="0" w:line="323" w:lineRule="auto"/>
        <w:rPr>
          <w:sz w:val="20"/>
          <w:szCs w:val="20"/>
          <w:color w:val="auto"/>
        </w:rPr>
      </w:pPr>
      <w:r>
        <w:rPr>
          <w:rFonts w:ascii="Arial" w:cs="Arial" w:eastAsia="Arial" w:hAnsi="Arial"/>
          <w:sz w:val="16"/>
          <w:szCs w:val="16"/>
          <w:color w:val="auto"/>
        </w:rPr>
        <w:t>Rule 10b5-1 to purchase shares of our Class A common stock in the open market, in order to comply with Rule 14e-5 under the Exchange Act.</w:t>
      </w:r>
    </w:p>
    <w:p>
      <w:pPr>
        <w:spacing w:after="0" w:line="111" w:lineRule="exact"/>
        <w:rPr>
          <w:sz w:val="20"/>
          <w:szCs w:val="20"/>
          <w:color w:val="auto"/>
        </w:rPr>
      </w:pPr>
    </w:p>
    <w:p>
      <w:pPr>
        <w:ind w:left="3080" w:right="679"/>
        <w:spacing w:after="0" w:line="287"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will only redeem our public shares so long as (after such redemption) our net tangible assets will be at least $5,000,001 either immediately prior to or upon consummation of our initial business combination and after payment of underwriters’ fees and</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5" w:name="page26"/>
    <w:bookmarkEnd w:id="25"/>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202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920242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sectPr>
      </w:pPr>
    </w:p>
    <w:p>
      <w:pPr>
        <w:spacing w:after="0" w:line="200" w:lineRule="exact"/>
        <w:rPr>
          <w:sz w:val="20"/>
          <w:szCs w:val="20"/>
          <w:color w:val="auto"/>
        </w:rPr>
      </w:pPr>
    </w:p>
    <w:p>
      <w:pPr>
        <w:spacing w:after="0" w:line="210" w:lineRule="exact"/>
        <w:rPr>
          <w:sz w:val="20"/>
          <w:szCs w:val="20"/>
          <w:color w:val="auto"/>
        </w:rPr>
      </w:pPr>
    </w:p>
    <w:p>
      <w:pPr>
        <w:ind w:left="3080" w:right="599"/>
        <w:spacing w:after="0" w:line="255" w:lineRule="auto"/>
        <w:rPr>
          <w:sz w:val="20"/>
          <w:szCs w:val="20"/>
          <w:color w:val="auto"/>
        </w:rPr>
      </w:pPr>
      <w:r>
        <w:rPr>
          <w:rFonts w:ascii="Arial" w:cs="Arial" w:eastAsia="Arial" w:hAnsi="Arial"/>
          <w:sz w:val="18"/>
          <w:szCs w:val="18"/>
          <w:color w:val="auto"/>
        </w:rPr>
        <w:t>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52" w:lineRule="exact"/>
        <w:rPr>
          <w:sz w:val="20"/>
          <w:szCs w:val="20"/>
          <w:color w:val="auto"/>
        </w:rPr>
      </w:pPr>
    </w:p>
    <w:p>
      <w:pPr>
        <w:ind w:left="3080" w:right="679"/>
        <w:spacing w:after="0" w:line="263" w:lineRule="auto"/>
        <w:rPr>
          <w:sz w:val="20"/>
          <w:szCs w:val="20"/>
          <w:color w:val="auto"/>
        </w:rPr>
      </w:pPr>
      <w:r>
        <w:rPr>
          <w:rFonts w:ascii="Arial" w:cs="Arial" w:eastAsia="Arial" w:hAnsi="Arial"/>
          <w:sz w:val="18"/>
          <w:szCs w:val="18"/>
          <w:color w:val="auto"/>
        </w:rPr>
        <w:t>If, however, stockholder approval of the transaction is required by law or stock exchange listing requirements, or we decide to obtain stockholder approval for business or other legal reasons, we will:</w:t>
      </w:r>
    </w:p>
    <w:p>
      <w:pPr>
        <w:spacing w:after="0" w:line="157" w:lineRule="exact"/>
        <w:rPr>
          <w:sz w:val="20"/>
          <w:szCs w:val="20"/>
          <w:color w:val="auto"/>
        </w:rPr>
      </w:pPr>
    </w:p>
    <w:p>
      <w:pPr>
        <w:ind w:left="3520" w:right="599" w:hanging="222"/>
        <w:spacing w:after="0" w:line="259" w:lineRule="auto"/>
        <w:tabs>
          <w:tab w:leader="none" w:pos="35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59" w:lineRule="exact"/>
        <w:rPr>
          <w:rFonts w:ascii="Arial" w:cs="Arial" w:eastAsia="Arial" w:hAnsi="Arial"/>
          <w:sz w:val="18"/>
          <w:szCs w:val="18"/>
          <w:color w:val="auto"/>
        </w:rPr>
      </w:pPr>
    </w:p>
    <w:p>
      <w:pPr>
        <w:ind w:left="3500" w:hanging="202"/>
        <w:spacing w:after="0"/>
        <w:tabs>
          <w:tab w:leader="none" w:pos="3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98" w:lineRule="exact"/>
        <w:rPr>
          <w:sz w:val="20"/>
          <w:szCs w:val="20"/>
          <w:color w:val="auto"/>
        </w:rPr>
      </w:pPr>
    </w:p>
    <w:p>
      <w:pPr>
        <w:ind w:left="3080" w:right="559"/>
        <w:spacing w:after="0" w:line="283"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6,562,501, or 37.5%, of the 17,500,000 public shares sold in this offering to be voted in favor of an initial business combination (assuming all outstanding shares are voted; or 1,093,752, or 6.25%, assuming only the minimum number of shares representing a quorum are voted and assuming) in order to have our initial business combination approved (in each case assuming all outstanding shares are voted and our sponsor, officers and directors do not purchase any shares in or after this offering and that the over-allotment option is not exercised).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377" w:lineRule="exact"/>
        <w:rPr>
          <w:sz w:val="20"/>
          <w:szCs w:val="20"/>
          <w:color w:val="auto"/>
        </w:rPr>
      </w:pPr>
    </w:p>
    <w:p>
      <w:pPr>
        <w:ind w:left="3080" w:right="559"/>
        <w:spacing w:after="0" w:line="286"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delivered, or shares tendered electronically, by public stockholders who elected to redeem their shares.</w:t>
      </w:r>
    </w:p>
    <w:p>
      <w:pPr>
        <w:sectPr>
          <w:pgSz w:w="11900" w:h="16838" w:orient="portrait"/>
          <w:cols w:equalWidth="0" w:num="1">
            <w:col w:w="9019"/>
          </w:cols>
          <w:pgMar w:left="1440" w:top="274" w:right="1440" w:bottom="939"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939" w:gutter="0" w:footer="0" w:header="0"/>
          <w:type w:val="continuous"/>
        </w:sectPr>
      </w:pPr>
    </w:p>
    <w:bookmarkStart w:id="26" w:name="page27"/>
    <w:bookmarkEnd w:id="26"/>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7899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789940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20" w:hanging="179"/>
        <w:spacing w:after="0" w:line="298" w:lineRule="auto"/>
        <w:rPr>
          <w:sz w:val="20"/>
          <w:szCs w:val="20"/>
          <w:color w:val="auto"/>
        </w:rPr>
      </w:pPr>
      <w:r>
        <w:rPr>
          <w:rFonts w:ascii="Arial" w:cs="Arial" w:eastAsia="Arial" w:hAnsi="Arial"/>
          <w:sz w:val="16"/>
          <w:szCs w:val="16"/>
          <w:b w:val="1"/>
          <w:bCs w:val="1"/>
          <w:color w:val="auto"/>
        </w:rPr>
        <w:t>Limitation on redemption rights of stockholders holding 15% or more of the shares sold in this offering if we hold stockholder vote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Our amended and restated certificate of incorporation will provide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79"/>
        <w:spacing w:after="0" w:line="283" w:lineRule="auto"/>
        <w:rPr>
          <w:sz w:val="20"/>
          <w:szCs w:val="20"/>
          <w:color w:val="auto"/>
        </w:rPr>
      </w:pPr>
      <w:r>
        <w:rPr>
          <w:rFonts w:ascii="Arial" w:cs="Arial" w:eastAsia="Arial" w:hAnsi="Arial"/>
          <w:sz w:val="16"/>
          <w:szCs w:val="16"/>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against an initial business combination if such holder’s shares are not purchased by us or our management at a premium to the then-current market price or on other undesirable terms. By limiting our stockholders’ ability to redeem to no more than 15% of the shares sold in this offering,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15% of the shares sold in this offering) for or against our initial business combination.</w:t>
      </w:r>
    </w:p>
    <w:p>
      <w:pPr>
        <w:spacing w:after="0" w:line="200" w:lineRule="exact"/>
        <w:rPr>
          <w:sz w:val="20"/>
          <w:szCs w:val="20"/>
          <w:color w:val="auto"/>
        </w:rPr>
      </w:pPr>
    </w:p>
    <w:p>
      <w:pPr>
        <w:sectPr>
          <w:pgSz w:w="11900" w:h="16838" w:orient="portrait"/>
          <w:cols w:equalWidth="0" w:num="2">
            <w:col w:w="2900" w:space="180"/>
            <w:col w:w="5939"/>
          </w:cols>
          <w:pgMar w:left="1440" w:top="274" w:right="1440"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7" w:name="page28"/>
    <w:bookmarkEnd w:id="27"/>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66821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668210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03" w:lineRule="auto"/>
        <w:rPr>
          <w:sz w:val="20"/>
          <w:szCs w:val="20"/>
          <w:color w:val="auto"/>
        </w:rPr>
      </w:pPr>
      <w:r>
        <w:rPr>
          <w:rFonts w:ascii="Arial" w:cs="Arial" w:eastAsia="Arial" w:hAnsi="Arial"/>
          <w:sz w:val="16"/>
          <w:szCs w:val="16"/>
          <w:b w:val="1"/>
          <w:bCs w:val="1"/>
          <w:color w:val="auto"/>
        </w:rPr>
        <w:t>Redemption rights in connection with proposed amendments to our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559"/>
        <w:spacing w:after="0" w:line="283" w:lineRule="auto"/>
        <w:rPr>
          <w:sz w:val="20"/>
          <w:szCs w:val="20"/>
          <w:color w:val="auto"/>
        </w:rPr>
      </w:pPr>
      <w:r>
        <w:rPr>
          <w:rFonts w:ascii="Arial" w:cs="Arial" w:eastAsia="Arial" w:hAnsi="Arial"/>
          <w:sz w:val="16"/>
          <w:szCs w:val="16"/>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Delaware General Corporation Law, or DGCL, or applicable stock exchange rules. Under our amended and restated certificate of incorporation, we may not issue additional securities that can vote on amendments to our amended and restated certificate of incorporation or on our initial business combination or that would entitle holders thereof to receive funds from the trust account. Our initial stockholders, who will collectively beneficially own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Our sponsor, executive officers, and directors have agreed, pursuant to a written agreement with us, that they will not propose any amendment to our amended and restated certificate of incorporation (i) to modify the substance or timing of our obligation to offer redemption rights in connection with any initial business combination or certain amendments to our charter prior thereto or to redeem 100% of our public shares if we do not complete our initial business combination within 24 months from the closing of this offering or (ii) with respect to any other provision relating to stockholders’ rights or pre-business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(which interest shall be net of taxes payable) divided by the number of then outstanding public shares.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200" w:lineRule="exact"/>
        <w:rPr>
          <w:sz w:val="20"/>
          <w:szCs w:val="20"/>
          <w:color w:val="auto"/>
        </w:rPr>
      </w:pPr>
    </w:p>
    <w:p>
      <w:pPr>
        <w:sectPr>
          <w:pgSz w:w="11900" w:h="16838" w:orient="portrait"/>
          <w:cols w:equalWidth="0" w:num="2">
            <w:col w:w="2800" w:space="280"/>
            <w:col w:w="5939"/>
          </w:cols>
          <w:pgMar w:left="1440" w:top="274" w:right="1440"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8" w:name="page29"/>
    <w:bookmarkEnd w:id="28"/>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8688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868807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43" w:lineRule="auto"/>
        <w:rPr>
          <w:sz w:val="20"/>
          <w:szCs w:val="20"/>
          <w:color w:val="auto"/>
        </w:rPr>
      </w:pPr>
      <w:r>
        <w:rPr>
          <w:rFonts w:ascii="Arial" w:cs="Arial" w:eastAsia="Arial" w:hAnsi="Arial"/>
          <w:sz w:val="15"/>
          <w:szCs w:val="15"/>
          <w:b w:val="1"/>
          <w:bCs w:val="1"/>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20" w:right="120" w:hanging="179"/>
        <w:spacing w:after="0" w:line="303"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79"/>
        <w:spacing w:after="0" w:line="285"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We will use the remaining funds to pay Cantor the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53" w:lineRule="exact"/>
        <w:rPr>
          <w:sz w:val="20"/>
          <w:szCs w:val="20"/>
          <w:color w:val="auto"/>
        </w:rPr>
      </w:pPr>
    </w:p>
    <w:p>
      <w:pPr>
        <w:ind w:right="639"/>
        <w:spacing w:after="0" w:line="289"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39" w:lineRule="exact"/>
        <w:rPr>
          <w:sz w:val="20"/>
          <w:szCs w:val="20"/>
          <w:color w:val="auto"/>
        </w:rPr>
      </w:pPr>
    </w:p>
    <w:p>
      <w:pPr>
        <w:ind w:right="559"/>
        <w:spacing w:after="0" w:line="296" w:lineRule="auto"/>
        <w:rPr>
          <w:sz w:val="20"/>
          <w:szCs w:val="20"/>
          <w:color w:val="auto"/>
        </w:rPr>
      </w:pPr>
      <w:r>
        <w:rPr>
          <w:rFonts w:ascii="Arial" w:cs="Arial" w:eastAsia="Arial" w:hAnsi="Arial"/>
          <w:sz w:val="16"/>
          <w:szCs w:val="16"/>
          <w:color w:val="auto"/>
        </w:rPr>
        <w:t>Cantor has agreed to waive its rights to its deferred underwriting commission held in the trust account in the event we do not complete our initial business combination and subsequently liquidate and, in such event, such amounts will be included with the funds held in the trust account that will be available to fund the redemption of our public shares.</w:t>
      </w:r>
    </w:p>
    <w:p>
      <w:pPr>
        <w:spacing w:after="0" w:line="200" w:lineRule="exact"/>
        <w:rPr>
          <w:sz w:val="20"/>
          <w:szCs w:val="20"/>
          <w:color w:val="auto"/>
        </w:rPr>
      </w:pPr>
    </w:p>
    <w:p>
      <w:pPr>
        <w:sectPr>
          <w:pgSz w:w="11900" w:h="16838" w:orient="portrait"/>
          <w:cols w:equalWidth="0" w:num="2">
            <w:col w:w="2860" w:space="220"/>
            <w:col w:w="5939"/>
          </w:cols>
          <w:pgMar w:left="1440" w:top="274"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29" w:name="page30"/>
    <w:bookmarkEnd w:id="29"/>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27305</wp:posOffset>
            </wp:positionV>
            <wp:extent cx="5147310" cy="9305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93052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6"/>
          <w:szCs w:val="16"/>
          <w:color w:val="auto"/>
        </w:rPr>
        <w:t>There will be no finder’s fees, reimbursement, consulting fee, non-cash</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payments, monies in respect of any payment of a loan or other</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compensation paid by us to our sponsor, officers or directors, or any</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affiliate of our sponsor or officers prior to, or in connection with any</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services rendered in order to effectuate, the consummation of our initial</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business combination (regardless of the type of transaction that it is).</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However, the following payments will be made to our sponsor, officers or</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7"/>
          <w:szCs w:val="17"/>
          <w:color w:val="auto"/>
        </w:rPr>
        <w:t>directors, or our or their affiliates, none of which will be made from the</w:t>
      </w:r>
    </w:p>
    <w:p>
      <w:pPr>
        <w:spacing w:after="0" w:line="21"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proceeds of this offering held in the trust account prior to the completion</w:t>
      </w:r>
    </w:p>
    <w:p>
      <w:pPr>
        <w:spacing w:after="0" w:line="3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of our initial business combination:</w:t>
      </w:r>
    </w:p>
    <w:p>
      <w:pPr>
        <w:spacing w:after="0" w:line="170"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  Repayment of up to an aggregate of $300,000 in loans made to us by</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our sponsor to cover offering-related and organizational expenses;</w:t>
      </w:r>
    </w:p>
    <w:p>
      <w:pPr>
        <w:spacing w:after="0" w:line="207" w:lineRule="exact"/>
        <w:rPr>
          <w:sz w:val="20"/>
          <w:szCs w:val="20"/>
          <w:color w:val="auto"/>
        </w:rPr>
      </w:pPr>
    </w:p>
    <w:p>
      <w:pPr>
        <w:jc w:val="right"/>
        <w:ind w:left="3300" w:right="659"/>
        <w:spacing w:after="0" w:line="342" w:lineRule="auto"/>
        <w:rPr>
          <w:sz w:val="20"/>
          <w:szCs w:val="20"/>
          <w:color w:val="auto"/>
        </w:rPr>
      </w:pPr>
      <w:r>
        <w:rPr>
          <w:rFonts w:ascii="Arial" w:cs="Arial" w:eastAsia="Arial" w:hAnsi="Arial"/>
          <w:sz w:val="16"/>
          <w:szCs w:val="16"/>
          <w:color w:val="auto"/>
        </w:rPr>
        <w:t>•  Payment to our sponsor of $10,000 per month, for up to 24 months, for office space, utilities and secretarial and administrative support;</w:t>
      </w:r>
    </w:p>
    <w:p>
      <w:pPr>
        <w:spacing w:after="0" w:line="9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  Reimbursement for any out-of-pocket expenses related to</w:t>
      </w:r>
    </w:p>
    <w:p>
      <w:pPr>
        <w:spacing w:after="0" w:line="2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identifying, investigating and completing an initial business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combination; and</w:t>
      </w:r>
    </w:p>
    <w:p>
      <w:pPr>
        <w:spacing w:after="0" w:line="184"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  Repayment of non-interest bearing loans which may be made by our</w:t>
      </w:r>
    </w:p>
    <w:p>
      <w:pPr>
        <w:spacing w:after="0" w:line="46"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sponsor or an affiliate of our sponsor or certain of our officers and</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directors to finance transaction costs in connection with an intended</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initial business combination. Up to $1,500,000 of such loans may be</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convertible into warrants, at a price of $1.00 per warrant at the</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option of the lender. The warrants would be identical to the private</w:t>
      </w:r>
    </w:p>
    <w:p>
      <w:pPr>
        <w:spacing w:after="0" w:line="32"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placement warrants, including as to exercise price, exercisability</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and exercise period.</w:t>
      </w:r>
    </w:p>
    <w:p>
      <w:pPr>
        <w:spacing w:after="0" w:line="184" w:lineRule="exact"/>
        <w:rPr>
          <w:sz w:val="20"/>
          <w:szCs w:val="20"/>
          <w:color w:val="auto"/>
        </w:rPr>
      </w:pPr>
    </w:p>
    <w:p>
      <w:pPr>
        <w:ind w:left="3080" w:right="779"/>
        <w:spacing w:after="0" w:line="342" w:lineRule="auto"/>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93"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8"/>
          <w:szCs w:val="18"/>
          <w:b w:val="1"/>
          <w:bCs w:val="1"/>
          <w:color w:val="auto"/>
        </w:rPr>
        <w:t>Audit Committee</w:t>
      </w:r>
      <w:r>
        <w:rPr>
          <w:sz w:val="20"/>
          <w:szCs w:val="20"/>
          <w:color w:val="auto"/>
        </w:rPr>
        <w:tab/>
      </w:r>
      <w:r>
        <w:rPr>
          <w:rFonts w:ascii="Arial" w:cs="Arial" w:eastAsia="Arial" w:hAnsi="Arial"/>
          <w:sz w:val="16"/>
          <w:szCs w:val="16"/>
          <w:color w:val="auto"/>
        </w:rPr>
        <w:t>We will establish and maintain an audit committee, which will be</w:t>
      </w:r>
    </w:p>
    <w:p>
      <w:pPr>
        <w:spacing w:after="0" w:line="27" w:lineRule="exact"/>
        <w:rPr>
          <w:sz w:val="20"/>
          <w:szCs w:val="20"/>
          <w:color w:val="auto"/>
        </w:rPr>
      </w:pPr>
    </w:p>
    <w:p>
      <w:pPr>
        <w:ind w:left="3080" w:right="639"/>
        <w:spacing w:after="0" w:line="287" w:lineRule="auto"/>
        <w:rPr>
          <w:sz w:val="20"/>
          <w:szCs w:val="20"/>
          <w:color w:val="auto"/>
        </w:rPr>
      </w:pPr>
      <w:r>
        <w:rPr>
          <w:rFonts w:ascii="Arial" w:cs="Arial" w:eastAsia="Arial" w:hAnsi="Arial"/>
          <w:sz w:val="16"/>
          <w:szCs w:val="16"/>
          <w:color w:val="auto"/>
        </w:rPr>
        <w:t>composed entirely of independent directors to, among other things, monitor compliance with the terms described above and the other terms relating to this offering. If any noncompliance is identified, then the audit committee will be charged with the responsibility to immediately take all action necessary to rectify such noncompliance or otherwise to cause compliance with the terms of this offering. For more information, see the section of this prospectus entitled “Management — Committees of the Board of Directors — Audit Committee.”</w:t>
      </w:r>
    </w:p>
    <w:p>
      <w:pPr>
        <w:spacing w:after="0" w:line="139" w:lineRule="exact"/>
        <w:rPr>
          <w:sz w:val="20"/>
          <w:szCs w:val="20"/>
          <w:color w:val="auto"/>
        </w:rPr>
      </w:pPr>
    </w:p>
    <w:p>
      <w:pPr>
        <w:ind w:left="540"/>
        <w:spacing w:after="0"/>
        <w:tabs>
          <w:tab w:leader="none" w:pos="3060" w:val="left"/>
        </w:tabs>
        <w:rPr>
          <w:sz w:val="20"/>
          <w:szCs w:val="20"/>
          <w:color w:val="auto"/>
        </w:rPr>
      </w:pPr>
      <w:r>
        <w:rPr>
          <w:rFonts w:ascii="Arial" w:cs="Arial" w:eastAsia="Arial" w:hAnsi="Arial"/>
          <w:sz w:val="16"/>
          <w:szCs w:val="16"/>
          <w:b w:val="1"/>
          <w:bCs w:val="1"/>
          <w:color w:val="auto"/>
        </w:rPr>
        <w:t>Indemnity</w:t>
      </w:r>
      <w:r>
        <w:rPr>
          <w:sz w:val="20"/>
          <w:szCs w:val="20"/>
          <w:color w:val="auto"/>
        </w:rPr>
        <w:tab/>
      </w:r>
      <w:r>
        <w:rPr>
          <w:rFonts w:ascii="Arial" w:cs="Arial" w:eastAsia="Arial" w:hAnsi="Arial"/>
          <w:sz w:val="16"/>
          <w:szCs w:val="16"/>
          <w:color w:val="auto"/>
        </w:rPr>
        <w:t>Our sponsor has agreed that it will be liable to us if and to the extent any</w:t>
      </w:r>
    </w:p>
    <w:p>
      <w:pPr>
        <w:spacing w:after="0" w:line="50" w:lineRule="exact"/>
        <w:rPr>
          <w:sz w:val="20"/>
          <w:szCs w:val="20"/>
          <w:color w:val="auto"/>
        </w:rPr>
      </w:pPr>
    </w:p>
    <w:p>
      <w:pPr>
        <w:ind w:left="3080" w:right="579"/>
        <w:spacing w:after="0" w:line="283" w:lineRule="auto"/>
        <w:rPr>
          <w:sz w:val="20"/>
          <w:szCs w:val="20"/>
          <w:color w:val="auto"/>
        </w:rPr>
      </w:pPr>
      <w:r>
        <w:rPr>
          <w:rFonts w:ascii="Arial" w:cs="Arial" w:eastAsia="Arial" w:hAnsi="Arial"/>
          <w:sz w:val="16"/>
          <w:szCs w:val="16"/>
          <w:color w:val="auto"/>
        </w:rPr>
        <w:t>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would be able to satisfy those obligations. None of our officers or directors will indemnify us for claims by third parties including, without limitation, claims by vendors and prospective target businesses.</w:t>
      </w:r>
    </w:p>
    <w:p>
      <w:pPr>
        <w:sectPr>
          <w:pgSz w:w="11900" w:h="16838" w:orient="portrait"/>
          <w:cols w:equalWidth="0" w:num="1">
            <w:col w:w="9019"/>
          </w:cols>
          <w:pgMar w:left="1440" w:top="274" w:right="1440" w:bottom="77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777" w:gutter="0" w:footer="0" w:header="0"/>
          <w:type w:val="continuous"/>
        </w:sectPr>
      </w:pPr>
    </w:p>
    <w:bookmarkStart w:id="30" w:name="page31"/>
    <w:bookmarkEnd w:id="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1297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21297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(at the earliest), we will have no operations and will generate no operating revenues. In making your decision whether to invest in our securities, you should take into account not only the background of our management team and advisors,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the section of this prospectus entitled “Proposed Business — Comparison of This Offering to Those of Blank Check Companies Subject to Rule 419.” You should carefully consider these and the other risks set forth in the section of this prospectus entitled “Risk Factors” beginning on page 29 of this prospectus.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1" w:name="page32"/>
    <w:bookmarkEnd w:id="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12700</wp:posOffset>
            </wp:positionV>
            <wp:extent cx="5147310" cy="2447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24472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October 13,</w:t>
            </w:r>
          </w:p>
        </w:tc>
      </w:tr>
      <w:tr>
        <w:trPr>
          <w:trHeight w:val="210"/>
        </w:trPr>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r>
      <w:tr>
        <w:trPr>
          <w:trHeight w:val="46"/>
        </w:trPr>
        <w:tc>
          <w:tcPr>
            <w:tcW w:w="3060" w:type="dxa"/>
            <w:vAlign w:val="bottom"/>
            <w:gridSpan w:val="2"/>
          </w:tcPr>
          <w:p>
            <w:pPr>
              <w:spacing w:after="0"/>
              <w:rPr>
                <w:sz w:val="4"/>
                <w:szCs w:val="4"/>
                <w:color w:val="auto"/>
              </w:rPr>
            </w:pPr>
          </w:p>
        </w:tc>
        <w:tc>
          <w:tcPr>
            <w:tcW w:w="3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06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(13,261)</w:t>
            </w:r>
          </w:p>
        </w:tc>
        <w:tc>
          <w:tcPr>
            <w:tcW w:w="100" w:type="dxa"/>
            <w:vAlign w:val="bottom"/>
          </w:tcPr>
          <w:p>
            <w:pPr>
              <w:spacing w:after="0"/>
              <w:rPr>
                <w:sz w:val="21"/>
                <w:szCs w:val="21"/>
                <w:color w:val="auto"/>
              </w:rPr>
            </w:pPr>
          </w:p>
        </w:tc>
      </w:tr>
      <w:tr>
        <w:trPr>
          <w:trHeight w:val="40"/>
        </w:trPr>
        <w:tc>
          <w:tcPr>
            <w:tcW w:w="3060" w:type="dxa"/>
            <w:vAlign w:val="bottom"/>
            <w:gridSpan w:val="2"/>
          </w:tcPr>
          <w:p>
            <w:pPr>
              <w:spacing w:after="0"/>
              <w:rPr>
                <w:sz w:val="3"/>
                <w:szCs w:val="3"/>
                <w:color w:val="auto"/>
              </w:rPr>
            </w:pPr>
          </w:p>
        </w:tc>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2"/>
                <w:szCs w:val="22"/>
                <w:color w:val="auto"/>
              </w:rPr>
            </w:pPr>
          </w:p>
        </w:tc>
      </w:tr>
      <w:tr>
        <w:trPr>
          <w:trHeight w:val="243"/>
        </w:trPr>
        <w:tc>
          <w:tcPr>
            <w:tcW w:w="306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38,261</w:t>
            </w:r>
          </w:p>
        </w:tc>
        <w:tc>
          <w:tcPr>
            <w:tcW w:w="100" w:type="dxa"/>
            <w:vAlign w:val="bottom"/>
          </w:tcPr>
          <w:p>
            <w:pPr>
              <w:spacing w:after="0"/>
              <w:rPr>
                <w:sz w:val="21"/>
                <w:szCs w:val="21"/>
                <w:color w:val="auto"/>
              </w:rPr>
            </w:pPr>
          </w:p>
        </w:tc>
      </w:tr>
      <w:tr>
        <w:trPr>
          <w:trHeight w:val="40"/>
        </w:trPr>
        <w:tc>
          <w:tcPr>
            <w:tcW w:w="3060" w:type="dxa"/>
            <w:vAlign w:val="bottom"/>
            <w:gridSpan w:val="2"/>
          </w:tcPr>
          <w:p>
            <w:pPr>
              <w:spacing w:after="0"/>
              <w:rPr>
                <w:sz w:val="3"/>
                <w:szCs w:val="3"/>
                <w:color w:val="auto"/>
              </w:rPr>
            </w:pPr>
          </w:p>
        </w:tc>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55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32" w:name="page33"/>
    <w:bookmarkEnd w:id="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1920" w:right="120"/>
        <w:spacing w:after="0" w:line="282" w:lineRule="auto"/>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85"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98"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10" w:lineRule="exact"/>
        <w:rPr>
          <w:sz w:val="20"/>
          <w:szCs w:val="20"/>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being a company with no operating history and no revenues;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144"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02" w:lineRule="exact"/>
        <w:rPr>
          <w:rFonts w:ascii="Arial" w:cs="Arial" w:eastAsia="Arial" w:hAnsi="Arial"/>
          <w:sz w:val="18"/>
          <w:szCs w:val="18"/>
          <w:color w:val="auto"/>
        </w:rPr>
      </w:pPr>
    </w:p>
    <w:p>
      <w:pPr>
        <w:jc w:val="both"/>
        <w:ind w:left="1320" w:right="479" w:hanging="434"/>
        <w:spacing w:after="0" w:line="263"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57" w:lineRule="exact"/>
        <w:rPr>
          <w:rFonts w:ascii="Arial" w:cs="Arial" w:eastAsia="Arial" w:hAnsi="Arial"/>
          <w:sz w:val="18"/>
          <w:szCs w:val="18"/>
          <w:color w:val="auto"/>
        </w:rPr>
      </w:pPr>
    </w:p>
    <w:p>
      <w:pPr>
        <w:ind w:left="1320" w:right="51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continued uncertainty resulting from the COVID-19 pandemic;</w:t>
      </w:r>
    </w:p>
    <w:p>
      <w:pPr>
        <w:spacing w:after="0" w:line="102"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and uncertainties related to the financial services, commercial real estate services, financial technology, healthcare, software and technology industries;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other risks and uncertainties discussed in “Risk Factors” and elsewhere in this prospectus.</w:t>
      </w:r>
    </w:p>
    <w:p>
      <w:pPr>
        <w:spacing w:after="0" w:line="169"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our Search for, Consummation of, or Inability to Consummate,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Business Combination and Post-Business-Combination Risks</w:t>
      </w:r>
    </w:p>
    <w:p>
      <w:pPr>
        <w:spacing w:after="0" w:line="207"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1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4" w:lineRule="exact"/>
        <w:rPr>
          <w:sz w:val="20"/>
          <w:szCs w:val="20"/>
          <w:color w:val="auto"/>
        </w:rPr>
      </w:pPr>
    </w:p>
    <w:p>
      <w:pPr>
        <w:ind w:left="460" w:right="599"/>
        <w:spacing w:after="0" w:line="347" w:lineRule="auto"/>
        <w:rPr>
          <w:sz w:val="20"/>
          <w:szCs w:val="20"/>
          <w:color w:val="auto"/>
        </w:rPr>
      </w:pPr>
      <w:r>
        <w:rPr>
          <w:rFonts w:ascii="Arial" w:cs="Arial" w:eastAsia="Arial" w:hAnsi="Arial"/>
          <w:sz w:val="16"/>
          <w:szCs w:val="16"/>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52"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as well as any public shares purchased during or after this offering (including in open market and privately negotiated transactions), in favor of our initial business combination. As a result, in addition to our initial stockholders’ founder shares, we would need only 6,562,501, or 37.5%, of the 17,500,000 public shares sold in this offering to be voted in favor of an initial business combination (assuming all outstanding shares are voted; or 1,093,752, or 6.25%, assuming only the minimum number of shares representing a quorum are voted and assuming our sponsor, officers and directors do not purchase any public shares) in order to have our initial business combination approved (in each case assuming the over-allotment option is not exercised). Our initial stockholders will own shares representing 20% of our outstanding shares of common stock immediately following the completion of this offering and the private placement.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182"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99" w:lineRule="exact"/>
        <w:rPr>
          <w:sz w:val="20"/>
          <w:szCs w:val="20"/>
          <w:color w:val="auto"/>
        </w:rPr>
      </w:pPr>
    </w:p>
    <w:p>
      <w:pPr>
        <w:jc w:val="both"/>
        <w:ind w:left="460" w:right="499" w:firstLine="432"/>
        <w:spacing w:after="0" w:line="279"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04"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539"/>
        <w:spacing w:after="0" w:line="266"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9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we will only redeem our public shares so long as (after such redemption) our net tangible assets will be at least $5,000,001 as described above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82" w:lineRule="exact"/>
        <w:rPr>
          <w:sz w:val="20"/>
          <w:szCs w:val="20"/>
          <w:color w:val="auto"/>
        </w:rPr>
      </w:pPr>
    </w:p>
    <w:p>
      <w:pPr>
        <w:ind w:left="460" w:right="499"/>
        <w:spacing w:after="0" w:line="266"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1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issuance of Class A shares on a greater than one-to-one basis upon conversion of the Class B common stock at the time of our business combination. The above considerations may limit our ability to complete the most desirable business combination available to us or optimize our capital structure. The amount of the deferred underwriting commissions payable to Cantor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167"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94" w:lineRule="exact"/>
        <w:rPr>
          <w:sz w:val="20"/>
          <w:szCs w:val="20"/>
          <w:color w:val="auto"/>
        </w:rPr>
      </w:pPr>
    </w:p>
    <w:p>
      <w:pPr>
        <w:ind w:left="460" w:right="579" w:firstLine="432"/>
        <w:spacing w:after="0" w:line="290"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5" w:name="page36"/>
    <w:bookmarkEnd w:id="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479"/>
        <w:spacing w:after="0" w:line="277" w:lineRule="auto"/>
        <w:rPr>
          <w:sz w:val="20"/>
          <w:szCs w:val="20"/>
          <w:color w:val="auto"/>
        </w:rPr>
      </w:pPr>
      <w:r>
        <w:rPr>
          <w:rFonts w:ascii="Arial" w:cs="Arial" w:eastAsia="Arial" w:hAnsi="Arial"/>
          <w:sz w:val="17"/>
          <w:szCs w:val="17"/>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9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Any potential target business with which we enter into negotiations concerning an initial business combination will be aware that we must complete our initial business combination within 24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4" w:lineRule="exact"/>
        <w:rPr>
          <w:sz w:val="20"/>
          <w:szCs w:val="20"/>
          <w:color w:val="auto"/>
        </w:rPr>
      </w:pPr>
    </w:p>
    <w:p>
      <w:pPr>
        <w:ind w:left="460" w:right="539"/>
        <w:spacing w:after="0" w:line="303" w:lineRule="auto"/>
        <w:rPr>
          <w:sz w:val="20"/>
          <w:szCs w:val="20"/>
          <w:color w:val="auto"/>
        </w:rPr>
      </w:pPr>
      <w:r>
        <w:rPr>
          <w:rFonts w:ascii="Arial" w:cs="Arial" w:eastAsia="Arial" w:hAnsi="Arial"/>
          <w:sz w:val="16"/>
          <w:szCs w:val="16"/>
          <w:b w:val="1"/>
          <w:b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87"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amended and restated certificate of incorporation provides that we must complete our initial business combination within 24 months from the closing of this offering. We may not be able to find a suitable target business and complete our initial business combination within such time period.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such case, our public stockholders may only receive $10.00 per share,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386"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novel coronavirus (“COVID-19”) outbreak.</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On March 11, 2020, the World Health Organization officially declared the outbreak of the COVID-19 a “pandemic.” The COVID-19 pandemic has resulted in a widespread health crisis that has adversely affected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759"/>
        <w:spacing w:after="0" w:line="261"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advisors and their affiliates may elect to purchase shares or warrants from public stockholders, which may influence a vote on a proposed initial business combination and reduce the public “float” of our Class A common stock.</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their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2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00"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45"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99"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Tendering Stock Certificates in Connection with a Tender Offer or Redemption Rights.”</w:t>
      </w:r>
    </w:p>
    <w:p>
      <w:pPr>
        <w:spacing w:after="0" w:line="167" w:lineRule="exact"/>
        <w:rPr>
          <w:sz w:val="20"/>
          <w:szCs w:val="20"/>
          <w:color w:val="auto"/>
        </w:rPr>
      </w:pPr>
    </w:p>
    <w:p>
      <w:pPr>
        <w:ind w:left="460" w:right="71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87" w:lineRule="auto"/>
        <w:rPr>
          <w:sz w:val="20"/>
          <w:szCs w:val="20"/>
          <w:color w:val="auto"/>
        </w:rPr>
      </w:pPr>
      <w:r>
        <w:rPr>
          <w:rFonts w:ascii="Arial" w:cs="Arial" w:eastAsia="Arial" w:hAnsi="Arial"/>
          <w:sz w:val="16"/>
          <w:szCs w:val="16"/>
          <w:color w:val="auto"/>
        </w:rPr>
        <w:t>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Stockholders who do not exercise their redemption rights in connection with an amendment to our certificate of incorporation would still be able to exercise their redemption rights in connection with a subsequent business combination.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left="460" w:right="121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Since the net proceeds of this offering and the sale of the private placement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upon the successful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may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of This Offering to Those of Blank Check Companies Subject to Rule 419.”</w:t>
      </w:r>
    </w:p>
    <w:p>
      <w:pPr>
        <w:spacing w:after="0" w:line="167" w:lineRule="exact"/>
        <w:rPr>
          <w:sz w:val="20"/>
          <w:szCs w:val="20"/>
          <w:color w:val="auto"/>
        </w:rPr>
      </w:pPr>
    </w:p>
    <w:p>
      <w:pPr>
        <w:ind w:left="460" w:right="499"/>
        <w:spacing w:after="0" w:line="258"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20"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expect to encounter competition from other entities having a business objective similar to ours, including private investors (which may be individuals or investment partnerships), other blank check companies and other entities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technical, human and other resources to ours,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Class A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8" w:name="page39"/>
    <w:bookmarkEnd w:id="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499"/>
        <w:spacing w:after="0" w:line="274" w:lineRule="auto"/>
        <w:rPr>
          <w:sz w:val="20"/>
          <w:szCs w:val="20"/>
          <w:color w:val="auto"/>
        </w:rPr>
      </w:pPr>
      <w:r>
        <w:rPr>
          <w:rFonts w:ascii="Arial" w:cs="Arial" w:eastAsia="Arial" w:hAnsi="Arial"/>
          <w:sz w:val="17"/>
          <w:szCs w:val="17"/>
          <w:b w:val="1"/>
          <w:bCs w:val="1"/>
          <w:color w:val="auto"/>
        </w:rPr>
        <w:t>If the net proceeds of this offering and the sale of the private placement warrants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9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Of the net proceeds of this offering and the sale of the private placement warrants, only approximately $1,800,000 will be available to us initially outside the trust account to fund our working capital requirements. In the event that our offering expenses exceed our estimate of $950,000,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$950,000,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placement-equivalent warrants at a price of $1.00 per warrant at the option of the lender.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71"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9" w:name="page40"/>
    <w:bookmarkEnd w:id="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679"/>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stockholders may be less than $10.00 per share.</w:t>
      </w:r>
    </w:p>
    <w:p>
      <w:pPr>
        <w:spacing w:after="0" w:line="3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WithumSmith+Brown, PC, our independent registered public accounting firm, and the underwriters of the offering, will not execute agreements with us waiving such claims to the monies held in the trust account.</w:t>
      </w:r>
    </w:p>
    <w:p>
      <w:pPr>
        <w:spacing w:after="0" w:line="103"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it is unlikely that our sponsor would be able to satisfy those obligations. None of our officers or directors will indemnify us for claims by third parties including, without limitation, claims by vendors and prospective target businesses.</w:t>
      </w:r>
    </w:p>
    <w:p>
      <w:pPr>
        <w:spacing w:after="0" w:line="166" w:lineRule="exact"/>
        <w:rPr>
          <w:sz w:val="20"/>
          <w:szCs w:val="20"/>
          <w:color w:val="auto"/>
        </w:rPr>
      </w:pPr>
    </w:p>
    <w:p>
      <w:pPr>
        <w:ind w:left="460" w:right="839"/>
        <w:spacing w:after="0" w:line="266"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the event that the proceeds in the trust account are reduced below the lesser of (i) $10.00 per share and</w:t>
      </w:r>
    </w:p>
    <w:p>
      <w:pPr>
        <w:spacing w:after="0" w:line="46" w:lineRule="exact"/>
        <w:rPr>
          <w:sz w:val="20"/>
          <w:szCs w:val="20"/>
          <w:color w:val="auto"/>
        </w:rPr>
      </w:pPr>
    </w:p>
    <w:p>
      <w:pPr>
        <w:ind w:left="460" w:right="479" w:hanging="6"/>
        <w:spacing w:after="0" w:line="292" w:lineRule="auto"/>
        <w:tabs>
          <w:tab w:leader="none" w:pos="7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We may not have sufficient funds to satisfy indemnification claims of our directors and executive officers.</w:t>
      </w:r>
    </w:p>
    <w:p>
      <w:pPr>
        <w:spacing w:after="0" w:line="18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64" w:lineRule="exact"/>
        <w:rPr>
          <w:sz w:val="20"/>
          <w:szCs w:val="20"/>
          <w:color w:val="auto"/>
        </w:rPr>
      </w:pPr>
    </w:p>
    <w:p>
      <w:pPr>
        <w:ind w:left="460" w:right="659"/>
        <w:spacing w:after="0" w:line="261"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16"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ind w:left="460" w:right="599"/>
        <w:spacing w:after="0" w:line="258"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06"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4" w:lineRule="exact"/>
        <w:rPr>
          <w:sz w:val="20"/>
          <w:szCs w:val="20"/>
          <w:color w:val="auto"/>
        </w:rPr>
      </w:pPr>
    </w:p>
    <w:p>
      <w:pPr>
        <w:ind w:left="460" w:right="719"/>
        <w:spacing w:after="0" w:line="282"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98" w:lineRule="exact"/>
        <w:rPr>
          <w:sz w:val="20"/>
          <w:szCs w:val="20"/>
          <w:color w:val="auto"/>
        </w:rPr>
      </w:pPr>
    </w:p>
    <w:p>
      <w:pPr>
        <w:ind w:left="460" w:right="579" w:firstLine="432"/>
        <w:spacing w:after="0" w:line="270"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19"/>
        <w:spacing w:after="0" w:line="250" w:lineRule="auto"/>
        <w:rPr>
          <w:sz w:val="20"/>
          <w:szCs w:val="20"/>
          <w:color w:val="auto"/>
        </w:rPr>
      </w:pPr>
      <w:r>
        <w:rPr>
          <w:rFonts w:ascii="Arial" w:cs="Arial" w:eastAsia="Arial" w:hAnsi="Arial"/>
          <w:sz w:val="18"/>
          <w:szCs w:val="18"/>
          <w:color w:val="auto"/>
        </w:rPr>
        <w:t>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27"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65" w:lineRule="exact"/>
        <w:rPr>
          <w:sz w:val="20"/>
          <w:szCs w:val="20"/>
          <w:color w:val="auto"/>
        </w:rPr>
      </w:pPr>
    </w:p>
    <w:p>
      <w:pPr>
        <w:ind w:left="460" w:right="619"/>
        <w:spacing w:after="0" w:line="312" w:lineRule="auto"/>
        <w:rPr>
          <w:sz w:val="20"/>
          <w:szCs w:val="20"/>
          <w:color w:val="auto"/>
        </w:rPr>
      </w:pPr>
      <w:r>
        <w:rPr>
          <w:rFonts w:ascii="Arial" w:cs="Arial" w:eastAsia="Arial" w:hAnsi="Arial"/>
          <w:sz w:val="17"/>
          <w:szCs w:val="17"/>
          <w:b w:val="1"/>
          <w:bCs w:val="1"/>
          <w:color w:val="auto"/>
        </w:rPr>
        <w:t>We may not hold an annual meeting of stockholders until after the consummation of our initial business combination, which could delay the opportunity for our stockholders to elect directors.</w:t>
      </w:r>
    </w:p>
    <w:p>
      <w:pPr>
        <w:spacing w:after="0" w:line="76"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90" w:lineRule="exact"/>
        <w:rPr>
          <w:sz w:val="20"/>
          <w:szCs w:val="20"/>
          <w:color w:val="auto"/>
        </w:rPr>
      </w:pPr>
    </w:p>
    <w:p>
      <w:pPr>
        <w:jc w:val="both"/>
        <w:ind w:left="460" w:right="519"/>
        <w:spacing w:after="0" w:line="314" w:lineRule="auto"/>
        <w:rPr>
          <w:sz w:val="20"/>
          <w:szCs w:val="20"/>
          <w:color w:val="auto"/>
        </w:rPr>
      </w:pPr>
      <w:r>
        <w:rPr>
          <w:rFonts w:ascii="Arial" w:cs="Arial" w:eastAsia="Arial" w:hAnsi="Arial"/>
          <w:sz w:val="16"/>
          <w:szCs w:val="16"/>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65"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are not limited to completing an initial business combination in any industry or geographical region, although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w:t>
      </w:r>
    </w:p>
    <w:p>
      <w:pPr>
        <w:sectPr>
          <w:pgSz w:w="11900" w:h="16838" w:orient="portrait"/>
          <w:cols w:equalWidth="0" w:num="1">
            <w:col w:w="9019"/>
          </w:cols>
          <w:pgMar w:left="1440" w:top="27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2" w:name="page43"/>
    <w:bookmarkEnd w:id="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color w:val="auto"/>
        </w:rPr>
        <w:t>impact a target business. We also cannot assure you that an investment in our units will ultimately prove to be more favorable to investors than a direct investment, if such opportunity were available, in a business combination target. Accordingly, any stockholders who choose to remain stockholders following our initial business combination could suffer a reduction in the value of their securities.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1019"/>
        <w:spacing w:after="0" w:line="282" w:lineRule="auto"/>
        <w:rPr>
          <w:sz w:val="20"/>
          <w:szCs w:val="20"/>
          <w:color w:val="auto"/>
        </w:rPr>
      </w:pPr>
      <w:r>
        <w:rPr>
          <w:rFonts w:ascii="Arial" w:cs="Arial" w:eastAsia="Arial" w:hAnsi="Arial"/>
          <w:sz w:val="18"/>
          <w:szCs w:val="18"/>
          <w:b w:val="1"/>
          <w:bCs w:val="1"/>
          <w:color w:val="auto"/>
        </w:rPr>
        <w:t>We may seek business combination opportunities in industries or sectors which may or may not be outside of our management’s area of expertise.</w:t>
      </w:r>
    </w:p>
    <w:p>
      <w:pPr>
        <w:spacing w:after="0" w:line="98"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may consummate a business combination with a company in any industry we choose and are not limited to any particular industry or type of business, although we intend to focus our search for technology businesses in the real estate industry.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80" w:lineRule="exact"/>
        <w:rPr>
          <w:sz w:val="20"/>
          <w:szCs w:val="20"/>
          <w:color w:val="auto"/>
        </w:rPr>
      </w:pPr>
    </w:p>
    <w:p>
      <w:pPr>
        <w:ind w:left="460" w:right="619"/>
        <w:spacing w:after="0" w:line="258"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20"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72" w:lineRule="exact"/>
        <w:rPr>
          <w:sz w:val="20"/>
          <w:szCs w:val="20"/>
          <w:color w:val="auto"/>
        </w:rPr>
      </w:pPr>
    </w:p>
    <w:p>
      <w:pPr>
        <w:jc w:val="both"/>
        <w:ind w:left="460" w:right="499"/>
        <w:spacing w:after="0" w:line="266" w:lineRule="auto"/>
        <w:rPr>
          <w:sz w:val="20"/>
          <w:szCs w:val="20"/>
          <w:color w:val="auto"/>
        </w:rPr>
      </w:pPr>
      <w:r>
        <w:rPr>
          <w:rFonts w:ascii="Arial" w:cs="Arial" w:eastAsia="Arial" w:hAnsi="Arial"/>
          <w:sz w:val="18"/>
          <w:szCs w:val="18"/>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9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3" w:name="page44"/>
    <w:bookmarkEnd w:id="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color w:val="auto"/>
        </w:rPr>
        <w:t>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0" w:lineRule="exact"/>
        <w:rPr>
          <w:sz w:val="20"/>
          <w:szCs w:val="20"/>
          <w:color w:val="auto"/>
        </w:rPr>
      </w:pPr>
    </w:p>
    <w:p>
      <w:pPr>
        <w:jc w:val="both"/>
        <w:ind w:left="460" w:right="619"/>
        <w:spacing w:after="0" w:line="266"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12"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from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1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64" w:lineRule="exact"/>
        <w:rPr>
          <w:sz w:val="20"/>
          <w:szCs w:val="20"/>
          <w:color w:val="auto"/>
        </w:rPr>
      </w:pPr>
    </w:p>
    <w:p>
      <w:pPr>
        <w:ind w:left="460" w:right="499"/>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9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82" w:lineRule="exact"/>
        <w:rPr>
          <w:sz w:val="20"/>
          <w:szCs w:val="20"/>
          <w:color w:val="auto"/>
        </w:rPr>
      </w:pPr>
    </w:p>
    <w:p>
      <w:pPr>
        <w:jc w:val="both"/>
        <w:ind w:left="460" w:right="499"/>
        <w:spacing w:after="0" w:line="266"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12"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Our amended and restated certificate of incorporation will not provide a specified maximum redemption threshold, except that we will only redeem our public shares so long as (after such redemption) our net tangible assets will be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their affiliates.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Class A common stock submitted for redemption will be returned to the holders thereof, and we instead may search for an alternate business combination.</w:t>
      </w:r>
    </w:p>
    <w:p>
      <w:pPr>
        <w:spacing w:after="0" w:line="178" w:lineRule="exact"/>
        <w:rPr>
          <w:sz w:val="20"/>
          <w:szCs w:val="20"/>
          <w:color w:val="auto"/>
        </w:rPr>
      </w:pPr>
    </w:p>
    <w:p>
      <w:pPr>
        <w:ind w:left="460" w:right="499"/>
        <w:spacing w:after="0" w:line="277" w:lineRule="auto"/>
        <w:rPr>
          <w:sz w:val="20"/>
          <w:szCs w:val="20"/>
          <w:color w:val="auto"/>
        </w:rPr>
      </w:pPr>
      <w:r>
        <w:rPr>
          <w:rFonts w:ascii="Arial" w:cs="Arial" w:eastAsia="Arial" w:hAnsi="Arial"/>
          <w:sz w:val="17"/>
          <w:szCs w:val="17"/>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04"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To the extent we seek to amend our organizational documents in a way that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64" w:lineRule="exact"/>
        <w:rPr>
          <w:sz w:val="20"/>
          <w:szCs w:val="20"/>
          <w:color w:val="auto"/>
        </w:rPr>
      </w:pPr>
    </w:p>
    <w:p>
      <w:pPr>
        <w:ind w:left="460" w:right="459"/>
        <w:spacing w:after="0" w:line="255" w:lineRule="auto"/>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25"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amended and restated certificate of incorporation will provide that any of its provisions related to pre-initial 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redeem 100% of our public shares on a business combination if we do not complete our initial business combination within 24 months from the closing of this offering or certain amendments to our charter prior thereto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70"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1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have not selected any specific business combination target but intend to target businesses larger than we could acquire with the net proceeds of this offering and the sale of the private placement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171" w:lineRule="exact"/>
        <w:rPr>
          <w:sz w:val="20"/>
          <w:szCs w:val="20"/>
          <w:color w:val="auto"/>
        </w:rPr>
      </w:pPr>
    </w:p>
    <w:p>
      <w:pPr>
        <w:ind w:left="460" w:right="1079"/>
        <w:spacing w:after="0" w:line="282" w:lineRule="auto"/>
        <w:rPr>
          <w:sz w:val="20"/>
          <w:szCs w:val="20"/>
          <w:color w:val="auto"/>
        </w:rPr>
      </w:pPr>
      <w:r>
        <w:rPr>
          <w:rFonts w:ascii="Arial" w:cs="Arial" w:eastAsia="Arial" w:hAnsi="Arial"/>
          <w:sz w:val="18"/>
          <w:szCs w:val="18"/>
          <w:b w:val="1"/>
          <w:bCs w:val="1"/>
          <w:color w:val="auto"/>
        </w:rPr>
        <w:t>Our initial stockholders may exert a substantial influence on actions requiring a stockholder vote, potentially in a manner that you do not support.</w:t>
      </w:r>
    </w:p>
    <w:p>
      <w:pPr>
        <w:spacing w:after="0" w:line="9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units in this offering or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and will be divided into three classes, each of which will generally serve for a term of three years with only one class of directors being elected in each year. We may not hold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6" w:name="page47"/>
    <w:bookmarkEnd w:id="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54" w:lineRule="auto"/>
        <w:rPr>
          <w:sz w:val="20"/>
          <w:szCs w:val="20"/>
          <w:color w:val="auto"/>
        </w:rPr>
      </w:pPr>
      <w:r>
        <w:rPr>
          <w:rFonts w:ascii="Arial" w:cs="Arial" w:eastAsia="Arial" w:hAnsi="Arial"/>
          <w:sz w:val="18"/>
          <w:szCs w:val="18"/>
          <w:color w:val="auto"/>
        </w:rPr>
        <w:t>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91" w:lineRule="exact"/>
        <w:rPr>
          <w:sz w:val="20"/>
          <w:szCs w:val="20"/>
          <w:color w:val="auto"/>
        </w:rPr>
      </w:pPr>
    </w:p>
    <w:p>
      <w:pPr>
        <w:ind w:left="460" w:right="579"/>
        <w:spacing w:after="0" w:line="277" w:lineRule="auto"/>
        <w:rPr>
          <w:sz w:val="20"/>
          <w:szCs w:val="20"/>
          <w:color w:val="auto"/>
        </w:rPr>
      </w:pPr>
      <w:r>
        <w:rPr>
          <w:rFonts w:ascii="Arial" w:cs="Arial" w:eastAsia="Arial" w:hAnsi="Arial"/>
          <w:sz w:val="17"/>
          <w:szCs w:val="17"/>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0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80" w:lineRule="exact"/>
        <w:rPr>
          <w:sz w:val="20"/>
          <w:szCs w:val="20"/>
          <w:color w:val="auto"/>
        </w:rPr>
      </w:pPr>
    </w:p>
    <w:p>
      <w:pPr>
        <w:ind w:left="460" w:right="519"/>
        <w:spacing w:after="0" w:line="322" w:lineRule="auto"/>
        <w:rPr>
          <w:sz w:val="20"/>
          <w:szCs w:val="20"/>
          <w:color w:val="auto"/>
        </w:rPr>
      </w:pPr>
      <w:r>
        <w:rPr>
          <w:rFonts w:ascii="Arial" w:cs="Arial" w:eastAsia="Arial" w:hAnsi="Arial"/>
          <w:sz w:val="15"/>
          <w:szCs w:val="15"/>
          <w:b w:val="1"/>
          <w:bCs w:val="1"/>
          <w:color w:val="auto"/>
        </w:rPr>
        <w:t>Our key personnel may negotiate employment or consulting agreements as well as reimbursement of out-of-pocket expenses, if any, with a target business in connection with a particular business combination. These agreements may provide for them to receive compensation or reimbursement for out-of-pocket expenses, if any, following our initial business combination and as a result, may cause them to have conflicts of interest in determining whether a particular business combination is the most advantageous.</w:t>
      </w:r>
    </w:p>
    <w:p>
      <w:pPr>
        <w:spacing w:after="0" w:line="75"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Additionally, they may negotiate reimbursement of any out-of-pocket expenses incurred on our behalf prior to the consummation of our initial business combination, should they choose to do so.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or as reimbursement for such out-of-pocket expenses.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3" w:lineRule="exact"/>
        <w:rPr>
          <w:sz w:val="20"/>
          <w:szCs w:val="20"/>
          <w:color w:val="auto"/>
        </w:rPr>
      </w:pPr>
    </w:p>
    <w:p>
      <w:pPr>
        <w:jc w:val="both"/>
        <w:ind w:left="460" w:right="579"/>
        <w:spacing w:after="0" w:line="261"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9" w:lineRule="auto"/>
        <w:rPr>
          <w:sz w:val="20"/>
          <w:szCs w:val="20"/>
          <w:color w:val="auto"/>
        </w:rPr>
      </w:pPr>
      <w:r>
        <w:rPr>
          <w:rFonts w:ascii="Arial" w:cs="Arial" w:eastAsia="Arial" w:hAnsi="Arial"/>
          <w:sz w:val="17"/>
          <w:szCs w:val="17"/>
          <w:color w:val="auto"/>
        </w:rPr>
        <w:t>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7" w:lineRule="exact"/>
        <w:rPr>
          <w:sz w:val="20"/>
          <w:szCs w:val="20"/>
          <w:color w:val="auto"/>
        </w:rPr>
      </w:pPr>
    </w:p>
    <w:p>
      <w:pPr>
        <w:ind w:left="460" w:right="779"/>
        <w:spacing w:after="0" w:line="289"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9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27" w:lineRule="exact"/>
        <w:rPr>
          <w:sz w:val="20"/>
          <w:szCs w:val="20"/>
          <w:color w:val="auto"/>
        </w:rPr>
      </w:pPr>
    </w:p>
    <w:p>
      <w:pPr>
        <w:ind w:left="1320" w:right="57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57" w:lineRule="exact"/>
        <w:rPr>
          <w:rFonts w:ascii="Arial" w:cs="Arial" w:eastAsia="Arial" w:hAnsi="Arial"/>
          <w:sz w:val="18"/>
          <w:szCs w:val="18"/>
          <w:color w:val="auto"/>
        </w:rPr>
      </w:pPr>
    </w:p>
    <w:p>
      <w:pPr>
        <w:ind w:left="1320" w:right="699" w:hanging="434"/>
        <w:spacing w:after="0" w:line="311"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81" w:lineRule="exact"/>
        <w:rPr>
          <w:rFonts w:ascii="Arial" w:cs="Arial" w:eastAsia="Arial" w:hAnsi="Arial"/>
          <w:sz w:val="16"/>
          <w:szCs w:val="16"/>
          <w:color w:val="auto"/>
        </w:rPr>
      </w:pPr>
    </w:p>
    <w:p>
      <w:pPr>
        <w:ind w:left="1320" w:right="93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02" w:lineRule="exact"/>
        <w:rPr>
          <w:rFonts w:ascii="Arial" w:cs="Arial" w:eastAsia="Arial" w:hAnsi="Arial"/>
          <w:sz w:val="18"/>
          <w:szCs w:val="18"/>
          <w:color w:val="auto"/>
        </w:rPr>
      </w:pPr>
    </w:p>
    <w:p>
      <w:pPr>
        <w:ind w:left="1320" w:right="1239" w:hanging="434"/>
        <w:spacing w:after="0" w:line="342" w:lineRule="auto"/>
        <w:tabs>
          <w:tab w:leader="none" w:pos="13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and execution of our strategy; and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ind w:left="460" w:right="519"/>
        <w:spacing w:after="0" w:line="281" w:lineRule="auto"/>
        <w:rPr>
          <w:sz w:val="20"/>
          <w:szCs w:val="20"/>
          <w:color w:val="auto"/>
        </w:rPr>
      </w:pPr>
      <w:r>
        <w:rPr>
          <w:rFonts w:ascii="Arial" w:cs="Arial" w:eastAsia="Arial" w:hAnsi="Arial"/>
          <w:sz w:val="17"/>
          <w:szCs w:val="17"/>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88"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Of the net proceeds from this offering and the sale of the private placement warrants, $175,000,000 (or $201,250,000 if the underwriters’ over-allotment option is exercised in full) will be available to complete our initial business combination and pay related fees and expenses (which includes up to $6,125,000, or up to $7,043,750 if the over-allotment option is exercised in full, for the payment of deferred underwriting commissions).</w:t>
      </w:r>
    </w:p>
    <w:p>
      <w:pPr>
        <w:spacing w:after="0" w:line="120" w:lineRule="exact"/>
        <w:rPr>
          <w:sz w:val="20"/>
          <w:szCs w:val="20"/>
          <w:color w:val="auto"/>
        </w:rPr>
      </w:pPr>
    </w:p>
    <w:p>
      <w:pPr>
        <w:ind w:left="460" w:right="919" w:firstLine="432"/>
        <w:spacing w:after="0" w:line="257"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w:t>
      </w:r>
    </w:p>
    <w:p>
      <w:pPr>
        <w:sectPr>
          <w:pgSz w:w="11900" w:h="16838" w:orient="portrait"/>
          <w:cols w:equalWidth="0" w:num="1">
            <w:col w:w="9019"/>
          </w:cols>
          <w:pgMar w:left="1440" w:top="274"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8" w:name="page49"/>
    <w:bookmarkEnd w:id="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91" w:lineRule="auto"/>
        <w:rPr>
          <w:sz w:val="20"/>
          <w:szCs w:val="20"/>
          <w:color w:val="auto"/>
        </w:rPr>
      </w:pPr>
      <w:r>
        <w:rPr>
          <w:rFonts w:ascii="Arial" w:cs="Arial" w:eastAsia="Arial" w:hAnsi="Arial"/>
          <w:sz w:val="16"/>
          <w:szCs w:val="16"/>
          <w:color w:val="auto"/>
        </w:rPr>
        <w:t>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99"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57"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89"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ind w:left="460" w:right="499"/>
        <w:spacing w:after="0" w:line="28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4"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1" w:lineRule="exact"/>
        <w:rPr>
          <w:sz w:val="20"/>
          <w:szCs w:val="20"/>
          <w:color w:val="auto"/>
        </w:rPr>
      </w:pPr>
    </w:p>
    <w:p>
      <w:pPr>
        <w:jc w:val="both"/>
        <w:ind w:left="460" w:right="619"/>
        <w:spacing w:after="0" w:line="266"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12" w:lineRule="exact"/>
        <w:rPr>
          <w:sz w:val="20"/>
          <w:szCs w:val="20"/>
          <w:color w:val="auto"/>
        </w:rPr>
      </w:pPr>
    </w:p>
    <w:p>
      <w:pPr>
        <w:ind w:left="460" w:right="839" w:firstLine="432"/>
        <w:spacing w:after="0" w:line="275" w:lineRule="auto"/>
        <w:rPr>
          <w:sz w:val="20"/>
          <w:szCs w:val="20"/>
          <w:color w:val="auto"/>
        </w:rPr>
      </w:pPr>
      <w:r>
        <w:rPr>
          <w:rFonts w:ascii="Arial" w:cs="Arial" w:eastAsia="Arial" w:hAnsi="Arial"/>
          <w:sz w:val="17"/>
          <w:szCs w:val="17"/>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72"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99"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16" w:lineRule="exact"/>
        <w:rPr>
          <w:sz w:val="20"/>
          <w:szCs w:val="20"/>
          <w:color w:val="auto"/>
        </w:rPr>
      </w:pPr>
    </w:p>
    <w:p>
      <w:pPr>
        <w:ind w:left="1320" w:right="63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ectPr>
          <w:pgSz w:w="11900" w:h="16838" w:orient="portrait"/>
          <w:cols w:equalWidth="0" w:num="1">
            <w:col w:w="9019"/>
          </w:cols>
          <w:pgMar w:left="1440" w:top="274"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9" w:name="page50"/>
    <w:bookmarkEnd w:id="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44" w:lineRule="exact"/>
        <w:rPr>
          <w:rFonts w:ascii="Arial" w:cs="Arial" w:eastAsia="Arial" w:hAnsi="Arial"/>
          <w:sz w:val="18"/>
          <w:szCs w:val="18"/>
          <w:color w:val="auto"/>
        </w:rPr>
      </w:pPr>
    </w:p>
    <w:p>
      <w:pPr>
        <w:ind w:left="1320" w:right="103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industry, regulatory or environmental standards within the jurisdictions where we operate;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158" w:lineRule="exact"/>
        <w:rPr>
          <w:sz w:val="20"/>
          <w:szCs w:val="20"/>
          <w:color w:val="auto"/>
        </w:rPr>
      </w:pPr>
    </w:p>
    <w:p>
      <w:pPr>
        <w:jc w:val="both"/>
        <w:ind w:left="460" w:right="1199" w:firstLine="432"/>
        <w:spacing w:after="0" w:line="342" w:lineRule="auto"/>
        <w:rPr>
          <w:sz w:val="20"/>
          <w:szCs w:val="20"/>
          <w:color w:val="auto"/>
        </w:rPr>
      </w:pPr>
      <w:r>
        <w:rPr>
          <w:rFonts w:ascii="Arial" w:cs="Arial" w:eastAsia="Arial" w:hAnsi="Arial"/>
          <w:sz w:val="16"/>
          <w:szCs w:val="16"/>
          <w:color w:val="auto"/>
        </w:rPr>
        <w:t>We may not be able to adequately address these additional risks. If we were unable to do so, our operations might suffer, which may adversely impact our results of operations and financial condition.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225" w:lineRule="exact"/>
        <w:rPr>
          <w:sz w:val="20"/>
          <w:szCs w:val="20"/>
          <w:color w:val="auto"/>
        </w:rPr>
      </w:pPr>
    </w:p>
    <w:p>
      <w:pPr>
        <w:jc w:val="both"/>
        <w:ind w:left="460" w:right="599"/>
        <w:spacing w:after="0" w:line="261"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16"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70" w:lineRule="exact"/>
        <w:rPr>
          <w:sz w:val="20"/>
          <w:szCs w:val="20"/>
          <w:color w:val="auto"/>
        </w:rPr>
      </w:pPr>
    </w:p>
    <w:p>
      <w:pPr>
        <w:ind w:left="460" w:right="719"/>
        <w:spacing w:after="0" w:line="282" w:lineRule="auto"/>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85"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979"/>
        <w:spacing w:after="0" w:line="314"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65"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In September 2020, our sponsor purchased 5,031,250 founder shares for an aggregate purchase price of $25,000, or approximately $0.005 per share. On December 1, 2020, our sponsor transferred 25,000 founder shares to each of Messrs. Jones, Schofield and Eggen, and Ms. Robinson, our independent director nominees. The number of founder shares issued was determined based on the expectation that such founder shares would represent 20% of the outstanding shares after this offering. The founder shares will be worthless if we do not complete an initial business combination. In addition, our sponsor has committed to purchase an aggregate of 6,250,000 private placement warrants (or 6,775,000 private placement warrants if the underwriters’ over-allotment option is exercised in full), each exercisable for one share of our Class A common stock at $11.50 per share, for a purchase price of $6,250,000 (or $6,775,000 if the underwriters’ over-allotment option is exercised in full), or $1.00 per warrant, that will also be worthless if we do not complete an initial business combination. Holders of founder shares have agreed (A) to vote any shares owned by them in favor of any proposed initial business combination and (B) not to redeem any founder shares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72" w:lineRule="exact"/>
        <w:rPr>
          <w:sz w:val="20"/>
          <w:szCs w:val="20"/>
          <w:color w:val="auto"/>
        </w:rPr>
      </w:pPr>
    </w:p>
    <w:p>
      <w:pPr>
        <w:jc w:val="both"/>
        <w:ind w:left="460" w:right="559"/>
        <w:spacing w:after="0" w:line="289" w:lineRule="auto"/>
        <w:rPr>
          <w:sz w:val="20"/>
          <w:szCs w:val="20"/>
          <w:color w:val="auto"/>
        </w:rPr>
      </w:pPr>
      <w:r>
        <w:rPr>
          <w:rFonts w:ascii="Arial" w:cs="Arial" w:eastAsia="Arial" w:hAnsi="Arial"/>
          <w:sz w:val="17"/>
          <w:szCs w:val="17"/>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9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the section of this prospectus entitled “Management — Directors and Officers.”</w:t>
      </w:r>
    </w:p>
    <w:p>
      <w:pPr>
        <w:spacing w:after="0" w:line="178" w:lineRule="exact"/>
        <w:rPr>
          <w:sz w:val="20"/>
          <w:szCs w:val="20"/>
          <w:color w:val="auto"/>
        </w:rPr>
      </w:pPr>
    </w:p>
    <w:p>
      <w:pPr>
        <w:ind w:left="460" w:right="939"/>
        <w:spacing w:after="0" w:line="303" w:lineRule="auto"/>
        <w:rPr>
          <w:sz w:val="20"/>
          <w:szCs w:val="20"/>
          <w:color w:val="auto"/>
        </w:rPr>
      </w:pPr>
      <w:r>
        <w:rPr>
          <w:rFonts w:ascii="Arial" w:cs="Arial" w:eastAsia="Arial" w:hAnsi="Arial"/>
          <w:sz w:val="16"/>
          <w:szCs w:val="16"/>
          <w:b w:val="1"/>
          <w:bCs w:val="1"/>
          <w:color w:val="auto"/>
        </w:rPr>
        <w:t>Our officers, directors and advisors or their affiliates have pre-existing fiduciary and contractual obligations and may in the future become affiliated with other entities engaged in business activities similar to those intended to be conducted by us. Accordingly, they may have conflicts of interest in determining to which entity a particular business opportunity should be presented.</w:t>
      </w:r>
    </w:p>
    <w:p>
      <w:pPr>
        <w:spacing w:after="0" w:line="87"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and our officers and directors may become an officer or director of another special purpose acquisition company with a class of securities intended to be registered under the Exchange Act, even before we have entered into a definitive agreement regarding our initial business combination.</w:t>
      </w:r>
    </w:p>
    <w:p>
      <w:pPr>
        <w:spacing w:after="0" w:line="11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Our officers, directors and advisors or their affiliates have pre-existing fiduciary and contractual obligations to other companies.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Accordingly, they may have conflicts of interest in determining to which entity a particular business opportunity should be presented. These conflicts may not be resolved in our favor and a potential target business may be presented to other entities prior to its presentation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3" w:lineRule="auto"/>
        <w:rPr>
          <w:sz w:val="20"/>
          <w:szCs w:val="20"/>
          <w:color w:val="auto"/>
        </w:rPr>
      </w:pPr>
      <w:r>
        <w:rPr>
          <w:rFonts w:ascii="Arial" w:cs="Arial" w:eastAsia="Arial" w:hAnsi="Arial"/>
          <w:sz w:val="17"/>
          <w:szCs w:val="17"/>
          <w:color w:val="auto"/>
        </w:rPr>
        <w:t>us, subject to our officers’ and directors’ fiduciary duties under Delaware law.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10"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3" w:lineRule="exact"/>
        <w:rPr>
          <w:sz w:val="20"/>
          <w:szCs w:val="20"/>
          <w:color w:val="auto"/>
        </w:rPr>
      </w:pPr>
    </w:p>
    <w:p>
      <w:pPr>
        <w:ind w:left="460" w:right="739"/>
        <w:spacing w:after="0" w:line="282" w:lineRule="auto"/>
        <w:rPr>
          <w:sz w:val="20"/>
          <w:szCs w:val="20"/>
          <w:color w:val="auto"/>
        </w:rPr>
      </w:pPr>
      <w:r>
        <w:rPr>
          <w:rFonts w:ascii="Arial" w:cs="Arial" w:eastAsia="Arial" w:hAnsi="Arial"/>
          <w:sz w:val="18"/>
          <w:szCs w:val="18"/>
          <w:b w:val="1"/>
          <w:bCs w:val="1"/>
          <w:color w:val="auto"/>
        </w:rPr>
        <w:t>Our officers, directors, security holders and their respective affiliates may have competitive pecuniary interests that conflict with our interests.</w:t>
      </w:r>
    </w:p>
    <w:p>
      <w:pPr>
        <w:spacing w:after="0" w:line="9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our advisors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62" w:lineRule="exact"/>
        <w:rPr>
          <w:sz w:val="20"/>
          <w:szCs w:val="20"/>
          <w:color w:val="auto"/>
        </w:rPr>
      </w:pPr>
    </w:p>
    <w:p>
      <w:pPr>
        <w:ind w:left="460" w:right="679"/>
        <w:spacing w:after="0" w:line="266"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99"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advisors. Our directors also serve as officers and board members for other entities, including PTAC and PTIC, as well as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Selection of a Target Business and Structuring of our Initial Business Combination” and such transaction was approved by a majority of our disinterested directors. Despite our agreement to obtain an opinion from an independent investment banking firm or from another independent entity that commonly renders valuation opinions, regarding the fairness to our stockholders from a financial point of view of an initial business combination with one or more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86" w:lineRule="exact"/>
        <w:rPr>
          <w:sz w:val="20"/>
          <w:szCs w:val="20"/>
          <w:color w:val="auto"/>
        </w:rPr>
      </w:pPr>
    </w:p>
    <w:p>
      <w:pPr>
        <w:ind w:left="460" w:right="999"/>
        <w:spacing w:after="0" w:line="282" w:lineRule="auto"/>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9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w:t>
      </w:r>
    </w:p>
    <w:p>
      <w:pPr>
        <w:sectPr>
          <w:pgSz w:w="11900" w:h="16838" w:orient="portrait"/>
          <w:cols w:equalWidth="0" w:num="1">
            <w:col w:w="9019"/>
          </w:cols>
          <w:pgMar w:left="1440" w:top="274"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2" w:name="page53"/>
    <w:bookmarkEnd w:id="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71" w:lineRule="auto"/>
        <w:rPr>
          <w:sz w:val="20"/>
          <w:szCs w:val="20"/>
          <w:color w:val="auto"/>
        </w:rPr>
      </w:pPr>
      <w:r>
        <w:rPr>
          <w:rFonts w:ascii="Arial" w:cs="Arial" w:eastAsia="Arial" w:hAnsi="Arial"/>
          <w:sz w:val="17"/>
          <w:szCs w:val="17"/>
          <w:color w:val="auto"/>
        </w:rPr>
        <w:t>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Securities</w:t>
      </w:r>
    </w:p>
    <w:p>
      <w:pPr>
        <w:spacing w:after="0" w:line="225"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1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certificate of incorporation, our public shareholders are entitled to receive their pro-rata share of the proceeds held in the trust account, plus any interest income, net of taxes paid or payable (less, in the case we are unable to complete our initial business combination, $100,000 of interest). Negative interest rates could reduce the value of the assets held in trust such that the per-share redemption amount received by public shareholders may be less than $10.00 per share.</w:t>
      </w:r>
    </w:p>
    <w:p>
      <w:pPr>
        <w:spacing w:after="0" w:line="164"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1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89"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44" w:lineRule="exact"/>
        <w:rPr>
          <w:sz w:val="20"/>
          <w:szCs w:val="20"/>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57" w:lineRule="exact"/>
        <w:rPr>
          <w:rFonts w:ascii="Arial" w:cs="Arial" w:eastAsia="Arial" w:hAnsi="Arial"/>
          <w:sz w:val="18"/>
          <w:szCs w:val="18"/>
          <w:color w:val="auto"/>
        </w:rPr>
      </w:pPr>
    </w:p>
    <w:p>
      <w:pPr>
        <w:ind w:left="1320" w:right="133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8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3" w:name="page54"/>
    <w:bookmarkEnd w:id="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w:t>
      </w:r>
    </w:p>
    <w:p>
      <w:pPr>
        <w:ind w:left="460" w:right="479"/>
        <w:spacing w:after="0" w:line="281" w:lineRule="auto"/>
        <w:rPr>
          <w:sz w:val="20"/>
          <w:szCs w:val="20"/>
          <w:color w:val="auto"/>
        </w:rPr>
      </w:pPr>
      <w:r>
        <w:rPr>
          <w:rFonts w:ascii="Arial" w:cs="Arial" w:eastAsia="Arial" w:hAnsi="Arial"/>
          <w:sz w:val="16"/>
          <w:szCs w:val="16"/>
          <w:color w:val="auto"/>
        </w:rPr>
        <w:t>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within 24 months from the closing of this offering or (B) with respect to any other provision relating to stockholders’ rights or pre-initial business combination activity; or</w:t>
      </w:r>
    </w:p>
    <w:p>
      <w:pPr>
        <w:spacing w:after="0" w:line="8" w:lineRule="exact"/>
        <w:rPr>
          <w:sz w:val="20"/>
          <w:szCs w:val="20"/>
          <w:color w:val="auto"/>
        </w:rPr>
      </w:pPr>
    </w:p>
    <w:p>
      <w:pPr>
        <w:ind w:left="460" w:right="539" w:hanging="6"/>
        <w:spacing w:after="0" w:line="286" w:lineRule="auto"/>
        <w:tabs>
          <w:tab w:leader="none" w:pos="7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absent an initial business combination within 24 months from the closing of this offering, our return of the funds held in the trust account to our public stockholders as part of our redemption of the public shares. Stockholders who do not exercise their redemption rights in connection with an amendment to our certificate of incorporation would still be able to exercise their redemption rights in connection with a subsequent business combination.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on the liquidation of our trust account and our warrants will expire worthless.</w:t>
      </w:r>
    </w:p>
    <w:p>
      <w:pPr>
        <w:spacing w:after="0" w:line="165"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15% of our Class A common stock, you will lose the ability to redeem all such shares in excess of 15% of our Class A common stock.</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we seek stockholder approval of our initial business combination and we do not conduct redemptions in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connection with our initial business combination pursuant to the tender offer rules, our amended and restated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certificate of incorporation will provide that a public stockholder, together with any affiliate of such stockholder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or any other person with whom such stockholder is acting in concert or as a “group” (as defined under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13 of the Exchange Act), will be restricted from seeking redemption rights with respect to more than 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aggregate of 15% of the shares sold in this offering without our prior consent, which we refer to as the “Excess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Shares.” However, we would not be restricting our stockholders’ ability to vote all of their shares (including</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Excess Shares) for or against our initial business combination. Your inability to redeem the Excess Shares will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reduce your influence over our ability to complete our initial business combination and you could suffer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material loss on your investment in us if you sell Excess Shares in open market transactions. Additionally, you</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not receive redemption distributions with respect to the Excess Shares if we complete our initial business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combination. And as a result, you will continue to hold that number of shares exceeding 15% and, in order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dispose of such shares, would be required to sell your stock in open market transactions, potentially at a loss.</w:t>
      </w:r>
    </w:p>
    <w:p>
      <w:pPr>
        <w:spacing w:after="0" w:line="230" w:lineRule="exact"/>
        <w:rPr>
          <w:sz w:val="20"/>
          <w:szCs w:val="20"/>
          <w:color w:val="auto"/>
        </w:rPr>
      </w:pPr>
    </w:p>
    <w:p>
      <w:pPr>
        <w:ind w:left="460" w:right="879"/>
        <w:spacing w:after="0" w:line="312"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76"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Class A common stock and warrants are eligible to trade separately, we anticipate that the shares of our Class A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4" w:name="page55"/>
    <w:bookmarkEnd w:id="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9" w:lineRule="auto"/>
        <w:rPr>
          <w:sz w:val="20"/>
          <w:szCs w:val="20"/>
          <w:color w:val="auto"/>
        </w:rPr>
      </w:pPr>
      <w:r>
        <w:rPr>
          <w:rFonts w:ascii="Arial" w:cs="Arial" w:eastAsia="Arial" w:hAnsi="Arial"/>
          <w:sz w:val="16"/>
          <w:szCs w:val="16"/>
          <w:color w:val="auto"/>
        </w:rPr>
        <w:t>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9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7"/>
          <w:szCs w:val="17"/>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98" w:lineRule="exact"/>
        <w:rPr>
          <w:sz w:val="20"/>
          <w:szCs w:val="20"/>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57" w:lineRule="exact"/>
        <w:rPr>
          <w:rFonts w:ascii="Arial" w:cs="Arial" w:eastAsia="Arial" w:hAnsi="Arial"/>
          <w:sz w:val="18"/>
          <w:szCs w:val="18"/>
          <w:color w:val="auto"/>
        </w:rPr>
      </w:pPr>
    </w:p>
    <w:p>
      <w:pPr>
        <w:jc w:val="both"/>
        <w:ind w:left="1320" w:right="939" w:hanging="434"/>
        <w:spacing w:after="0" w:line="311" w:lineRule="auto"/>
        <w:tabs>
          <w:tab w:leader="none" w:pos="13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2" w:lineRule="exact"/>
        <w:rPr>
          <w:sz w:val="20"/>
          <w:szCs w:val="20"/>
          <w:color w:val="auto"/>
        </w:rPr>
      </w:pPr>
    </w:p>
    <w:p>
      <w:pPr>
        <w:jc w:val="both"/>
        <w:ind w:left="460" w:right="579"/>
        <w:spacing w:after="0" w:line="347" w:lineRule="auto"/>
        <w:rPr>
          <w:sz w:val="20"/>
          <w:szCs w:val="20"/>
          <w:color w:val="auto"/>
        </w:rPr>
      </w:pPr>
      <w:r>
        <w:rPr>
          <w:rFonts w:ascii="Arial" w:cs="Arial" w:eastAsia="Arial" w:hAnsi="Arial"/>
          <w:sz w:val="16"/>
          <w:szCs w:val="16"/>
          <w:b w:val="1"/>
          <w:bCs w:val="1"/>
          <w:color w:val="auto"/>
        </w:rPr>
        <w:t>Our sponsor paid an aggregate of $25,000, or approximately $0.005 per founder share, and, accordingly, you will experience immediate and substantial dilution from the purchase of our Class B common stock.</w:t>
      </w:r>
    </w:p>
    <w:p>
      <w:pPr>
        <w:spacing w:after="0" w:line="5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Class A common stock and none to the warrant included in the unit) and the pro forma net tangible book value per share of our Class A common stock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90.6% (or $9.06 per share, assuming no exercise of the underwriters’ over-allotment option), the difference between the pro forma net tangible book value per share of $0.94 and the initial offering price of $10.00 per unit. In addition, because of the anti-dilution rights of the founder shares, any equity or equity-linked securities issued or deemed issued in connection with our initial business combination would be disproportionately dilutive to our Class A common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479"/>
        <w:spacing w:after="0" w:line="294" w:lineRule="auto"/>
        <w:rPr>
          <w:sz w:val="20"/>
          <w:szCs w:val="20"/>
          <w:color w:val="auto"/>
        </w:rPr>
      </w:pPr>
      <w:r>
        <w:rPr>
          <w:rFonts w:ascii="Arial" w:cs="Arial" w:eastAsia="Arial" w:hAnsi="Arial"/>
          <w:sz w:val="16"/>
          <w:szCs w:val="16"/>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83"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amended and restated certificate of incorporation authorizes the issuance of up to 100,000,000 shares of Class A common stock, par value $0.0001 per share, 10,000,000 shares of Class B common stock, par value $0.0001 per share, and 1,000,000 shares of preferred stock, par value $0.0001 per share. Immediately after this offering, there will be 82,500,000 and 5,625,000 (assuming, in each case, that the underwriters have not exercised their over-allotment option) authorized but unissued shares of Class A common stock and Class B common stock, respectively, available for issuance, which amount does not take into account the shares of Class A common stock reserved for issuance upon exercise of outstanding warrants or the shares of Class A common stock issuable upon conversion of Class B common stock. Immediately after the consummation of this offering, there will be no shares of preferred stock issued and outstanding. Shares of Class B common stock will automatically convert into shares of our Class A common stock at the time of our initial business combination initially at a one-for-one ratio but subject to adjustment as set forth herein, including in certain circumstances in which we issue Class A common stock or equity-linked securities related to our initial business combination.</w:t>
      </w:r>
    </w:p>
    <w:p>
      <w:pPr>
        <w:spacing w:after="0" w:line="100"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our initial business combination as a result of the anti-dilution provisions contained in our amended and restated certificate of incorporation. However, our amended and restated certificate of incorporation will provide, among other things, that prior to our initial business combination, we may not issue additional shares of capital stock that would entitle the holders thereof to</w:t>
      </w:r>
    </w:p>
    <w:p>
      <w:pPr>
        <w:spacing w:after="0" w:line="6" w:lineRule="exact"/>
        <w:rPr>
          <w:sz w:val="20"/>
          <w:szCs w:val="20"/>
          <w:color w:val="auto"/>
        </w:rPr>
      </w:pPr>
    </w:p>
    <w:p>
      <w:pPr>
        <w:ind w:left="460" w:right="479" w:hanging="6"/>
        <w:spacing w:after="0" w:line="267" w:lineRule="auto"/>
        <w:tabs>
          <w:tab w:leader="none" w:pos="6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directors and director nominees have agreed, pursuant to a written agreement with us, that they will not propose any amendment to our amended and restated certificate of incorporation (A) to modify the substance or timing of our obligation to redeem 100% of our public shares if we do not complete our initial business combination within 24 months from the closing of this offering or certain amendments to our charter prior thereto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144" w:lineRule="exact"/>
        <w:rPr>
          <w:sz w:val="20"/>
          <w:szCs w:val="20"/>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57"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102" w:lineRule="exact"/>
        <w:rPr>
          <w:rFonts w:ascii="Arial" w:cs="Arial" w:eastAsia="Arial" w:hAnsi="Arial"/>
          <w:sz w:val="18"/>
          <w:szCs w:val="18"/>
          <w:color w:val="auto"/>
        </w:rPr>
      </w:pPr>
    </w:p>
    <w:p>
      <w:pPr>
        <w:ind w:left="1320" w:right="679" w:hanging="434"/>
        <w:spacing w:after="0" w:line="311" w:lineRule="auto"/>
        <w:tabs>
          <w:tab w:leader="none" w:pos="1311"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Arial" w:cs="Arial" w:eastAsia="Arial" w:hAnsi="Arial"/>
          <w:sz w:val="16"/>
          <w:szCs w:val="16"/>
          <w:color w:val="auto"/>
        </w:rPr>
      </w:pPr>
    </w:p>
    <w:p>
      <w:pPr>
        <w:ind w:left="1300" w:hanging="414"/>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adversely affect prevailing market prices for our units, Class A common stock and/or warrants.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6" w:name="page57"/>
    <w:bookmarkEnd w:id="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519"/>
        <w:spacing w:after="0" w:line="294" w:lineRule="auto"/>
        <w:rPr>
          <w:sz w:val="20"/>
          <w:szCs w:val="20"/>
          <w:color w:val="auto"/>
        </w:rPr>
      </w:pPr>
      <w:r>
        <w:rPr>
          <w:rFonts w:ascii="Arial" w:cs="Arial" w:eastAsia="Arial" w:hAnsi="Arial"/>
          <w:sz w:val="16"/>
          <w:szCs w:val="16"/>
          <w:b w:val="1"/>
          <w:bCs w:val="1"/>
          <w:color w:val="auto"/>
        </w:rPr>
        <w:t>We are not registering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83" w:lineRule="exact"/>
        <w:rPr>
          <w:sz w:val="20"/>
          <w:szCs w:val="20"/>
          <w:color w:val="auto"/>
        </w:rPr>
      </w:pPr>
    </w:p>
    <w:p>
      <w:pPr>
        <w:ind w:left="460" w:right="519" w:firstLine="432"/>
        <w:spacing w:after="0" w:line="283" w:lineRule="auto"/>
        <w:rPr>
          <w:sz w:val="20"/>
          <w:szCs w:val="20"/>
          <w:color w:val="auto"/>
        </w:rPr>
      </w:pPr>
      <w:r>
        <w:rPr>
          <w:rFonts w:ascii="Arial" w:cs="Arial" w:eastAsia="Arial" w:hAnsi="Arial"/>
          <w:sz w:val="16"/>
          <w:szCs w:val="16"/>
          <w:color w:val="auto"/>
        </w:rPr>
        <w:t>We are not registering the shares of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common stock underlying their warrants while holders of our public warrants would not be able to exercise their warrants and sell the underlying common stock. We will use our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171" w:lineRule="exact"/>
        <w:rPr>
          <w:sz w:val="20"/>
          <w:szCs w:val="20"/>
          <w:color w:val="auto"/>
        </w:rPr>
      </w:pPr>
    </w:p>
    <w:p>
      <w:pPr>
        <w:ind w:left="460" w:right="1059"/>
        <w:spacing w:after="0" w:line="347" w:lineRule="auto"/>
        <w:rPr>
          <w:sz w:val="20"/>
          <w:szCs w:val="20"/>
          <w:color w:val="auto"/>
        </w:rPr>
      </w:pPr>
      <w:r>
        <w:rPr>
          <w:rFonts w:ascii="Arial" w:cs="Arial" w:eastAsia="Arial" w:hAnsi="Arial"/>
          <w:sz w:val="16"/>
          <w:szCs w:val="16"/>
          <w:b w:val="1"/>
          <w:bCs w:val="1"/>
          <w:color w:val="auto"/>
        </w:rPr>
        <w:t>If you exercise your public warrants on a “cashless basis,” you will receive fewer shares of Class A common stock from such exercise than if you were to exercise such warrants for cash.</w:t>
      </w:r>
    </w:p>
    <w:p>
      <w:pPr>
        <w:spacing w:after="0" w:line="52" w:lineRule="exact"/>
        <w:rPr>
          <w:sz w:val="20"/>
          <w:szCs w:val="20"/>
          <w:color w:val="auto"/>
        </w:rPr>
      </w:pPr>
    </w:p>
    <w:p>
      <w:pPr>
        <w:ind w:left="460" w:right="499" w:firstLine="432"/>
        <w:spacing w:after="0" w:line="250" w:lineRule="auto"/>
        <w:rPr>
          <w:sz w:val="20"/>
          <w:szCs w:val="20"/>
          <w:color w:val="auto"/>
        </w:rPr>
      </w:pPr>
      <w:r>
        <w:rPr>
          <w:rFonts w:ascii="Arial" w:cs="Arial" w:eastAsia="Arial" w:hAnsi="Arial"/>
          <w:sz w:val="18"/>
          <w:szCs w:val="18"/>
          <w:color w:val="auto"/>
        </w:rPr>
        <w:t>There are circumstances in which the exercise of the public warrants may be required or permitted to be made on a cashless basis. First, if a registration statement covering the shares of Class A common stock issuable upon exercise of the warrants is not effective by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after the closing of our initial business combination, warrantholders may, until such time as there is an effective registration statement, exercise warrants</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7" w:name="page58"/>
    <w:bookmarkEnd w:id="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5" w:lineRule="auto"/>
        <w:rPr>
          <w:sz w:val="20"/>
          <w:szCs w:val="20"/>
          <w:color w:val="auto"/>
        </w:rPr>
      </w:pPr>
      <w:r>
        <w:rPr>
          <w:rFonts w:ascii="Arial" w:cs="Arial" w:eastAsia="Arial" w:hAnsi="Arial"/>
          <w:sz w:val="16"/>
          <w:szCs w:val="16"/>
          <w:color w:val="auto"/>
        </w:rPr>
        <w:t>on a cashless basis in accordance with Section 3(a)(9) of the Securities Act or another exemption. Second,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(as defined in the next sentence) by (y) the fair market value. The “fair market value” is the average reported last sale price of the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70" w:lineRule="exact"/>
        <w:rPr>
          <w:sz w:val="20"/>
          <w:szCs w:val="20"/>
          <w:color w:val="auto"/>
        </w:rPr>
      </w:pPr>
    </w:p>
    <w:p>
      <w:pPr>
        <w:ind w:left="460" w:right="559"/>
        <w:spacing w:after="0" w:line="266"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11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stockholders and their permitted transferees can demand that we register the private placement warrants, the shares of Class A common stock issuable upon exercise of the founder shares and the private placement warrants held, or to be held, by them and holders of warrants that may be issued upon conversion of working capital loans may demand that we register such warrants or the Class A common stock issuable upon exercise of such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182" w:lineRule="exact"/>
        <w:rPr>
          <w:sz w:val="20"/>
          <w:szCs w:val="20"/>
          <w:color w:val="auto"/>
        </w:rPr>
      </w:pPr>
    </w:p>
    <w:p>
      <w:pPr>
        <w:ind w:left="460" w:right="959"/>
        <w:spacing w:after="0" w:line="266" w:lineRule="auto"/>
        <w:rPr>
          <w:sz w:val="20"/>
          <w:szCs w:val="20"/>
          <w:color w:val="auto"/>
        </w:rPr>
      </w:pPr>
      <w:r>
        <w:rPr>
          <w:rFonts w:ascii="Arial" w:cs="Arial" w:eastAsia="Arial" w:hAnsi="Arial"/>
          <w:sz w:val="18"/>
          <w:szCs w:val="18"/>
          <w:b w:val="1"/>
          <w:bCs w:val="1"/>
          <w:color w:val="auto"/>
        </w:rPr>
        <w:t>Unlike many other similarly structured blank check companies, our initial stockholders will receive additional shares of Class A common stock if we issue shares to consummate an initial business combination.</w:t>
      </w:r>
    </w:p>
    <w:p>
      <w:pPr>
        <w:spacing w:after="0" w:line="11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The founder shares will automatically convert into shares of Class A common stock at the time of our initial business combination on a one-for-one basis, subject to adjustment as provided herein. In the case that additional shares of Class A common stock, or equity-linked securities convertible or exercisable for Class A common stock, are issued or deemed issued in excess of the amounts offered in this prospectus and related to the closing of the initial business combination, the ratio at which founder shares shall convert into Class A common stock will be adjusted so that the number of shares of Class A common stock issuable upon conversion of all founder shares will equal, in the aggregate, on an as-converted basis, 20% of the total number of all outstanding shares of common stock upon completion of the initial business combination, excluding any shares or equity-linked securities issued, or to be issued, to any seller in the business combination and any private placement-equivalent warrants issued to our sponsor or its affiliates upon conversion of loans made to us. This is different from most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8" w:name="page59"/>
    <w:bookmarkEnd w:id="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659"/>
        <w:spacing w:after="0" w:line="303" w:lineRule="auto"/>
        <w:rPr>
          <w:sz w:val="20"/>
          <w:szCs w:val="20"/>
          <w:color w:val="auto"/>
        </w:rPr>
      </w:pPr>
      <w:r>
        <w:rPr>
          <w:rFonts w:ascii="Arial" w:cs="Arial" w:eastAsia="Arial" w:hAnsi="Arial"/>
          <w:sz w:val="16"/>
          <w:szCs w:val="16"/>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74"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10"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1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91" w:lineRule="exact"/>
        <w:rPr>
          <w:sz w:val="20"/>
          <w:szCs w:val="20"/>
          <w:color w:val="auto"/>
        </w:rPr>
      </w:pPr>
    </w:p>
    <w:p>
      <w:pPr>
        <w:ind w:left="460" w:right="539"/>
        <w:spacing w:after="0" w:line="258"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a majority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06"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mistake, including to conform the provisions of the warrant agreement to the description of the terms of the warrants and the warrant agreement set forth in this prospectus, or to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182"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8"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9" w:name="page60"/>
    <w:bookmarkEnd w:id="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83" w:lineRule="auto"/>
        <w:rPr>
          <w:sz w:val="20"/>
          <w:szCs w:val="20"/>
          <w:color w:val="auto"/>
        </w:rPr>
      </w:pPr>
      <w:r>
        <w:rPr>
          <w:rFonts w:ascii="Arial" w:cs="Arial" w:eastAsia="Arial" w:hAnsi="Arial"/>
          <w:sz w:val="16"/>
          <w:szCs w:val="16"/>
          <w:color w:val="auto"/>
        </w:rPr>
        <w:t>and the like) for any 20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w:t>
      </w:r>
    </w:p>
    <w:p>
      <w:pPr>
        <w:spacing w:after="0" w:line="5" w:lineRule="exact"/>
        <w:rPr>
          <w:sz w:val="20"/>
          <w:szCs w:val="20"/>
          <w:color w:val="auto"/>
        </w:rPr>
      </w:pPr>
    </w:p>
    <w:p>
      <w:pPr>
        <w:ind w:left="460" w:right="479" w:hanging="6"/>
        <w:spacing w:after="0" w:line="302" w:lineRule="auto"/>
        <w:tabs>
          <w:tab w:leader="none" w:pos="7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51"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9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We will be issuing warrants to purchase 8,750,000 shares of our Class A common stock (or to purchase up to 10,062,500 shares of Class A common stock if the underwriters’ over-allotment option is exercised in full) as part of the units offered by this prospectus and, simultaneously with the closing of this offering, we will be issuing in a private placement warrants to purchase an aggregate of 6,250,000 shares of Class A common stock at $11.50 per share (or 6,775,000 shares of Class A common stock if the underwriters’ over-allotment option is exercised in full). Our initial stockholders currently own an aggregate of 5,031,250 founder shares. The founder shares will automatically convert into shares of Class A common stock at the time of our initial business combination on a one-for-one basis, subject to adjustment as set forth herein. In addition, if our sponsor makes any working capital loans, up to $1,500,000 of such loans may be converted into warrants, at the price of $1.00 per warrant at the option of the lender. Such warrants would be identical to the private placement warrants, including as to exercise price, exercisability and exercise period.</w:t>
      </w:r>
    </w:p>
    <w:p>
      <w:pPr>
        <w:spacing w:after="0" w:line="104"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To the extent we issue shares of Class A common stock to effectuate an initial business combination, the potential for the issuance of a substantial number of additional shares of Class A common stock upon exercise of these warrants and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85"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private placement warrants are identical to the warrants sold as part of the units in this offering except that, so long as they are held by our sponsor or its permitted transferees, (i) they will not be redeemable by us,</w:t>
      </w:r>
    </w:p>
    <w:p>
      <w:pPr>
        <w:ind w:left="460" w:right="599" w:hanging="6"/>
        <w:spacing w:after="0" w:line="302" w:lineRule="auto"/>
        <w:tabs>
          <w:tab w:leader="none" w:pos="72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(including the Class A common stock issuable upon exercise of these warrants) may not, subject to certain limited exceptions, be transferred, assigned or sold by our sponsor until 30 days after the completion of our initial business combination and (iii) they may be exercised by the holders on a cashless basis.</w:t>
      </w:r>
    </w:p>
    <w:p>
      <w:pPr>
        <w:spacing w:after="0" w:line="151" w:lineRule="exact"/>
        <w:rPr>
          <w:sz w:val="20"/>
          <w:szCs w:val="20"/>
          <w:color w:val="auto"/>
        </w:rPr>
      </w:pPr>
    </w:p>
    <w:p>
      <w:pPr>
        <w:ind w:left="460" w:right="1099"/>
        <w:spacing w:after="0" w:line="312" w:lineRule="auto"/>
        <w:rPr>
          <w:sz w:val="20"/>
          <w:szCs w:val="20"/>
          <w:color w:val="auto"/>
        </w:rPr>
      </w:pPr>
      <w:r>
        <w:rPr>
          <w:rFonts w:ascii="Arial" w:cs="Arial" w:eastAsia="Arial" w:hAnsi="Arial"/>
          <w:sz w:val="17"/>
          <w:szCs w:val="17"/>
          <w:b w:val="1"/>
          <w:bCs w:val="1"/>
          <w:color w:val="auto"/>
        </w:rPr>
        <w:t>Because each unit contains one-half of one redeemable warrant and only a whole warrant may be exercised, the units may be worth less than units of other blank check companies.</w:t>
      </w:r>
    </w:p>
    <w:p>
      <w:pPr>
        <w:spacing w:after="0" w:line="76"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Each unit contains one-half of one redeemable warrant. No fractional warrants will be issued upon separation of the units and only whole warrants will trade. Accordingly, unless you purchase at least two units, you will not be able to receive or trade a whole warrant.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103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Unlike most blank check companies, if</w:t>
      </w:r>
    </w:p>
    <w:p>
      <w:pPr>
        <w:spacing w:after="0" w:line="158" w:lineRule="exact"/>
        <w:rPr>
          <w:sz w:val="20"/>
          <w:szCs w:val="20"/>
          <w:color w:val="auto"/>
        </w:rPr>
      </w:pPr>
    </w:p>
    <w:p>
      <w:pPr>
        <w:ind w:left="1320" w:right="559" w:hanging="434"/>
        <w:spacing w:after="0" w:line="263" w:lineRule="auto"/>
        <w:tabs>
          <w:tab w:leader="none" w:pos="12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16" w:lineRule="exact"/>
        <w:rPr>
          <w:rFonts w:ascii="Arial" w:cs="Arial" w:eastAsia="Arial" w:hAnsi="Arial"/>
          <w:sz w:val="18"/>
          <w:szCs w:val="18"/>
          <w:color w:val="auto"/>
        </w:rPr>
      </w:pPr>
    </w:p>
    <w:p>
      <w:pPr>
        <w:ind w:left="1320" w:right="659" w:hanging="434"/>
        <w:spacing w:after="0" w:line="311" w:lineRule="auto"/>
        <w:tabs>
          <w:tab w:leader="none" w:pos="128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67" w:lineRule="exact"/>
        <w:rPr>
          <w:rFonts w:ascii="Arial" w:cs="Arial" w:eastAsia="Arial" w:hAnsi="Arial"/>
          <w:sz w:val="16"/>
          <w:szCs w:val="16"/>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58" w:lineRule="exact"/>
        <w:rPr>
          <w:sz w:val="20"/>
          <w:szCs w:val="20"/>
          <w:color w:val="auto"/>
        </w:rPr>
      </w:pPr>
    </w:p>
    <w:p>
      <w:pPr>
        <w:ind w:left="460" w:right="499"/>
        <w:spacing w:after="0" w:line="279" w:lineRule="auto"/>
        <w:rPr>
          <w:sz w:val="20"/>
          <w:szCs w:val="20"/>
          <w:color w:val="auto"/>
        </w:rPr>
      </w:pPr>
      <w:r>
        <w:rPr>
          <w:rFonts w:ascii="Arial" w:cs="Arial" w:eastAsia="Arial" w:hAnsi="Arial"/>
          <w:sz w:val="17"/>
          <w:szCs w:val="17"/>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67"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96" w:lineRule="exact"/>
        <w:rPr>
          <w:sz w:val="20"/>
          <w:szCs w:val="20"/>
          <w:color w:val="auto"/>
        </w:rPr>
      </w:pPr>
    </w:p>
    <w:p>
      <w:pPr>
        <w:ind w:left="1320" w:right="119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8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1" w:name="page62"/>
    <w:bookmarkEnd w:id="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99"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94"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3"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b w:val="1"/>
          <w:b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0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09"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An investment in this offering may result in uncertain or adverse U.S. federal income tax consequences.</w:t>
      </w:r>
    </w:p>
    <w:p>
      <w:pPr>
        <w:spacing w:after="0" w:line="171"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An investment in this offering may result in uncertain U.S. federal income tax consequences. For instance, because there are no authorities that directly address instruments similar to the units we are issuing in this offering, their treatment for U.S. federal income tax purposes is uncertain, and the allocation an investor makes with respect to the purchase price of a unit between the share of Class A common stock and the one-half of one redeemable warrant included in each unit could be challenged by the Internal Revenue Service (“IRS”) or the courts. In addition, if we are determined to be a personal holding company for U.S. federal income tax purposes, our taxable income would be subjected to an additional 20% federal income tax, which would reduce the net after-tax amount of interest income earned on the funds placed in our trust account. Furthermore, the U.S. federal income tax consequences of a cashless exercise of warrants included in the units we are issuing in this offering is unclear under current law. Finally, it is unclear whether the redemption rights with respect to our shares suspend the running of a U.S. holder’s holding period for purposes of determining whether (i) any gain or loss realized by such holder on the sale or exchange of Class A common stock is long-term capital gain or loss, (ii) any dividends we pay would be considered “qualified dividends” for U.S. federal income tax purposes and (iii) any dividend we pay would be eligible for the corporate dividends-received deduction. See the section entitled “U.S. Federal Income Tax Considerations” for a summary of the principal U.S. federal income tax consequences of an investment in our securities. Prospective investors are urged to consult their tax advisors with respect to these and other tax consequences when purchasing, holding or disposing of our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460" w:right="759"/>
        <w:spacing w:after="0" w:line="282" w:lineRule="auto"/>
        <w:rPr>
          <w:sz w:val="20"/>
          <w:szCs w:val="20"/>
          <w:color w:val="auto"/>
        </w:rPr>
      </w:pPr>
      <w:r>
        <w:rPr>
          <w:rFonts w:ascii="Arial" w:cs="Arial" w:eastAsia="Arial" w:hAnsi="Arial"/>
          <w:sz w:val="18"/>
          <w:szCs w:val="18"/>
          <w:b w:val="1"/>
          <w:bCs w:val="1"/>
          <w:color w:val="auto"/>
        </w:rPr>
        <w:t>We are a newly formed company with no operating history and no revenues, and you have no basis on which to evaluate our ability to achieve our business objective.</w:t>
      </w:r>
    </w:p>
    <w:p>
      <w:pPr>
        <w:spacing w:after="0" w:line="9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We are a newly formed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6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Past performance by our management team or our advisors may not be indicative of future performance of an investment in the Company.</w:t>
      </w:r>
    </w:p>
    <w:p>
      <w:pPr>
        <w:spacing w:after="0" w:line="98" w:lineRule="exact"/>
        <w:rPr>
          <w:sz w:val="20"/>
          <w:szCs w:val="20"/>
          <w:color w:val="auto"/>
        </w:rPr>
      </w:pPr>
    </w:p>
    <w:p>
      <w:pPr>
        <w:ind w:left="460" w:right="599" w:firstLine="432"/>
        <w:spacing w:after="0" w:line="272" w:lineRule="auto"/>
        <w:rPr>
          <w:sz w:val="20"/>
          <w:szCs w:val="20"/>
          <w:color w:val="auto"/>
        </w:rPr>
      </w:pPr>
      <w:r>
        <w:rPr>
          <w:rFonts w:ascii="Arial" w:cs="Arial" w:eastAsia="Arial" w:hAnsi="Arial"/>
          <w:sz w:val="17"/>
          <w:szCs w:val="17"/>
          <w:color w:val="auto"/>
        </w:rPr>
        <w:t>Past performance by our management team or our advisors is not a guarantee either (i) that we will be able to locate a suitable candidate for our initial business combination or (ii) of success with respect to any business combination we may consummate. You should not rely on the historical record of our management team’s or our advisors’ respective performance as indicative of our future performance of an investment in the company or the returns the company will, or is likely to, generate going forward. Additionally, in the course of their respective careers, members of our management team and our advisors have been involved in businesses and transactions that were not successful.</w:t>
      </w:r>
    </w:p>
    <w:p>
      <w:pPr>
        <w:spacing w:after="0" w:line="173" w:lineRule="exact"/>
        <w:rPr>
          <w:sz w:val="20"/>
          <w:szCs w:val="20"/>
          <w:color w:val="auto"/>
        </w:rPr>
      </w:pPr>
    </w:p>
    <w:p>
      <w:pPr>
        <w:ind w:left="460" w:right="679"/>
        <w:spacing w:after="0" w:line="282"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85"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99"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16"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There are risks related to the technology industry to which we may be subject.</w:t>
      </w:r>
    </w:p>
    <w:p>
      <w:pPr>
        <w:spacing w:after="0" w:line="162"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Business combinations with companies with operations in the technology industry entail special considerations and risks. If we are successful in completing a business combination with a target business with operations in the technology industry, we will be subject to, and possibly adversely affected by, the following risks, including but not limited to:</w:t>
      </w:r>
    </w:p>
    <w:p>
      <w:pPr>
        <w:spacing w:after="0" w:line="106" w:lineRule="exact"/>
        <w:rPr>
          <w:sz w:val="20"/>
          <w:szCs w:val="20"/>
          <w:color w:val="auto"/>
        </w:rPr>
      </w:pPr>
    </w:p>
    <w:p>
      <w:pPr>
        <w:ind w:left="1300" w:hanging="41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do not develop successful new products or improve existing ones, our business will suffer;</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invest in new lines of business that could fail to attract or retain users or generate revenue;</w:t>
      </w:r>
    </w:p>
    <w:p>
      <w:pPr>
        <w:spacing w:after="0" w:line="180" w:lineRule="exact"/>
        <w:rPr>
          <w:rFonts w:ascii="Arial" w:cs="Arial" w:eastAsia="Arial" w:hAnsi="Arial"/>
          <w:sz w:val="16"/>
          <w:szCs w:val="16"/>
          <w:color w:val="auto"/>
        </w:rPr>
      </w:pPr>
    </w:p>
    <w:p>
      <w:pPr>
        <w:ind w:left="1320" w:right="51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89" w:lineRule="exact"/>
        <w:rPr>
          <w:rFonts w:ascii="Arial" w:cs="Arial" w:eastAsia="Arial" w:hAnsi="Arial"/>
          <w:sz w:val="18"/>
          <w:szCs w:val="18"/>
          <w:color w:val="auto"/>
        </w:rPr>
      </w:pPr>
    </w:p>
    <w:p>
      <w:pPr>
        <w:ind w:left="1320" w:right="619" w:hanging="434"/>
        <w:spacing w:after="0" w:line="259"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19"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02"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89"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02"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16"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89"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technology industry.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4" w:lineRule="exact"/>
        <w:rPr>
          <w:sz w:val="20"/>
          <w:szCs w:val="20"/>
          <w:color w:val="auto"/>
        </w:rPr>
      </w:pPr>
    </w:p>
    <w:p>
      <w:pPr>
        <w:ind w:left="460" w:right="639"/>
        <w:spacing w:after="0" w:line="343" w:lineRule="auto"/>
        <w:rPr>
          <w:sz w:val="20"/>
          <w:szCs w:val="20"/>
          <w:color w:val="auto"/>
        </w:rPr>
      </w:pPr>
      <w:r>
        <w:rPr>
          <w:rFonts w:ascii="Arial" w:cs="Arial" w:eastAsia="Arial" w:hAnsi="Arial"/>
          <w:sz w:val="15"/>
          <w:szCs w:val="15"/>
          <w:b w:val="1"/>
          <w:bCs w:val="1"/>
          <w:color w:val="auto"/>
        </w:rPr>
        <w:t>We are an “emerging growth company” and “smaller reporting company” within the meaning of the Securities Act and we cannot be certain if the reduced disclosure requirements applicable to emerging growth companies and smaller reporting companies will make our securities less attractive to investors.</w:t>
      </w:r>
    </w:p>
    <w:p>
      <w:pPr>
        <w:spacing w:after="0" w:line="61" w:lineRule="exact"/>
        <w:rPr>
          <w:sz w:val="20"/>
          <w:szCs w:val="20"/>
          <w:color w:val="auto"/>
        </w:rPr>
      </w:pPr>
    </w:p>
    <w:p>
      <w:pPr>
        <w:jc w:val="both"/>
        <w:ind w:left="460" w:right="899" w:firstLine="432"/>
        <w:spacing w:after="0" w:line="263"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4" w:name="page65"/>
    <w:bookmarkEnd w:id="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0" w:lineRule="exact"/>
        <w:rPr>
          <w:sz w:val="20"/>
          <w:szCs w:val="20"/>
          <w:color w:val="auto"/>
        </w:rPr>
      </w:pPr>
    </w:p>
    <w:p>
      <w:pPr>
        <w:ind w:left="460" w:right="679" w:firstLine="432"/>
        <w:spacing w:after="0" w:line="290"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5" w:name="page66"/>
    <w:bookmarkEnd w:id="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460" w:right="599" w:firstLine="432"/>
        <w:spacing w:after="0" w:line="263" w:lineRule="auto"/>
        <w:rPr>
          <w:sz w:val="20"/>
          <w:szCs w:val="20"/>
          <w:color w:val="auto"/>
        </w:rPr>
      </w:pPr>
      <w:r>
        <w:rPr>
          <w:rFonts w:ascii="Arial" w:cs="Arial" w:eastAsia="Arial" w:hAnsi="Arial"/>
          <w:sz w:val="18"/>
          <w:szCs w:val="18"/>
          <w:color w:val="auto"/>
        </w:rPr>
        <w:t>We are offering 17,500,000 units at a offering price of $10.00 per unit. We estimate that the net proceeds of this offering together with the funds we will receive from the sale of the private placement warrants will be used as set forth in the following table.</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Without</w:t>
            </w:r>
          </w:p>
        </w:tc>
        <w:tc>
          <w:tcPr>
            <w:tcW w:w="100" w:type="dxa"/>
            <w:vAlign w:val="bottom"/>
          </w:tcPr>
          <w:p>
            <w:pPr>
              <w:spacing w:after="0"/>
              <w:rPr>
                <w:sz w:val="17"/>
                <w:szCs w:val="17"/>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5"/>
              </w:rPr>
              <w:t>Over-Allotment</w:t>
            </w:r>
          </w:p>
        </w:tc>
      </w:tr>
      <w:tr>
        <w:trPr>
          <w:trHeight w:val="203"/>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Over-Allotment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Option</w:t>
            </w:r>
          </w:p>
        </w:tc>
      </w:tr>
      <w:tr>
        <w:trPr>
          <w:trHeight w:val="210"/>
        </w:trPr>
        <w:tc>
          <w:tcPr>
            <w:tcW w:w="5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Option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Exercised</w:t>
            </w:r>
          </w:p>
        </w:tc>
      </w:tr>
      <w:tr>
        <w:trPr>
          <w:trHeight w:val="47"/>
        </w:trPr>
        <w:tc>
          <w:tcPr>
            <w:tcW w:w="53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Gross proceeds from units offered to public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175,000,000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201,250,000</w:t>
            </w: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Gross proceeds from private placement warrants offered in the private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6,775,000</w:t>
            </w: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Total gross proceeds</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181,250,000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208,025,000</w:t>
            </w:r>
          </w:p>
        </w:tc>
        <w:tc>
          <w:tcPr>
            <w:tcW w:w="160" w:type="dxa"/>
            <w:vAlign w:val="bottom"/>
          </w:tcPr>
          <w:p>
            <w:pPr>
              <w:spacing w:after="0"/>
              <w:rPr>
                <w:sz w:val="19"/>
                <w:szCs w:val="19"/>
                <w:color w:val="auto"/>
              </w:rPr>
            </w:pP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84"/>
        </w:trPr>
        <w:tc>
          <w:tcPr>
            <w:tcW w:w="5340" w:type="dxa"/>
            <w:vAlign w:val="bottom"/>
          </w:tcPr>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0"/>
                <w:szCs w:val="20"/>
                <w:i w:val="1"/>
                <w:iCs w:val="1"/>
                <w:color w:val="auto"/>
                <w:vertAlign w:val="superscript"/>
              </w:rPr>
              <w:t>(1)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Underwriting commissions (2% of gross proceeds from units offered to</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excluding deferred portion)</w:t>
            </w:r>
            <w:r>
              <w:rPr>
                <w:rFonts w:ascii="Arial" w:cs="Arial" w:eastAsia="Arial" w:hAnsi="Arial"/>
                <w:sz w:val="20"/>
                <w:szCs w:val="20"/>
                <w:color w:val="auto"/>
                <w:vertAlign w:val="superscript"/>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4,025,000</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r>
      <w:tr>
        <w:trPr>
          <w:trHeight w:val="41"/>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SEC/FINRA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52,644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52,644</w:t>
            </w: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Nasdaq listing and filing fees (including deferred fees)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119,856</w:t>
            </w: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Total offering expenses (other than underwriting commissions)</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160" w:type="dxa"/>
            <w:vAlign w:val="bottom"/>
          </w:tcPr>
          <w:p>
            <w:pPr>
              <w:spacing w:after="0"/>
              <w:rPr>
                <w:sz w:val="19"/>
                <w:szCs w:val="19"/>
                <w:color w:val="auto"/>
              </w:rPr>
            </w:pP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offering expenses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176,800,000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203,050,000</w:t>
            </w: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Held in trust account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175,000,000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201,250,000</w:t>
            </w:r>
          </w:p>
        </w:tc>
        <w:tc>
          <w:tcPr>
            <w:tcW w:w="160" w:type="dxa"/>
            <w:vAlign w:val="bottom"/>
          </w:tcPr>
          <w:p>
            <w:pPr>
              <w:spacing w:after="0"/>
              <w:rPr>
                <w:sz w:val="19"/>
                <w:szCs w:val="19"/>
                <w:color w:val="auto"/>
              </w:rPr>
            </w:pPr>
          </w:p>
        </w:tc>
      </w:tr>
      <w:tr>
        <w:trPr>
          <w:trHeight w:val="40"/>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1,800,000</w:t>
            </w:r>
          </w:p>
        </w:tc>
      </w:tr>
    </w:tbl>
    <w:p>
      <w:pPr>
        <w:spacing w:after="0" w:line="161" w:lineRule="exact"/>
        <w:rPr>
          <w:sz w:val="20"/>
          <w:szCs w:val="20"/>
          <w:color w:val="auto"/>
        </w:rPr>
      </w:pPr>
    </w:p>
    <w:p>
      <w:pPr>
        <w:ind w:left="460" w:right="679" w:firstLine="432"/>
        <w:spacing w:after="0" w:line="299" w:lineRule="auto"/>
        <w:rPr>
          <w:sz w:val="20"/>
          <w:szCs w:val="20"/>
          <w:color w:val="auto"/>
        </w:rPr>
      </w:pPr>
      <w:r>
        <w:rPr>
          <w:rFonts w:ascii="Arial" w:cs="Arial" w:eastAsia="Arial" w:hAnsi="Arial"/>
          <w:sz w:val="18"/>
          <w:szCs w:val="18"/>
          <w:color w:val="auto"/>
        </w:rPr>
        <w:t>The following table shows the use of the approximately $1,800,000 of net proceeds not held in the trust account</w:t>
      </w:r>
      <w:r>
        <w:rPr>
          <w:rFonts w:ascii="Arial" w:cs="Arial" w:eastAsia="Arial" w:hAnsi="Arial"/>
          <w:sz w:val="20"/>
          <w:szCs w:val="20"/>
          <w:color w:val="auto"/>
          <w:vertAlign w:val="superscript"/>
        </w:rPr>
        <w:t>(3)</w:t>
      </w:r>
      <w:r>
        <w:rPr>
          <w:rFonts w:ascii="Arial" w:cs="Arial" w:eastAsia="Arial" w:hAnsi="Arial"/>
          <w:sz w:val="18"/>
          <w:szCs w:val="18"/>
          <w:color w:val="auto"/>
        </w:rPr>
        <w:t>.</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 of Total</w:t>
            </w:r>
          </w:p>
        </w:tc>
      </w:tr>
      <w:tr>
        <w:trPr>
          <w:trHeight w:val="47"/>
        </w:trPr>
        <w:tc>
          <w:tcPr>
            <w:tcW w:w="55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82"/>
        </w:trPr>
        <w:tc>
          <w:tcPr>
            <w:tcW w:w="5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Legal, accounting, due diligence, travel, and other expenses in connection</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51"/>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any business combination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40"/>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Payment for office space, utilities and secretarial and administrative support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Working capital to cover miscellaneous expenses</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479" w:hanging="426"/>
        <w:spacing w:after="0" w:line="282" w:lineRule="auto"/>
        <w:tabs>
          <w:tab w:leader="none" w:pos="871"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portion of the offering expenses have been paid from the proceeds of loans from our sponsor of up to $300,000 as described in this prospectus. As of December 2, 2020, we had borrowed approximately $150,000 under the promissory note with our sponsor. These loans will be repaid upon completion of this offering out of the proceeds that have been allocated for the payment of offering expenses (other than underwriting commissions) and amounts not to be held in the trust account. In the event that offering expenses are less than as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2" w:lineRule="exact"/>
        <w:rPr>
          <w:rFonts w:ascii="Arial" w:cs="Arial" w:eastAsia="Arial" w:hAnsi="Arial"/>
          <w:sz w:val="15"/>
          <w:szCs w:val="15"/>
          <w:color w:val="auto"/>
        </w:rPr>
      </w:pPr>
    </w:p>
    <w:p>
      <w:pPr>
        <w:ind w:left="880" w:right="499" w:hanging="426"/>
        <w:spacing w:after="0" w:line="268" w:lineRule="auto"/>
        <w:tabs>
          <w:tab w:leader="none" w:pos="87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underwriters have agreed to defer underwriting commissions equal to 3.5% of the gross proceeds of this offering. Upon completion of our initial business combination, $6,125,000 (or up to $7,043,750 if the underwriters’ over-allotment option is exercised in full), which constitutes the underwriters’ deferred commissions will be paid to the underwriters from the funds held in the trust account, and the remaining funds, less amounts released by the trustee to pay redeeming stockholders, will be released to us and can be used to pay all or a portion of the purchase price of the business or businesses with which our initial business combination occurs or for general corporate purposes, including payment of</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6" w:name="page67"/>
    <w:bookmarkEnd w:id="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both"/>
        <w:ind w:left="880" w:right="1019"/>
        <w:spacing w:after="0" w:line="261" w:lineRule="auto"/>
        <w:rPr>
          <w:sz w:val="20"/>
          <w:szCs w:val="20"/>
          <w:color w:val="auto"/>
        </w:rPr>
      </w:pPr>
      <w:r>
        <w:rPr>
          <w:rFonts w:ascii="Arial" w:cs="Arial" w:eastAsia="Arial" w:hAnsi="Arial"/>
          <w:sz w:val="16"/>
          <w:szCs w:val="16"/>
          <w:color w:val="auto"/>
        </w:rPr>
        <w:t>principal or interest on indebtedness incurred in connection with our initial business combination, to fund the purchases of other companies or for working capital. Cantor will not be entitled to any interest accrued on the deferred underwriting discounts and commissions.</w:t>
      </w:r>
    </w:p>
    <w:p>
      <w:pPr>
        <w:spacing w:after="0" w:line="1" w:lineRule="exact"/>
        <w:rPr>
          <w:sz w:val="20"/>
          <w:szCs w:val="20"/>
          <w:color w:val="auto"/>
        </w:rPr>
      </w:pPr>
    </w:p>
    <w:p>
      <w:pPr>
        <w:ind w:left="880" w:right="539" w:hanging="426"/>
        <w:spacing w:after="0" w:line="266" w:lineRule="auto"/>
        <w:tabs>
          <w:tab w:leader="none" w:pos="877"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an initial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w:t>
      </w:r>
    </w:p>
    <w:p>
      <w:pPr>
        <w:spacing w:after="0" w:line="11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Of the net proceeds of this offering and the sale of the private placement warrants, $175,000,000 (or $201,250,000 if the underwriters’ over-allotment option is exercised in full), including $6,125,000 (or $7,043,750 if the underwriters’ over-allotment option is exercised in full) of deferred underwriting commissions, will be placed in a trust account in the United States at J.P. Morgan Chase Bank, N.A., with Continental Stock Transfer &amp; Trust Company acting as trustee, and will be invested only in U.S. government treasury bills with a maturity of 185 days or less or in money market funds meeting certain conditions under Rule 2a-7 under the Investment Company Act which invest only in direct U.S. government treasury obligations. We estimate that the interest earned on the trust account will be approximately $175,000 per year, assuming an interest rate of 0.1% per year; however, we can provide no assurance regarding this amount. Except with respect to interest earned on the funds held in the trust account that may be released to us to pay our tax obligations, the proceeds from this offering and the sale of the private placement warrants will not be released from the trust account until the earliest to occur of: (a) the completion of our initial business combination, (b)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within 24 months from the closing of this offering or (B) with respect to any other provision relating to stockholders’ rights or pre-initial business combination activity, and (c) the redemption of our public shares if we are unable to complete our initial business combination within 24 months from the closing of this offering, subject to applicable law. Stockholders who do not exercise their redemption rights in connection with an amendment to our certificate of incorporation would still be able to exercise their redemption rights in connection with a subsequent business combination.</w:t>
      </w:r>
    </w:p>
    <w:p>
      <w:pPr>
        <w:spacing w:after="0" w:line="114"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1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an initial business combination. However, if our estimate of the costs of undertaking in-depth due diligence and negotiating an initial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their affiliates, but such persons are not under any obligation to advance funds to, or invest in, us.</w:t>
      </w:r>
    </w:p>
    <w:p>
      <w:pPr>
        <w:spacing w:after="0" w:line="101"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Commencing on the date of this prospectus, we have agreed to pay our sponsor a total of $10,000 per month for office space, utilities and secretarial and administrative support. Upon the completion of our initial business combination or our liquidation, we will cease paying these monthly fees.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Prior to the closing of this offering, our sponsor has agreed to loan us up to $300,000 to be used for a portion of the expenses of this offering. As of December 2, 2020, we had borrowed approximately $150,000 under the promissory note with our sponsor to be used for a portion of the expenses of this offering. These loans are non-interest bearing, unsecured and are due at the earlier of March 31, 2021 or the closing of this offering. The loan will be repaid upon the closing of this offering out of offering proceeds not held in the trust account.</w:t>
      </w:r>
    </w:p>
    <w:p>
      <w:pPr>
        <w:spacing w:after="0" w:line="9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06"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 See “Proposed Business — Permitted purchases of our securities” for a description of how our sponsor, initial stockholders, directors, officers, advisors or any of their affiliates will select which stockholders to purchase securities from in any private transaction.</w:t>
      </w:r>
    </w:p>
    <w:p>
      <w:pPr>
        <w:spacing w:after="0" w:line="10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1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68" w:name="page69"/>
    <w:bookmarkEnd w:id="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color w:val="auto"/>
        </w:rPr>
        <w:t>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6"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A public stockholder will be entitled to receive funds from the trust account only upon the earliest to occur of: (i) our completion of an initial business combination, (ii) the redemption of any public shares properly submitted in connection with a stockholder vote to amend our amended and restated certificate of incorporation</w:t>
      </w:r>
    </w:p>
    <w:p>
      <w:pPr>
        <w:spacing w:after="0" w:line="2" w:lineRule="exact"/>
        <w:rPr>
          <w:sz w:val="20"/>
          <w:szCs w:val="20"/>
          <w:color w:val="auto"/>
        </w:rPr>
      </w:pPr>
    </w:p>
    <w:p>
      <w:pPr>
        <w:ind w:left="460" w:right="499" w:hanging="6"/>
        <w:spacing w:after="0" w:line="268" w:lineRule="auto"/>
        <w:tabs>
          <w:tab w:leader="none" w:pos="7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our initial business combination within 24 months following the closing of this offering, subject to applicable law and as further described herein and any limitations (including but not limited to cash requirements) created by the terms of the proposed initial business combination. Stockholders who do not exercise their redemption rights in connection with an amendment to our certificate of incorporation would still be able to exercise their redemption rights in connection with a subsequent business combination. In no other circumstances will a public stockholder have any right or interest of any kind to or in the trust account.</w:t>
      </w:r>
    </w:p>
    <w:p>
      <w:pPr>
        <w:spacing w:after="0" w:line="111"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In addition, our initial stockholders have agreed to waive their rights to liquidating distributions from the trust account with respect to any founder shares held by them if we fail to complete our initial business combination within the prescribed time frame. However, if our sponsor or any of our officers, directors or affiliates acquires public shares in or after this offering, they will be entitled to liquidating distributions from the trust account with respect to such public shares if we fail to complete our initial business combination within the prescribed time frame.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9" w:name="page70"/>
    <w:bookmarkEnd w:id="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20.0% of the issued and outstanding shares of our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Class A common stock which may be redeemed for cash), by the number of outstanding shares of our Class A common stock.</w:t>
      </w:r>
    </w:p>
    <w:p>
      <w:pPr>
        <w:spacing w:after="0" w:line="113" w:lineRule="exact"/>
        <w:rPr>
          <w:sz w:val="20"/>
          <w:szCs w:val="20"/>
          <w:color w:val="auto"/>
        </w:rPr>
      </w:pPr>
    </w:p>
    <w:p>
      <w:pPr>
        <w:ind w:left="460" w:right="679" w:firstLine="432"/>
        <w:spacing w:after="0" w:line="268" w:lineRule="auto"/>
        <w:rPr>
          <w:sz w:val="20"/>
          <w:szCs w:val="20"/>
          <w:color w:val="auto"/>
        </w:rPr>
      </w:pPr>
      <w:r>
        <w:rPr>
          <w:rFonts w:ascii="Arial" w:cs="Arial" w:eastAsia="Arial" w:hAnsi="Arial"/>
          <w:sz w:val="17"/>
          <w:szCs w:val="17"/>
          <w:color w:val="auto"/>
        </w:rPr>
        <w:t>At October 13, 2020, our net tangible book deficit was $(13,261) or approximately $(0.00) per share of common stock. After giving effect to the sale of 17,500,000 shares of Class A common stock included in the units we are offering by this prospectus (or 20,125,000 shares of Class A common stock if the underwriters’ over-allotment option is exercised in full), the sale of the private placement warrants and the deduction of underwriting commissions and estimated expenses of this offering, our pro forma net tangible book value at October 13, 2020 would have been $5,000,009, or approximately $0.94 per share (or $5,000,009, or approximately $0.83 per share if the underwriters’ over-allotment option is exercised in full), representing an immediate increase in net tangible book value (as decreased by the value of 16,569,923 shares of Class A common stock that may be redeemed for cash, or 19,103,048 shares of Class A common stock if the underwriters’ over-allotment option is exercised in full) of $0.94 per share (or $0.83 per share if the underwriters’ over-allotment option is exercised in full) to our initial stockholders as of the date of this prospectus and dilution to public stockholders from this offering will be $9.06 per share (or $9.17 per share if the underwriters’ over-allotment option is exercised in full).</w:t>
      </w:r>
    </w:p>
    <w:p>
      <w:pPr>
        <w:spacing w:after="0" w:line="119"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The following table illustrates the dilution to the public stockholders on a per-share basis, assuming no value is attributed to the warrants included in the units or the private placement warrants: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320" w:type="dxa"/>
            <w:vAlign w:val="bottom"/>
            <w:gridSpan w:val="3"/>
          </w:tcPr>
          <w:p>
            <w:pPr>
              <w:jc w:val="center"/>
              <w:ind w:left="534"/>
              <w:spacing w:after="0"/>
              <w:rPr>
                <w:sz w:val="20"/>
                <w:szCs w:val="20"/>
                <w:color w:val="auto"/>
              </w:rPr>
            </w:pPr>
            <w:r>
              <w:rPr>
                <w:rFonts w:ascii="Arial" w:cs="Arial" w:eastAsia="Arial" w:hAnsi="Arial"/>
                <w:sz w:val="16"/>
                <w:szCs w:val="16"/>
                <w:b w:val="1"/>
                <w:bCs w:val="1"/>
                <w:color w:val="auto"/>
                <w:w w:val="97"/>
              </w:rPr>
              <w:t>Without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With</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21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6"/>
        </w:trPr>
        <w:tc>
          <w:tcPr>
            <w:tcW w:w="39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0.83</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w:t>
            </w: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180"/>
              <w:spacing w:after="0"/>
              <w:rPr>
                <w:sz w:val="20"/>
                <w:szCs w:val="20"/>
                <w:color w:val="auto"/>
              </w:rPr>
            </w:pPr>
            <w:r>
              <w:rPr>
                <w:rFonts w:ascii="Arial" w:cs="Arial" w:eastAsia="Arial" w:hAnsi="Arial"/>
                <w:sz w:val="18"/>
                <w:szCs w:val="18"/>
                <w:color w:val="auto"/>
              </w:rPr>
              <w:t>and the sale of the private placement warrants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102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stockholders</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$165,699,230 because holders of up to approximately 94.7%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97" w:lineRule="exact"/>
        <w:rPr>
          <w:sz w:val="20"/>
          <w:szCs w:val="20"/>
          <w:color w:val="auto"/>
        </w:rPr>
      </w:pPr>
    </w:p>
    <w:p>
      <w:pPr>
        <w:ind w:left="460" w:right="1239" w:firstLine="432"/>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50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16"/>
        </w:trPr>
        <w:tc>
          <w:tcPr>
            <w:tcW w:w="186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22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restart"/>
          </w:tcPr>
          <w:p>
            <w:pPr>
              <w:jc w:val="center"/>
              <w:ind w:right="155"/>
              <w:spacing w:after="0" w:line="142" w:lineRule="exact"/>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46"/>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122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w:t>
            </w:r>
          </w:p>
        </w:tc>
        <w:tc>
          <w:tcPr>
            <w:tcW w:w="1260" w:type="dxa"/>
            <w:vAlign w:val="bottom"/>
            <w:gridSpan w:val="3"/>
          </w:tcPr>
          <w:p>
            <w:pPr>
              <w:ind w:left="200"/>
              <w:spacing w:after="0"/>
              <w:rPr>
                <w:sz w:val="20"/>
                <w:szCs w:val="20"/>
                <w:color w:val="auto"/>
              </w:rPr>
            </w:pPr>
            <w:r>
              <w:rPr>
                <w:rFonts w:ascii="Arial" w:cs="Arial" w:eastAsia="Arial" w:hAnsi="Arial"/>
                <w:sz w:val="16"/>
                <w:szCs w:val="16"/>
                <w:b w:val="1"/>
                <w:bCs w:val="1"/>
                <w:color w:val="auto"/>
              </w:rPr>
              <w:t>Percentage</w:t>
            </w:r>
          </w:p>
        </w:tc>
        <w:tc>
          <w:tcPr>
            <w:tcW w:w="16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115"/>
              <w:spacing w:after="0"/>
              <w:rPr>
                <w:sz w:val="20"/>
                <w:szCs w:val="20"/>
                <w:color w:val="auto"/>
              </w:rPr>
            </w:pPr>
            <w:r>
              <w:rPr>
                <w:rFonts w:ascii="Arial" w:cs="Arial" w:eastAsia="Arial" w:hAnsi="Arial"/>
                <w:sz w:val="16"/>
                <w:szCs w:val="16"/>
                <w:b w:val="1"/>
                <w:bCs w:val="1"/>
                <w:color w:val="auto"/>
                <w:w w:val="90"/>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0"/>
                <w:szCs w:val="20"/>
                <w:color w:val="auto"/>
              </w:rPr>
            </w:pPr>
            <w:r>
              <w:rPr>
                <w:rFonts w:ascii="Arial" w:cs="Arial" w:eastAsia="Arial" w:hAnsi="Arial"/>
                <w:sz w:val="18"/>
                <w:szCs w:val="18"/>
                <w:color w:val="auto"/>
              </w:rPr>
              <w:t>Public Stockholders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17,500,000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175,000,000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21,875,000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175,025,000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659" w:hanging="426"/>
        <w:spacing w:after="0" w:line="293" w:lineRule="auto"/>
        <w:tabs>
          <w:tab w:leader="none" w:pos="8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an aggregate of 656,250 shares of Class B common stock held by our sponsor.</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1" w:name="page72"/>
    <w:bookmarkEnd w:id="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7"/>
              </w:rPr>
              <w:t>Without</w:t>
            </w:r>
          </w:p>
        </w:tc>
        <w:tc>
          <w:tcPr>
            <w:tcW w:w="8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Over-allotment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2"/>
              </w:rPr>
              <w:t>Over-allotment</w:t>
            </w:r>
          </w:p>
        </w:tc>
        <w:tc>
          <w:tcPr>
            <w:tcW w:w="0" w:type="dxa"/>
            <w:vAlign w:val="bottom"/>
          </w:tcPr>
          <w:p>
            <w:pPr>
              <w:spacing w:after="0"/>
              <w:rPr>
                <w:sz w:val="1"/>
                <w:szCs w:val="1"/>
                <w:color w:val="auto"/>
              </w:rPr>
            </w:pPr>
          </w:p>
        </w:tc>
      </w:tr>
      <w:tr>
        <w:trPr>
          <w:trHeight w:val="46"/>
        </w:trPr>
        <w:tc>
          <w:tcPr>
            <w:tcW w:w="5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(13,261)</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176,800,000</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203,050,000</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w w:val="93"/>
              </w:rPr>
              <w:t>Plus: Offering costs paid in advance, excluded from tangible book value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before this offering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(6,125,000)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(7,043,750)</w:t>
            </w:r>
          </w:p>
        </w:tc>
        <w:tc>
          <w:tcPr>
            <w:tcW w:w="0" w:type="dxa"/>
            <w:vAlign w:val="bottom"/>
          </w:tcPr>
          <w:p>
            <w:pPr>
              <w:spacing w:after="0"/>
              <w:rPr>
                <w:sz w:val="1"/>
                <w:szCs w:val="1"/>
                <w:color w:val="auto"/>
              </w:rPr>
            </w:pPr>
          </w:p>
        </w:tc>
      </w:tr>
      <w:tr>
        <w:trPr>
          <w:trHeight w:val="283"/>
        </w:trPr>
        <w:tc>
          <w:tcPr>
            <w:tcW w:w="536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(165,699,230)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(191,030,480)</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5,031,250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5,031,250</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Class B common stock forfeited if over-allotment is not exercised</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(656,250)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included in the units offered</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17,500,000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20,125,000</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Less: Shares subject to redemption</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(16,569,923)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(19,103,048)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5,305,077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6,053,202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759" w:hanging="426"/>
        <w:spacing w:after="0" w:line="265"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Expenses applied against gross proceeds include offering expenses of $950,000 and underwriting commissions of $3,500,000 (or $4,025,000 if the underwriters’ over-allotment option is exercised in full), excluding deferred underwriting fees. See “Use of Proceeds.”</w:t>
      </w:r>
    </w:p>
    <w:p>
      <w:pPr>
        <w:spacing w:after="0" w:line="1" w:lineRule="exact"/>
        <w:rPr>
          <w:rFonts w:ascii="Arial" w:cs="Arial" w:eastAsia="Arial" w:hAnsi="Arial"/>
          <w:sz w:val="16"/>
          <w:szCs w:val="16"/>
          <w:color w:val="auto"/>
        </w:rPr>
      </w:pPr>
    </w:p>
    <w:p>
      <w:pPr>
        <w:ind w:left="880" w:right="499" w:hanging="426"/>
        <w:spacing w:after="0" w:line="287" w:lineRule="auto"/>
        <w:tabs>
          <w:tab w:leader="none" w:pos="8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Effecting Our Initial Business Combination — Permitted Purchases of Our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2" w:name="page73"/>
    <w:bookmarkEnd w:id="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The following table sets forth our capitalization at October 13, 2020, and as adjusted to give effect to the sale of our units in this offering and the sale of the private placement warrants and the application of the estimated net proceeds derived from the sale of such securities, assuming no exercise by the underwriters of its over-allotment option: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7"/>
          </w:tcPr>
          <w:p>
            <w:pPr>
              <w:jc w:val="right"/>
              <w:ind w:right="660"/>
              <w:spacing w:after="0"/>
              <w:rPr>
                <w:sz w:val="20"/>
                <w:szCs w:val="20"/>
                <w:color w:val="auto"/>
              </w:rPr>
            </w:pPr>
            <w:r>
              <w:rPr>
                <w:rFonts w:ascii="Arial" w:cs="Arial" w:eastAsia="Arial" w:hAnsi="Arial"/>
                <w:sz w:val="16"/>
                <w:szCs w:val="16"/>
                <w:b w:val="1"/>
                <w:bCs w:val="1"/>
                <w:color w:val="auto"/>
              </w:rPr>
              <w:t>October 13,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5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3"/>
          </w:tcPr>
          <w:p>
            <w:pPr>
              <w:ind w:left="120"/>
              <w:spacing w:after="0"/>
              <w:rPr>
                <w:sz w:val="20"/>
                <w:szCs w:val="20"/>
                <w:color w:val="auto"/>
              </w:rPr>
            </w:pPr>
            <w:r>
              <w:rPr>
                <w:rFonts w:ascii="Arial" w:cs="Arial" w:eastAsia="Arial" w:hAnsi="Arial"/>
                <w:sz w:val="16"/>
                <w:szCs w:val="16"/>
                <w:b w:val="1"/>
                <w:bCs w:val="1"/>
                <w:color w:val="auto"/>
              </w:rPr>
              <w:t>Actual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As Adjusted</w:t>
            </w:r>
            <w:r>
              <w:rPr>
                <w:rFonts w:ascii="Arial" w:cs="Arial" w:eastAsia="Arial" w:hAnsi="Arial"/>
                <w:sz w:val="18"/>
                <w:szCs w:val="18"/>
                <w:b w:val="1"/>
                <w:bCs w:val="1"/>
                <w:color w:val="auto"/>
                <w:w w:val="88"/>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tcPr>
          <w:p>
            <w:pPr>
              <w:spacing w:after="0"/>
              <w:rPr>
                <w:sz w:val="22"/>
                <w:szCs w:val="2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6,125,000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Class A common stock subject to possible redemption; -0- and 16,569,923</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actual and as adjusted, respectively</w:t>
            </w:r>
            <w:r>
              <w:rPr>
                <w:rFonts w:ascii="Arial" w:cs="Arial" w:eastAsia="Arial" w:hAnsi="Arial"/>
                <w:sz w:val="20"/>
                <w:szCs w:val="20"/>
                <w:color w:val="auto"/>
                <w:vertAlign w:val="superscript"/>
              </w:rPr>
              <w:t>(3)</w:t>
            </w:r>
          </w:p>
        </w:tc>
        <w:tc>
          <w:tcPr>
            <w:tcW w:w="22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165,699,230</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8"/>
              </w:rPr>
              <w:t>Preferred stock, $0.0001 par value, 1,000,000 shares authorized; none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issued and outstanding, actual and as adjusted</w:t>
            </w:r>
          </w:p>
        </w:tc>
        <w:tc>
          <w:tcPr>
            <w:tcW w:w="2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$0.0001 par value, 100,000,000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and 930,077 shares issued and outstanding (excluding -0-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16,569,923 shares subject to possible redemption), actual and as adjusted,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4"/>
              </w:rPr>
              <w:t>Class B common stock, $0.0001 par value, 10,000,000 shares authorized;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w w:val="95"/>
              </w:rPr>
              <w:t>5,031,250 and 4,375,000 shares issued and outstanding, actual and as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600" w:type="dxa"/>
            <w:vAlign w:val="bottom"/>
          </w:tcPr>
          <w:p>
            <w:pPr>
              <w:ind w:left="180"/>
              <w:spacing w:after="0"/>
              <w:rPr>
                <w:sz w:val="20"/>
                <w:szCs w:val="20"/>
                <w:color w:val="auto"/>
              </w:rPr>
            </w:pPr>
            <w:r>
              <w:rPr>
                <w:rFonts w:ascii="Arial" w:cs="Arial" w:eastAsia="Arial" w:hAnsi="Arial"/>
                <w:sz w:val="18"/>
                <w:szCs w:val="18"/>
                <w:color w:val="auto"/>
              </w:rPr>
              <w:t>adjusted, respectively</w:t>
            </w:r>
            <w:r>
              <w:rPr>
                <w:rFonts w:ascii="Arial" w:cs="Arial" w:eastAsia="Arial" w:hAnsi="Arial"/>
                <w:sz w:val="20"/>
                <w:szCs w:val="20"/>
                <w:color w:val="auto"/>
                <w:vertAlign w:val="superscript"/>
              </w:rPr>
              <w:t>(4)</w:t>
            </w:r>
          </w:p>
        </w:tc>
        <w:tc>
          <w:tcPr>
            <w:tcW w:w="22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5,000,240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24,239</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176,824,239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00" w:lineRule="exact"/>
        <w:rPr>
          <w:sz w:val="20"/>
          <w:szCs w:val="20"/>
          <w:color w:val="auto"/>
        </w:rPr>
      </w:pPr>
    </w:p>
    <w:p>
      <w:pPr>
        <w:ind w:left="880" w:right="539" w:hanging="426"/>
        <w:spacing w:after="0" w:line="266" w:lineRule="auto"/>
        <w:tabs>
          <w:tab w:leader="none" w:pos="87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Assumes the over-allotment option has not been exercised and the resulting forfeiture of 656,250 founder shares held by the sponsor has occurred.</w:t>
      </w:r>
    </w:p>
    <w:p>
      <w:pPr>
        <w:spacing w:after="0" w:line="1" w:lineRule="exact"/>
        <w:rPr>
          <w:rFonts w:ascii="Arial" w:cs="Arial" w:eastAsia="Arial" w:hAnsi="Arial"/>
          <w:sz w:val="16"/>
          <w:szCs w:val="16"/>
          <w:color w:val="auto"/>
        </w:rPr>
      </w:pPr>
    </w:p>
    <w:p>
      <w:pPr>
        <w:ind w:left="880" w:right="879" w:hanging="426"/>
        <w:spacing w:after="0" w:line="301" w:lineRule="auto"/>
        <w:tabs>
          <w:tab w:leader="none" w:pos="8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sponsor has agreed to loan us up to $300,000 to be used for a portion of the expenses of this offering. As of December 2, 2020, we had borrowed approximately $150,000 under the promissory note with our sponsor.</w:t>
      </w:r>
    </w:p>
    <w:p>
      <w:pPr>
        <w:spacing w:after="0" w:line="1" w:lineRule="exact"/>
        <w:rPr>
          <w:rFonts w:ascii="Arial" w:cs="Arial" w:eastAsia="Arial" w:hAnsi="Arial"/>
          <w:sz w:val="14"/>
          <w:szCs w:val="14"/>
          <w:color w:val="auto"/>
        </w:rPr>
      </w:pPr>
    </w:p>
    <w:p>
      <w:pPr>
        <w:ind w:left="880" w:right="459" w:hanging="426"/>
        <w:spacing w:after="0" w:line="264"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business combination. The number of shares that may be redeemed may exceed this number so long as it would not cause our net tangible assets to be less than $5,000,001 either immediately prior to or upon consummation of our initial business combination.</w:t>
      </w:r>
    </w:p>
    <w:p>
      <w:pPr>
        <w:spacing w:after="0" w:line="1" w:lineRule="exact"/>
        <w:rPr>
          <w:rFonts w:ascii="Arial" w:cs="Arial" w:eastAsia="Arial" w:hAnsi="Arial"/>
          <w:sz w:val="16"/>
          <w:szCs w:val="16"/>
          <w:color w:val="auto"/>
        </w:rPr>
      </w:pPr>
    </w:p>
    <w:p>
      <w:pPr>
        <w:ind w:left="880" w:right="699" w:hanging="426"/>
        <w:spacing w:after="0" w:line="288" w:lineRule="auto"/>
        <w:tabs>
          <w:tab w:leader="none" w:pos="87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share amount is prior to any forfeiture of founder shares by our sponsor and as adjusted amount assumes no exercise of the underwriters’ over-allotment option.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a blank check company incorporated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1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The issuance of additional shares in connection with an initial business combination to the owners of the target or other investors:</w:t>
      </w:r>
    </w:p>
    <w:p>
      <w:pPr>
        <w:spacing w:after="0" w:line="103" w:lineRule="exact"/>
        <w:rPr>
          <w:sz w:val="20"/>
          <w:szCs w:val="20"/>
          <w:color w:val="auto"/>
        </w:rPr>
      </w:pPr>
    </w:p>
    <w:p>
      <w:pPr>
        <w:ind w:left="1320" w:right="719" w:hanging="434"/>
        <w:spacing w:after="0" w:line="311"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in this offering, which dilution would increase if the anti-dilution provisions in the Class B common stock resulted in the issuance of Class A shares on a greater than one-to-one basis upon conversion of the Class B common stock;</w:t>
      </w:r>
    </w:p>
    <w:p>
      <w:pPr>
        <w:spacing w:after="0" w:line="67" w:lineRule="exact"/>
        <w:rPr>
          <w:rFonts w:ascii="Arial" w:cs="Arial" w:eastAsia="Arial" w:hAnsi="Arial"/>
          <w:sz w:val="16"/>
          <w:szCs w:val="16"/>
          <w:color w:val="auto"/>
        </w:rPr>
      </w:pPr>
    </w:p>
    <w:p>
      <w:pPr>
        <w:ind w:left="1320" w:right="67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subordinate the rights of holders of our common stock if preferred stock is issued with rights senior to those afforded our common stock;</w:t>
      </w:r>
    </w:p>
    <w:p>
      <w:pPr>
        <w:spacing w:after="0" w:line="102" w:lineRule="exact"/>
        <w:rPr>
          <w:rFonts w:ascii="Arial" w:cs="Arial" w:eastAsia="Arial" w:hAnsi="Arial"/>
          <w:sz w:val="18"/>
          <w:szCs w:val="18"/>
          <w:color w:val="auto"/>
        </w:rPr>
      </w:pPr>
    </w:p>
    <w:p>
      <w:pPr>
        <w:jc w:val="both"/>
        <w:ind w:left="1320" w:right="779" w:hanging="434"/>
        <w:spacing w:after="0" w:line="311" w:lineRule="auto"/>
        <w:tabs>
          <w:tab w:leader="none" w:pos="13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Class A common stock and/or warrants.</w:t>
      </w:r>
    </w:p>
    <w:p>
      <w:pPr>
        <w:spacing w:after="0" w:line="169"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103" w:lineRule="exact"/>
        <w:rPr>
          <w:sz w:val="20"/>
          <w:szCs w:val="20"/>
          <w:color w:val="auto"/>
        </w:rPr>
      </w:pPr>
    </w:p>
    <w:p>
      <w:pPr>
        <w:ind w:left="1320" w:right="57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57" w:lineRule="exact"/>
        <w:rPr>
          <w:rFonts w:ascii="Arial" w:cs="Arial" w:eastAsia="Arial" w:hAnsi="Arial"/>
          <w:sz w:val="18"/>
          <w:szCs w:val="18"/>
          <w:color w:val="auto"/>
        </w:rPr>
      </w:pPr>
    </w:p>
    <w:p>
      <w:pPr>
        <w:ind w:left="1320" w:right="699" w:hanging="434"/>
        <w:spacing w:after="0" w:line="311" w:lineRule="auto"/>
        <w:tabs>
          <w:tab w:leader="none" w:pos="13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81" w:lineRule="exact"/>
        <w:rPr>
          <w:rFonts w:ascii="Arial" w:cs="Arial" w:eastAsia="Arial" w:hAnsi="Arial"/>
          <w:sz w:val="16"/>
          <w:szCs w:val="16"/>
          <w:color w:val="auto"/>
        </w:rPr>
      </w:pPr>
    </w:p>
    <w:p>
      <w:pPr>
        <w:ind w:left="1320" w:right="93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1239" w:hanging="434"/>
        <w:spacing w:after="0" w:line="342"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and execution of our strategy; and</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158" w:lineRule="exact"/>
        <w:rPr>
          <w:sz w:val="20"/>
          <w:szCs w:val="20"/>
          <w:color w:val="auto"/>
        </w:rPr>
      </w:pPr>
    </w:p>
    <w:p>
      <w:pPr>
        <w:jc w:val="both"/>
        <w:ind w:left="460" w:right="519" w:firstLine="432"/>
        <w:spacing w:after="0" w:line="259" w:lineRule="auto"/>
        <w:rPr>
          <w:sz w:val="20"/>
          <w:szCs w:val="20"/>
          <w:color w:val="auto"/>
        </w:rPr>
      </w:pPr>
      <w:r>
        <w:rPr>
          <w:rFonts w:ascii="Arial" w:cs="Arial" w:eastAsia="Arial" w:hAnsi="Arial"/>
          <w:sz w:val="18"/>
          <w:szCs w:val="18"/>
          <w:color w:val="auto"/>
        </w:rPr>
        <w:t>As indicated in the accompanying financial statements, at October 13, 2020, we had $25,000 in cash and deferred offering costs of $37,500. Further, we expect to continue to incur significant costs in the pursuit of our initial business combination plans.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48" w:lineRule="exact"/>
        <w:rPr>
          <w:sz w:val="20"/>
          <w:szCs w:val="20"/>
          <w:color w:val="auto"/>
        </w:rPr>
      </w:pPr>
    </w:p>
    <w:p>
      <w:pPr>
        <w:ind w:left="460" w:right="519" w:firstLine="432"/>
        <w:spacing w:after="0" w:line="289" w:lineRule="auto"/>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at the earliest.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As indicated in the accompanying financial statements, at October 13, 2020, we had $25,000 in cash and deferred offering costs of $13,000. Further, we expect to continue to incur significant costs in the pursuit of our initial business combination plans. We cannot assure you that our plans to raise capital or to complete our initial business combination will be successful. Our liquidity needs have been satisfied prior to completion of this offering through receipt of $25,000 from the sale of the founder shares to our sponsor and up to $300,000 in loans from our sponsor under an unsecured promissory note.</w:t>
      </w:r>
    </w:p>
    <w:p>
      <w:pPr>
        <w:spacing w:after="0" w:line="110"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To date, we had borrowed approximately $150,000 under the unsecured promissory note. We estimate that the net proceeds from (i) the sale of the units in this offering, after deducting offering expenses of approximately $950,000 and underwriting commissions of $3,500,000 (or $4,025,000 if the underwriters’ over-allotment option is exercised in full) excluding deferred underwriting commissions of $6,125,000 (or up to $7,043,750 if the underwriters’ over-allotment option is exercised in full), and (ii) the sale of the private placement warrants for a purchase price of $6,250,000 (or $6,775,000 if the underwriters’ over-allotment option is exercised in full), will be $176,800,000 (or $203,050,000 if the underwriters’ over-allotment option is exercised in full). Of this amount, $175,000,000 or $201,250,000 if the underwriters’ over-allotment option is exercised in full, including $6,125,000 (or up to $7,043,750 if the underwriters’ over-allotment option is exercised in full) in deferred underwriting commissions) will be deposited into a trust account. The funds in the trust account will be invested only in specified U.S. government treasury bills or in specified money market funds. The remaining $1,800,000 will not be held in the trust account. In the event that our offering expenses exceed our estimate of $950,000 we may fund such excess with funds not to be held in the trust account. In such case, the amount of funds we intend to be held outside the trust account would decrease by a corresponding amount. Conversely, in the event that the offering expenses are less than our estimate of $950,000, the amount of funds we intend to be held outside the trust account would increase by a corresponding amount.</w:t>
      </w:r>
    </w:p>
    <w:p>
      <w:pPr>
        <w:spacing w:after="0" w:line="9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deferred underwriting commissions) to complete our initial business combination. We may withdraw interest to pay taxes.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our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59"/>
        <w:spacing w:after="0" w:line="311" w:lineRule="auto"/>
        <w:rPr>
          <w:sz w:val="20"/>
          <w:szCs w:val="20"/>
          <w:color w:val="auto"/>
        </w:rPr>
      </w:pPr>
      <w:r>
        <w:rPr>
          <w:rFonts w:ascii="Arial" w:cs="Arial" w:eastAsia="Arial" w:hAnsi="Arial"/>
          <w:sz w:val="16"/>
          <w:szCs w:val="16"/>
          <w:color w:val="auto"/>
        </w:rPr>
        <w:t>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81"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Prior to the completion of our initial business combination, we will have available to us the approximately $1,800,000 of proceeds held outside the trust account. We will use these funds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an initial business combination.</w:t>
      </w:r>
    </w:p>
    <w:p>
      <w:pPr>
        <w:spacing w:after="0" w:line="125"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on a non-interest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91"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We expect our primary liquidity requirements during that period to include approximately $1,200,000 for legal, accounting, due diligence, travel and other expenses associated with structuring, negotiating and documenting successful business combinations; $150,000 for legal and accounting fees related to regulatory reporting requirements; $240,000 for office space, utilities and secretarial and administrative support; and approximately $210,000 for working capital that will be used for miscellaneous expenses and reserves.</w:t>
      </w:r>
    </w:p>
    <w:p>
      <w:pPr>
        <w:spacing w:after="0" w:line="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amounts are estimates and may differ materially from our actual expenses.</w:t>
      </w:r>
    </w:p>
    <w:p>
      <w:pPr>
        <w:spacing w:after="0" w:line="158"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completion of our initial business combination, in which case we may issue additional securities or incur debt in connection with such business combination. In addition, we intend to target businesses larger than we could acquire with the net proceeds of this offering and the sale of the private placement warrants, and may as a result be required to seek additional financing to complete such proposed initial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currently required to maintain an effective system of internal controls as defined by</w:t>
      </w:r>
    </w:p>
    <w:p>
      <w:pPr>
        <w:spacing w:after="0" w:line="23" w:lineRule="exact"/>
        <w:rPr>
          <w:sz w:val="20"/>
          <w:szCs w:val="20"/>
          <w:color w:val="auto"/>
        </w:rPr>
      </w:pPr>
    </w:p>
    <w:p>
      <w:pPr>
        <w:ind w:left="460" w:right="519"/>
        <w:spacing w:after="0" w:line="251" w:lineRule="auto"/>
        <w:rPr>
          <w:sz w:val="20"/>
          <w:szCs w:val="20"/>
          <w:color w:val="auto"/>
        </w:rPr>
      </w:pPr>
      <w:r>
        <w:rPr>
          <w:rFonts w:ascii="Arial" w:cs="Arial" w:eastAsia="Arial" w:hAnsi="Arial"/>
          <w:sz w:val="18"/>
          <w:szCs w:val="18"/>
          <w:color w:val="auto"/>
        </w:rPr>
        <w:t>Section 404 of the Sarbanes-Oxley Act. We will be required to comply with the internal control requirements of the Sarbanes-Oxley Act for the fiscal year ending December 31, 2021.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24" w:lineRule="exact"/>
        <w:rPr>
          <w:sz w:val="20"/>
          <w:szCs w:val="20"/>
          <w:color w:val="auto"/>
        </w:rPr>
      </w:pPr>
    </w:p>
    <w:p>
      <w:pPr>
        <w:ind w:left="1300" w:hanging="41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documentation of processes, assumptions and conclusions underlying significant estimates; and</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5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bills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In September 2020, our sponsor purchased 5,031,250 founder shares for an aggregate purchase price of $25,000, or approximately $0.005 per share. The number of founder shares issued was determined based on the expectation that such founder shares would represent 20% of the outstanding shares upon completion of this offering. The per share purchase price of the founder shares was determined by dividing the amount of cash contributed to the company by the aggregate number of founder shares issued.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20.0% of the issued and outstanding shares of our common stock upon the consummation of this offering.</w:t>
      </w:r>
    </w:p>
    <w:p>
      <w:pPr>
        <w:spacing w:after="0" w:line="99" w:lineRule="exact"/>
        <w:rPr>
          <w:sz w:val="20"/>
          <w:szCs w:val="20"/>
          <w:color w:val="auto"/>
        </w:rPr>
      </w:pPr>
    </w:p>
    <w:p>
      <w:pPr>
        <w:ind w:left="460" w:right="839" w:firstLine="432"/>
        <w:spacing w:after="0" w:line="311" w:lineRule="auto"/>
        <w:rPr>
          <w:sz w:val="20"/>
          <w:szCs w:val="20"/>
          <w:color w:val="auto"/>
        </w:rPr>
      </w:pPr>
      <w:r>
        <w:rPr>
          <w:rFonts w:ascii="Arial" w:cs="Arial" w:eastAsia="Arial" w:hAnsi="Arial"/>
          <w:sz w:val="16"/>
          <w:szCs w:val="16"/>
          <w:color w:val="auto"/>
        </w:rPr>
        <w:t>Commencing on the date of this prospectus, we have agreed to pay our sponsor a total of $10,000 per month for office space, utilities and secretarial and administrative support. Upon completion of our initial business combination or our liquidation, we will cease paying these monthly fees.</w:t>
      </w:r>
    </w:p>
    <w:p>
      <w:pPr>
        <w:spacing w:after="0" w:line="68" w:lineRule="exact"/>
        <w:rPr>
          <w:sz w:val="20"/>
          <w:szCs w:val="20"/>
          <w:color w:val="auto"/>
        </w:rPr>
      </w:pPr>
    </w:p>
    <w:p>
      <w:pPr>
        <w:jc w:val="both"/>
        <w:ind w:left="460" w:right="699" w:firstLine="432"/>
        <w:spacing w:after="0" w:line="259" w:lineRule="auto"/>
        <w:rPr>
          <w:sz w:val="20"/>
          <w:szCs w:val="20"/>
          <w:color w:val="auto"/>
        </w:rPr>
      </w:pPr>
      <w:r>
        <w:rPr>
          <w:rFonts w:ascii="Arial" w:cs="Arial" w:eastAsia="Arial" w:hAnsi="Arial"/>
          <w:sz w:val="18"/>
          <w:szCs w:val="18"/>
          <w:color w:val="auto"/>
        </w:rPr>
        <w:t>Our sponsor, officers, directors and advisors,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7" w:name="page78"/>
    <w:bookmarkEnd w:id="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499"/>
        <w:spacing w:after="0" w:line="311" w:lineRule="auto"/>
        <w:rPr>
          <w:sz w:val="20"/>
          <w:szCs w:val="20"/>
          <w:color w:val="auto"/>
        </w:rPr>
      </w:pPr>
      <w:r>
        <w:rPr>
          <w:rFonts w:ascii="Arial" w:cs="Arial" w:eastAsia="Arial" w:hAnsi="Arial"/>
          <w:sz w:val="16"/>
          <w:szCs w:val="16"/>
          <w:color w:val="auto"/>
        </w:rPr>
        <w:t>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81"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Prior to the consummation of this offering, our sponsor has agreed to loan us up to $300,000 to be used for a portion of the expenses of this offering. To date, we had borrowed approximately $150,000 under the promissory note with our sponsor to be used for a portion of the expenses of this offering. These loans are non-interest bearing, unsecured and are due at the earlier of March 31, 2021 or the closing of this offering. The loan will be repaid upon the closing of this offering out of the offering proceeds that has been allocated to the payment of offering expenses (other than underwriting commissions).</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on a non-interest basis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Such warrants would be identical to the private placement warrants, including as to exercise price, exercisability and exercise period.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0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sponsor has committed to purchase an aggregate of 6,250,000 private placement warrants (or 6,775,000 private placement warrants if the underwriters’ over-allotment option is exercised in full) at a price of $1.00 per warrant, for an aggregate purchase price of $6,250,000 (or $6,775,000 if the underwriters’ over-allotment option is exercised in full) in a private placement that will occur simultaneously with the closing of this offering. Each private placement warrant entitles the holder thereof to purchase one share of our Class A common stock at a price of $11.50 per share. Our sponsor will be permitted to transfer the private placement warrants held by it to certain permitted transferees, including our officers and directors and other persons or entities affiliated with or related to it, but the transferees receiving such securities will be subject to the same agreements with respect to such securities as the sponsor. Otherwise, these warrants will not, subject to certain limited exceptions, be transferable or salable until 30 days after the completion of our initial business combination. The private placement warrants will be non-redeemable so long as they are held by our sponsor or its permitted transferees. The private placement warrants may also be exercised by the sponsor and its permitted transferees for cash or on a cashless basis. Otherwise, the private placement warrants have terms and provisions that are identical to those of the warrants being sold as part of the units in this offering, including as to exercise price, exercisability and exercise period.</w:t>
      </w:r>
    </w:p>
    <w:p>
      <w:pPr>
        <w:spacing w:after="0" w:line="10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Pursuant to a registration rights agreement we will enter into with our initial stockholders on or prior to the closing of this offering, we may be required to register certain securities for sale under the Securities Act. These holders, and holders of warrants issued upon conversion of working capital loans, if any,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these holders have the right to include their securities in other registration statements filed by us. We will bear the costs and expenses of filing any such registration statements. See the section of this prospectus entitled “Certain Relationships and Related Party Transactions.”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October 13, 2020, we did not have any off-balance sheet arrangements as defined in Item 303(a)(4)</w:t>
      </w:r>
    </w:p>
    <w:p>
      <w:pPr>
        <w:spacing w:after="0" w:line="46" w:lineRule="exact"/>
        <w:rPr>
          <w:sz w:val="20"/>
          <w:szCs w:val="20"/>
          <w:color w:val="auto"/>
        </w:rPr>
      </w:pPr>
    </w:p>
    <w:p>
      <w:pPr>
        <w:ind w:left="460" w:right="779" w:hanging="6"/>
        <w:spacing w:after="0" w:line="290" w:lineRule="auto"/>
        <w:tabs>
          <w:tab w:leader="none" w:pos="725" w:val="left"/>
        </w:tabs>
        <w:numPr>
          <w:ilvl w:val="0"/>
          <w:numId w:val="41"/>
        </w:numPr>
        <w:rPr>
          <w:rFonts w:ascii="Arial" w:cs="Arial" w:eastAsia="Arial" w:hAnsi="Arial"/>
          <w:sz w:val="17"/>
          <w:szCs w:val="17"/>
          <w:color w:val="auto"/>
        </w:rPr>
      </w:pPr>
      <w:r>
        <w:rPr>
          <w:rFonts w:ascii="Arial" w:cs="Arial" w:eastAsia="Arial" w:hAnsi="Arial"/>
          <w:sz w:val="17"/>
          <w:szCs w:val="17"/>
          <w:color w:val="auto"/>
        </w:rPr>
        <w:t>of Regulation S-K and did not have any commitments or contractual obligations. No unaudited quarterly operating data is included in this prospectus, as we have conducted no operations to date.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78" w:name="page79"/>
    <w:bookmarkEnd w:id="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279" w:lineRule="auto"/>
        <w:rPr>
          <w:sz w:val="20"/>
          <w:szCs w:val="20"/>
          <w:color w:val="auto"/>
        </w:rPr>
      </w:pPr>
      <w:r>
        <w:rPr>
          <w:rFonts w:ascii="Arial" w:cs="Arial" w:eastAsia="Arial" w:hAnsi="Arial"/>
          <w:sz w:val="17"/>
          <w:szCs w:val="17"/>
          <w:color w:val="auto"/>
        </w:rPr>
        <w:t>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0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460" w:right="599" w:firstLine="432"/>
        <w:spacing w:after="0" w:line="290" w:lineRule="auto"/>
        <w:rPr>
          <w:sz w:val="20"/>
          <w:szCs w:val="20"/>
          <w:color w:val="auto"/>
        </w:rPr>
      </w:pPr>
      <w:r>
        <w:rPr>
          <w:rFonts w:ascii="Arial" w:cs="Arial" w:eastAsia="Arial" w:hAnsi="Arial"/>
          <w:sz w:val="16"/>
          <w:szCs w:val="16"/>
          <w:color w:val="auto"/>
        </w:rPr>
        <w:t>We are a newly organized blank check company incorporated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While our efforts to identify a target business may span many industries and regions worldwide, we intend to focus our search for prospects within the technology industry. Our ability to locate a potential target is subject to the uncertainties discussed elsewhere in this prospectus.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Our Partnership</w:t>
      </w:r>
    </w:p>
    <w:p>
      <w:pPr>
        <w:spacing w:after="0" w:line="158"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We are a partnership between 7GC &amp; Co Sarl, or 7GC, a technology growth fund based in San Francisco, California and Berlin, Germany, and Hennessy Capital LLC, or Hennessy Capital, a leading independent SPAC sponsor based in Wilson, Wyoming and Los Angeles, California. We seek to leverage the extensive SPAC experience and technology relationships of our officers, directors and advisors with founders, venture capitalists, and growth equity managers to identify, screen, select, and partner with a high growth, cutting-edge technology business. Our management team believes that its unique access to technology assets, coupled with a demonstrable SPAC track record, will be central to its differentiated investment strategy.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7 Global Capital</w:t>
      </w:r>
    </w:p>
    <w:p>
      <w:pPr>
        <w:spacing w:after="0" w:line="15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7GC is a San Francisco, California and Berlin, Germany based technology growth stage venture capital firm, whose mission is to invest in emerging global internet category winners by leveraging its value-adding expertise and proprietary network between the U.S. and Europe. The firm was founded by Dr. Steffen Pauls and Jack Leeney in 2016 to invest capital in U.S. growth stage technology companies that are at a lifecycle inflection point, which are positioned to become international leaders in software and internet. The firm is oriented to long-term investor philosophies, holding companies throughout their company lifecycle while delivering strategic support in the process.</w:t>
      </w:r>
    </w:p>
    <w:p>
      <w:pPr>
        <w:spacing w:after="0" w:line="96"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7GC has been an early and active investor in companies that have demonstrated strong value creation, such as Cheddar TV, a company that was acquired in April 2019, and hims &amp; hers (“hims”), a company that entered into a merger agreement for a business combination with Oaktree Acquisition Corp., a SPAC, in September 2020 at an equity value of $1.927 billion. 7 Global Capital participated in offerings of hims’ Series A, C and D shares from 2018 to 2020. 7GC invests across internet verticals, with considerable exposure in telehealth, future of work, marketplaces, and digital content services. 7GC is also a current investor in Jio Platforms, Capsule Pharmacy, Jyve, Roofstock, and The Mom Project. The firm also runs a fund of funds portfolio with LP investments in top-performing early-stage venture capital firms and selectively manages co-investments for the benefit of the firm’s limited partners.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Hennessy Capital</w:t>
      </w:r>
    </w:p>
    <w:p>
      <w:pPr>
        <w:spacing w:after="0" w:line="158" w:lineRule="exact"/>
        <w:rPr>
          <w:sz w:val="20"/>
          <w:szCs w:val="20"/>
          <w:color w:val="auto"/>
        </w:rPr>
      </w:pPr>
    </w:p>
    <w:p>
      <w:pPr>
        <w:ind w:left="460" w:right="619" w:firstLine="432"/>
        <w:spacing w:after="0" w:line="275" w:lineRule="auto"/>
        <w:rPr>
          <w:sz w:val="20"/>
          <w:szCs w:val="20"/>
          <w:color w:val="auto"/>
        </w:rPr>
      </w:pPr>
      <w:r>
        <w:rPr>
          <w:rFonts w:ascii="Arial" w:cs="Arial" w:eastAsia="Arial" w:hAnsi="Arial"/>
          <w:sz w:val="17"/>
          <w:szCs w:val="17"/>
          <w:color w:val="auto"/>
        </w:rPr>
        <w:t>Hennessy Capital LLC is a Wilson, Wyoming and Los Angeles, California based alternative investment firm founded in 2013 by Daniel J. Hennessy. Since its founding, Hennessy Capital has been one of the leading independent SPAC sponsors, having raised, together with its managing partners, a total of five SPACs since 2013 aggregating over $1 billion of equity. Hennessy Capital’s mission is to be a strategic growth partner for founders, management, employees and shareholders.</w:t>
      </w:r>
    </w:p>
    <w:p>
      <w:pPr>
        <w:spacing w:after="0" w:line="109"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Mr. Hennessy, the Founder and Managing Member of Hennessy Capital, is one of the longest tenured and most experienced independent SPAC sponsors. He has served as the Chairman and Chief Executive Officer of Hennessy Capital Acquisition Corp., Hennessy Capital Acquisition Corp. II, Hennessy Capital Acquisition Corp. III and Hennessy Capital Acquisition Corp. IV, and successfully orchestrated three successful business combinations with Blue Bird Corporation (NASDAQ: BLBD), Daseke, Inc. (NASDAQ: DSKE), and NRC Group Holdings Corp. (NYSE American: NRCG), and Hennessy Capital Acquisition Corp. IV is expected to close its pending business combination with Canoo Holdings Ltd in the fourth quarter of 2020.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60" w:right="599" w:firstLine="432"/>
        <w:spacing w:after="0" w:line="275" w:lineRule="auto"/>
        <w:rPr>
          <w:sz w:val="20"/>
          <w:szCs w:val="20"/>
          <w:color w:val="auto"/>
        </w:rPr>
      </w:pPr>
      <w:r>
        <w:rPr>
          <w:rFonts w:ascii="Arial" w:cs="Arial" w:eastAsia="Arial" w:hAnsi="Arial"/>
          <w:sz w:val="17"/>
          <w:szCs w:val="17"/>
          <w:color w:val="auto"/>
        </w:rPr>
        <w:t>In addition, Mr. Hennessy is a senior advisor to PTAC, which announced its business combination with Porch.com in July 2020, and PTIC, which conducted an initial public offering in December 2020. Thomas D. Hennessy and M. Joseph Beck, who are two of our director nominees, are the Co-Chief Executive Officers of PTAC and PTIC and managing partners at Hennessy Capital. In addition, Jack Leeney and Courtney Robinson currently serve as directors of PTAC and PTIC.</w:t>
      </w:r>
    </w:p>
    <w:p>
      <w:pPr>
        <w:spacing w:after="0" w:line="109"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Since its founding, Hennessy Capital has developed proprietary SPAC execution expertise and built a network of top-tier third-party advisors and relationships to assist with target company origination, evaluation, due diligence, and merger execution. This network of advisors has supported Hennessy Capital in various roles for its various SPACs and is deeply integrated within Hennessy Capital’s SPAC execution framework. Following the completion of a business combination, we expect a Hennessy Capital representative will serve as a director of the post-merger public company to support strategic growth initiatives, provide capital markets expertise, and advise on human capital and leadership matters.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Experienced Management Team with Deal Sourcing Network</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team is led by Jack Leeney, our Chairman and Chief Executive Officer. Since September 2016, Mr.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Leeney has served as a Founding Partner of 7GC, and is responsible for running the firm’s operations.</w:t>
      </w:r>
    </w:p>
    <w:p>
      <w:pPr>
        <w:spacing w:after="0" w:line="21" w:lineRule="exact"/>
        <w:rPr>
          <w:sz w:val="20"/>
          <w:szCs w:val="20"/>
          <w:color w:val="auto"/>
        </w:rPr>
      </w:pPr>
    </w:p>
    <w:p>
      <w:pPr>
        <w:ind w:left="460" w:right="599"/>
        <w:spacing w:after="0" w:line="268" w:lineRule="auto"/>
        <w:rPr>
          <w:sz w:val="20"/>
          <w:szCs w:val="20"/>
          <w:color w:val="auto"/>
        </w:rPr>
      </w:pPr>
      <w:r>
        <w:rPr>
          <w:rFonts w:ascii="Arial" w:cs="Arial" w:eastAsia="Arial" w:hAnsi="Arial"/>
          <w:sz w:val="17"/>
          <w:szCs w:val="17"/>
          <w:color w:val="auto"/>
        </w:rPr>
        <w:t>Mr. Leeney led the firm’s investments in Cheddar TV, Capsule Pharmacy, hims &amp; hers, Jyve, Roofstock, The Mom Project, and Reliance Jio. He currently serves as a director for The Mom Project, PTAC and PTIC.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between June 2012 and September 2016, the investment arm of Telefonica (NYSE: TEF), as an investor at Hercules Capital (NYSE: HTGC) between May 2011 and June 2012 and began his career as a technology-focused investment banker at Morgan Stanley in 2007 where he worked on the initial public offerings for Tesla Motors, LinkedIn and Pandora.</w:t>
      </w:r>
    </w:p>
    <w:p>
      <w:pPr>
        <w:spacing w:after="0" w:line="9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Mr. Leeney’s experience of over 13 years working in technology investing at Morgan Stanley, Hercules Capital, Telefonica Ventures, and co-founding 7GC have resulted in assembling a global team of investment professionals, creating a network with major global technology entrepreneurs and investment professionals, and investing significantly within venture capital.</w:t>
      </w:r>
    </w:p>
    <w:p>
      <w:pPr>
        <w:spacing w:after="0" w:line="11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management team also includes Christopher Walsh, our Chief Financial Officer and Chief Operating Officer. Since September 2020, Mr. Walsh has served as a Vice President at 7GC, where he is responsible for sourcing new investment opportunities and due diligence for all fund investments. Mr. Walsh brings significant investment and financial expertise across private and public capital markets. Mr. Walsh assisted with the successful launch of Empros Capital in 2016, a boutique merchant bank that worked with pre-IPO and growth-stage technology companies, where he worked until 2019. Mr. Walsh played an active role in working with Empros Capital’s portfolio companies, working closely with management teams of several “Unicorn” companies within the FinTech, Enterprise Software, Online Marketplace, and Mobility verticals. Mr. Walsh began his career as a technology investor at Disruptive Technology Advisers in 2015, where he invested and advised growth stage companies including Palantir Technologies. Over the last five years, Mr. Walsh has developed a large network of public and private investors, bankers, advisors, and entrepreneurs, who we believe will aid us in completing a business combination.</w:t>
      </w:r>
    </w:p>
    <w:p>
      <w:pPr>
        <w:spacing w:after="0" w:line="100"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Our management team’s and advisors contacts and relationships are extensive across the technology ecosystem, providing superior access to potential targets. Our network includes partners at U.S. venture capital and private equity funds with investments in high growth technology companies and founders of technology companies. We intend to leverage this network to gain exclusive access to and identify attractive target businesses in the technology industry.</w:t>
      </w:r>
    </w:p>
    <w:p>
      <w:pPr>
        <w:spacing w:after="0" w:line="107" w:lineRule="exact"/>
        <w:rPr>
          <w:sz w:val="20"/>
          <w:szCs w:val="20"/>
          <w:color w:val="auto"/>
        </w:rPr>
      </w:pPr>
    </w:p>
    <w:p>
      <w:pPr>
        <w:ind w:left="460" w:right="599" w:firstLine="432"/>
        <w:spacing w:after="0" w:line="301" w:lineRule="auto"/>
        <w:rPr>
          <w:sz w:val="20"/>
          <w:szCs w:val="20"/>
          <w:color w:val="auto"/>
        </w:rPr>
      </w:pPr>
      <w:r>
        <w:rPr>
          <w:rFonts w:ascii="Arial" w:cs="Arial" w:eastAsia="Arial" w:hAnsi="Arial"/>
          <w:sz w:val="16"/>
          <w:szCs w:val="16"/>
          <w:color w:val="auto"/>
        </w:rPr>
        <w:t>In addition, we anticipate that target business candidates may be brought to our attention from various unaffiliated sources, including investment banking firms, consultants, legal and accounting firms and large business enterprises. Upon completion of this offering, members of our management team will communicate actively with our networks of relationships to articulate parameters for a potential business combination target.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1" w:name="page82"/>
    <w:bookmarkEnd w:id="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44"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We have recruited and organized a group of highly accomplished and engaged directors, including independent directors, who will bring to us public company governance, executive leadership, operations oversight and capital markets expertise. Our board members have served as directors, officers, partners and other executive and advisory capacities for publicly-listed and privately-owned companies and private equity and venture capital firms. Our directors have extensive experience with public equity investing, mergers and acquisitions, divestitures and corporate strategy and possess relevant domain expertise in the sectors where we expect to source business combination targets. We believe their collective expertise, contacts and relationships will make us a highly desirable merger partner. Finally, all of our directors are individual investors in our sponsor.</w:t>
      </w:r>
    </w:p>
    <w:p>
      <w:pPr>
        <w:spacing w:after="0" w:line="59" w:lineRule="exact"/>
        <w:rPr>
          <w:sz w:val="20"/>
          <w:szCs w:val="20"/>
          <w:color w:val="auto"/>
        </w:rPr>
      </w:pPr>
    </w:p>
    <w:p>
      <w:pPr>
        <w:ind w:left="460" w:right="699" w:firstLine="432"/>
        <w:spacing w:after="0" w:line="286" w:lineRule="auto"/>
        <w:rPr>
          <w:sz w:val="20"/>
          <w:szCs w:val="20"/>
          <w:color w:val="auto"/>
        </w:rPr>
      </w:pPr>
      <w:r>
        <w:rPr>
          <w:rFonts w:ascii="Arial" w:cs="Arial" w:eastAsia="Arial" w:hAnsi="Arial"/>
          <w:sz w:val="17"/>
          <w:szCs w:val="17"/>
          <w:color w:val="auto"/>
        </w:rPr>
        <w:t>In addition to supporting us in the areas of assessment of key risks and opportunities and due diligence, members of our board of directors may also advise us after the completion of our business combination in overseeing our strategy and value creation plan where relevant expertise exists.</w:t>
      </w:r>
    </w:p>
    <w:p>
      <w:pPr>
        <w:spacing w:after="0" w:line="40"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b w:val="1"/>
          <w:bCs w:val="1"/>
          <w:color w:val="auto"/>
        </w:rPr>
        <w:t xml:space="preserve">Thomas D. Hennessy </w:t>
      </w:r>
      <w:r>
        <w:rPr>
          <w:rFonts w:ascii="Arial" w:cs="Arial" w:eastAsia="Arial" w:hAnsi="Arial"/>
          <w:sz w:val="16"/>
          <w:szCs w:val="16"/>
          <w:color w:val="auto"/>
        </w:rPr>
        <w:t>has served as the Chairman, Co-Chief Executive Officer and President of PTAC, a</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purpose acquisition company targeting businesses in the real estate technology industry, since November 2019. In July 2020, PTAC announced its entry into a definitive agreement for an initial business combination with Porch.com, which is currently expected to close in the fourth quarter of 2020. He has also served as the Chairman, Co-Chief Executive Officer and President of PTIC, a special purpose acquisition company targeting businesses in the real estate technology industry, since August 2020. Mr. Hennessy has served as the Managing Partner of Real Estate Strategies of Hennessy Capital LLC since July 2019. From September 2014 to July 2019, Mr. Hennessy served as a Portfolio Manager of ADIA, the largest global institutional real estate investor, where he was responsible for managing office, residential, and retail assets in the U.S. totaling over $2.1 billion of net asset value or $5.0 billion of gross asset value. While at ADIA, Mr. Hennessy executed over $475 billion of equity commitments to U.S. acquisitions and developments and over $435 million of limited partner equity commitments to opportunistic real estate equity funds, real estate credit funds, and real estate technology venture capital funds. Mr. Hennessy also created and led ADIA’s PropTech investment mandate, which included committing equity to PropTech. From January 2011 to April 2014, Mr. Hennessy served as an associate at Equity International Management LLC, an opportunistic real estate private equity fund founded by Sam Zell, where he evaluated investments and structured equity investments in real estate operating platforms in emerging markets. From September 2009 to January 2011, Mr. Hennessy served as an associate for CERES Real Estate Partners LLC, a private investment management company. From June 2007 to June 2009, Mr. Hennessy served as an analyst in the investment banking division of Credit Suisse, where he focused on mergers and acquisitions for companies in the real estate, gaming, lodging and leisure sectors as well as public and private financings of equity, debt and structured products.</w:t>
      </w:r>
    </w:p>
    <w:p>
      <w:pPr>
        <w:spacing w:after="0" w:line="2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b w:val="1"/>
          <w:bCs w:val="1"/>
          <w:color w:val="auto"/>
        </w:rPr>
        <w:t xml:space="preserve">M. Joseph Beck </w:t>
      </w:r>
      <w:r>
        <w:rPr>
          <w:rFonts w:ascii="Arial" w:cs="Arial" w:eastAsia="Arial" w:hAnsi="Arial"/>
          <w:sz w:val="16"/>
          <w:szCs w:val="16"/>
          <w:color w:val="auto"/>
        </w:rPr>
        <w:t>has served as the Co-Chief Executive Officer, Chief Financial Officer and a director at</w:t>
      </w:r>
      <w:r>
        <w:rPr>
          <w:rFonts w:ascii="Arial" w:cs="Arial" w:eastAsia="Arial" w:hAnsi="Arial"/>
          <w:sz w:val="16"/>
          <w:szCs w:val="16"/>
          <w:b w:val="1"/>
          <w:bCs w:val="1"/>
          <w:color w:val="auto"/>
        </w:rPr>
        <w:t xml:space="preserve"> </w:t>
      </w:r>
      <w:r>
        <w:rPr>
          <w:rFonts w:ascii="Arial" w:cs="Arial" w:eastAsia="Arial" w:hAnsi="Arial"/>
          <w:sz w:val="16"/>
          <w:szCs w:val="16"/>
          <w:color w:val="auto"/>
        </w:rPr>
        <w:t>PTAC since November 2019. He has also served as the Co-Chief Executive Officer, Chief Financial Officer and a director of PTIC since August 2020. Mr. Beck has served as the Managing Partner of Real Estate Strategies of Hennessy Capital LLC since July 2019. From August 2012 to July 2019, Mr. Beck served as a Senior Investment Manager of ADIA, where he was responsible for managing office, residential, industrial and retail assets in the U.S. totaling over $2.7 billion of net asset value or $3.6 billion of gross asset value. While at ADIA, Mr. Beck executed over $2.2 billion of equity commitments to U.S. acquisitions and developments and over $400 million of limited partner equity commitments to opportunistic real estate equity funds and real estate credit funds. Mr. Beck also led an internal restructuring of a seven-asset, $3.5 billion gross asset value portfolio at the ADIA. From July 2008 to August 2012, Mr. Beck served as an analyst in the Investment Banking Division of Goldman, Sachs &amp; Co., where he focused on mergers and acquisitions for companies in the real estate sector as well as public and private financings of equity, debt and structured products.</w:t>
      </w:r>
    </w:p>
    <w:p>
      <w:pPr>
        <w:spacing w:after="0" w:line="46"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b w:val="1"/>
          <w:bCs w:val="1"/>
          <w:color w:val="auto"/>
        </w:rPr>
        <w:t xml:space="preserve">Courtney Robinson </w:t>
      </w:r>
      <w:r>
        <w:rPr>
          <w:rFonts w:ascii="Arial" w:cs="Arial" w:eastAsia="Arial" w:hAnsi="Arial"/>
          <w:sz w:val="18"/>
          <w:szCs w:val="18"/>
          <w:color w:val="auto"/>
        </w:rPr>
        <w:t>has served as a director of PTAC since November 2019 and as a director of PTIC</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2020. Since October 2014, Ms. Robinson has served as a Founding Partner of Advance Venture Partners LLC, a growth stage venture capital firm, and is responsible for the firm’s consumer investment practice. Ms. Robinson led the firm’s investments in Bellhops, a technology-enabled moving service; Brandable, a portfolio of CPG brands; Curology, a personalized skincare provider; Modsy, an interior design marketplace; Rent the Runway, a subscription clothing business; and Sawyer, an education marketplace. Between December 2011 and October 2014, Ms. Robinson was a Founding Principal at American Express Ventures, the investment arm of American Express (NYSE: AXP), and before that, served as Director of Business Development at Plum District, a local commerce marketplace, between February 2011 and December 2011. She began her career as a technology-focused investment banker at GCA Savvian Advisors LLC in 2006.</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b w:val="1"/>
          <w:bCs w:val="1"/>
          <w:color w:val="auto"/>
        </w:rPr>
        <w:t xml:space="preserve">Tripp Jones </w:t>
      </w:r>
      <w:r>
        <w:rPr>
          <w:rFonts w:ascii="Arial" w:cs="Arial" w:eastAsia="Arial" w:hAnsi="Arial"/>
          <w:sz w:val="16"/>
          <w:szCs w:val="16"/>
          <w:color w:val="auto"/>
        </w:rPr>
        <w:t>has served as a General Partner of August Capital, a venture capital firm, since May 2011</w:t>
      </w:r>
      <w:r>
        <w:rPr>
          <w:rFonts w:ascii="Arial" w:cs="Arial" w:eastAsia="Arial" w:hAnsi="Arial"/>
          <w:sz w:val="16"/>
          <w:szCs w:val="16"/>
          <w:b w:val="1"/>
          <w:bCs w:val="1"/>
          <w:color w:val="auto"/>
        </w:rPr>
        <w:t xml:space="preserve"> </w:t>
      </w:r>
      <w:r>
        <w:rPr>
          <w:rFonts w:ascii="Arial" w:cs="Arial" w:eastAsia="Arial" w:hAnsi="Arial"/>
          <w:sz w:val="16"/>
          <w:szCs w:val="16"/>
          <w:color w:val="auto"/>
        </w:rPr>
        <w:t>and is responsible for the firm’s Special Opportunities funds. Mr. Jones has led the firm’s investments in ADARA, BARK, CommonBond, Compology, Hipcamp, Paperless Post, Quandl, Revel, Rocketmiles, Spacious, Sun Basket, Wattpad, and Yumi. He currently acts a director of Yumi, Sun Basket, Cosmopology, CommonBond.io, Paperless Post, Bark and Adara, and acts as a board observer for Hipcamp and Sendbird. From October 2013 to August 2019, Mr. Jones served on the boards of directors of Spacious.com (acquired by WeWork), Quandl (acquired by Nasdaq), RJMetrics (acquired by Magento Commerce), and RocketMiles (acquired by Priceline). Between June 2007 and May 2011, Mr. Jones served as a Senior Associate at Spectrum Equity Investors, and between August 2005 and June 2007, served as an analyst at JMP Securities. Mr. Jones began his career as an investment banker at BMO Capital Markets.</w:t>
      </w:r>
    </w:p>
    <w:p>
      <w:pPr>
        <w:spacing w:after="0" w:line="93" w:lineRule="exact"/>
        <w:rPr>
          <w:sz w:val="20"/>
          <w:szCs w:val="20"/>
          <w:color w:val="auto"/>
        </w:rPr>
      </w:pPr>
    </w:p>
    <w:p>
      <w:pPr>
        <w:ind w:left="460" w:right="599" w:firstLine="432"/>
        <w:spacing w:after="0" w:line="292" w:lineRule="auto"/>
        <w:rPr>
          <w:sz w:val="20"/>
          <w:szCs w:val="20"/>
          <w:color w:val="auto"/>
        </w:rPr>
      </w:pPr>
      <w:r>
        <w:rPr>
          <w:rFonts w:ascii="Arial" w:cs="Arial" w:eastAsia="Arial" w:hAnsi="Arial"/>
          <w:sz w:val="16"/>
          <w:szCs w:val="16"/>
          <w:b w:val="1"/>
          <w:bCs w:val="1"/>
          <w:color w:val="auto"/>
        </w:rPr>
        <w:t xml:space="preserve">Kent Schofield </w:t>
      </w:r>
      <w:r>
        <w:rPr>
          <w:rFonts w:ascii="Arial" w:cs="Arial" w:eastAsia="Arial" w:hAnsi="Arial"/>
          <w:sz w:val="16"/>
          <w:szCs w:val="16"/>
          <w:color w:val="auto"/>
        </w:rPr>
        <w:t>has served as the Financial, Planning, and Analysis team leader at Uber Technologies,</w:t>
      </w:r>
      <w:r>
        <w:rPr>
          <w:rFonts w:ascii="Arial" w:cs="Arial" w:eastAsia="Arial" w:hAnsi="Arial"/>
          <w:sz w:val="16"/>
          <w:szCs w:val="16"/>
          <w:b w:val="1"/>
          <w:bCs w:val="1"/>
          <w:color w:val="auto"/>
        </w:rPr>
        <w:t xml:space="preserve"> </w:t>
      </w:r>
      <w:r>
        <w:rPr>
          <w:rFonts w:ascii="Arial" w:cs="Arial" w:eastAsia="Arial" w:hAnsi="Arial"/>
          <w:sz w:val="16"/>
          <w:szCs w:val="16"/>
          <w:color w:val="auto"/>
        </w:rPr>
        <w:t>Inc., or Uber (NYSE:UBER), since April 2017. Mr. Schofield also was head of investor relations in 2019, before, during, and Uber’s initial public offering in May 2019. Between September 2010 and June 2015, Mr. Schofield served as a Vice President and lead equity analyst at Goldman Sachs within the TMT division. From December 2006 to September 2010, Mr. Schofield served as an associate equity research analyst at Citigroup, where covered Software, Enterprise Information Technology and Hardware sectors. Mr. Schofield began his career as an equity research analyst at Prudential Securities in 2004.</w:t>
      </w:r>
    </w:p>
    <w:p>
      <w:pPr>
        <w:spacing w:after="0" w:line="9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b w:val="1"/>
          <w:bCs w:val="1"/>
          <w:color w:val="auto"/>
        </w:rPr>
        <w:t xml:space="preserve">Patrick Eggen </w:t>
      </w:r>
      <w:r>
        <w:rPr>
          <w:rFonts w:ascii="Arial" w:cs="Arial" w:eastAsia="Arial" w:hAnsi="Arial"/>
          <w:sz w:val="16"/>
          <w:szCs w:val="16"/>
          <w:color w:val="auto"/>
        </w:rPr>
        <w:t>has served as a Founding General Partner of Counterpart Ventures, an early stage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firm, since March 2018. Mr. Eggen led the firm’s investments in Sense360, data insights platform (acquired by Medallia in 2020), Particle, IoT platform for the enterprise, Cloudbeds, hospitality management platform and Prismo Systems, cybersecurity software for the enterprise. Between February 2005 and March 2018, Mr. Eggen was a Managing Director at Qualcomm Ventures where he oversaw North America investment strategy and founded their Global Early Stage Fund, whose investments included Zoom (NASDAQ:ZM), Cruise (acquired by General Motors), 99 (acquired by Didi), Matterport, Noom and SwiftNav. Additionally he co-sponsored investments in Ring (acquired by Amazon) and Waze (acquired by Google). Prior investments (exits) include Aicent, Avaak (acquired by NetGear), Divide (acquired by Google), Clicker (acquired by CBS), Magisto (acquired by IAC), Tempo.AI (acquired by Salesforce), ThinkNear (acquired by Telenav) and Viewdle (acquired by Google). From July 1998 to September 2001, Mr. Eggen served as an analyst in the Investment Banking Division of Salomon Smith Barney, where he focused on mergers &amp; acquisitions and capital raising advisory in the Global Telecommunications team.</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Advisors</w:t>
      </w:r>
    </w:p>
    <w:p>
      <w:pPr>
        <w:spacing w:after="0" w:line="144"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addition to our independent directors, we have recruited two highly accomplished senior advisors who will bring to us significant experience in special purpose acquisition companies, global investment management, public and private equity and debt capital markets. Our senior advisors will advise us on public company governance, executive leadership, human capital management, corporate strategy and capital markets. Our senior advisors have served as directors, officers, executives, and partners for publicly-listed and privately-owned companies, private equity firms, and global investment managers. In addition to advising us in the areas of assessment of key risks and opportunities and due diligence, our senior advisors may also advise us after the completion of our business combination in overseeing our strategy and value creation plan where relevant expertise exists.</w:t>
      </w:r>
    </w:p>
    <w:p>
      <w:pPr>
        <w:spacing w:after="0" w:line="10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b w:val="1"/>
          <w:bCs w:val="1"/>
          <w:color w:val="auto"/>
        </w:rPr>
        <w:t xml:space="preserve">Daniel J. Hennessy </w:t>
      </w:r>
      <w:r>
        <w:rPr>
          <w:rFonts w:ascii="Arial" w:cs="Arial" w:eastAsia="Arial" w:hAnsi="Arial"/>
          <w:sz w:val="17"/>
          <w:szCs w:val="17"/>
          <w:color w:val="auto"/>
        </w:rPr>
        <w:t>will be one of our senior advisors and is the Founder and the Managing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Hennessy Capital LLC, an alternative investment firm founded in 2013 that focuses on sustainable industrial technology, infrastructure, and real estate technology sectors. He currently serves as a senior advisor to each of PTAC, a special purpose acquisition company targeting businesses in the real estate technology industry, which in July 2020 announced the entry into a definitive agreement for an initial business combination with Porch.com, which is currently expected to close in the fourth quarter of 2020, and PTIC, a special purpose acquisition company which conducted an initial public offering in December 2020. Since March 2019, Mr. Hennessy has served as Chairman and CEO of Hennessy Capital Acquisition Corp. IV, or Hennessy IV (NASDAQ: HCAC), which in August 2020 announced the entry into a definite agreement for an initial business combination with Canoo Holdings Ltd, which is expected to close in the fourth quarter of 2020. Mr. Hennessy has served as a director of SIRVA Worldwide Relocation &amp; Moving since August 2018. From January 2017 to October 2018, Mr. Hennessy served as Chairman of the Board and Chief Executive Officer of Hennessy Capital Acquisition Corp. III, or Hennessy III, which merged with NRC Group Holdings, LLC, a global provider of comprehensive environmental, compliance and waste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3" w:name="page84"/>
    <w:bookmarkEnd w:id="8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86" w:lineRule="auto"/>
        <w:rPr>
          <w:sz w:val="20"/>
          <w:szCs w:val="20"/>
          <w:color w:val="auto"/>
        </w:rPr>
      </w:pPr>
      <w:r>
        <w:rPr>
          <w:rFonts w:ascii="Arial" w:cs="Arial" w:eastAsia="Arial" w:hAnsi="Arial"/>
          <w:sz w:val="16"/>
          <w:szCs w:val="16"/>
          <w:color w:val="auto"/>
        </w:rPr>
        <w:t>management services, now known as US Ecology, Inc. (NASDAQ: ECOL) and served as a director from January 2017 to October 2019. From April 2015 to February 2017, Mr. Hennessy served as Chairman and CEO of Hennessy Capital Acquisition Corp. II, or Hennessy II, which merged with Daseke in February 2017 and is now known as Daseke, Inc. (NASDAQ: DSKE) and since February 2017, has served as its Vice Chairman. From September 2013 to February 2015, Mr. Hennessy served as Chairman of the Board and Chief Executive Officer of Hennessy Capital Acquisition Corp., or Hennessy I, which merged with School Bus Holdings Inc. in February 2015 and is now known as Blue Bird Corporation (NASDAQ: BLBD), and previously served as a director from September 2013 to April 2019. From 1988 to 2016, Mr. Hennessy served as a Partner at Code Hennessy &amp; Simmons LLC (n/k/a CHS Capital or “CHS”), a middle-market private equity investment firm he co-founded in 1988. Prior to forming CHS, Mr. Hennessy was employed by Citicorp from 1984 to 1988 as head of the Midwest Region for Citicorp Mezzanine Investments and Vice President and Team Leader with Citicorp Leveraged Capital Group. He began his career in 1981 in the oil and gas lending group at Continental Illinois National Bank (now Bank of America) where he was a Banking Officer.</w:t>
      </w:r>
    </w:p>
    <w:p>
      <w:pPr>
        <w:spacing w:after="0" w:line="10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b w:val="1"/>
          <w:bCs w:val="1"/>
          <w:color w:val="auto"/>
        </w:rPr>
        <w:t xml:space="preserve">Dr. Steffen Pauls </w:t>
      </w:r>
      <w:r>
        <w:rPr>
          <w:rFonts w:ascii="Arial" w:cs="Arial" w:eastAsia="Arial" w:hAnsi="Arial"/>
          <w:sz w:val="17"/>
          <w:szCs w:val="17"/>
          <w:color w:val="auto"/>
        </w:rPr>
        <w:t>currently serves as a Founding Partner of 7GC, a growth stage venture capital fund</w:t>
      </w:r>
      <w:r>
        <w:rPr>
          <w:rFonts w:ascii="Arial" w:cs="Arial" w:eastAsia="Arial" w:hAnsi="Arial"/>
          <w:sz w:val="17"/>
          <w:szCs w:val="17"/>
          <w:b w:val="1"/>
          <w:bCs w:val="1"/>
          <w:color w:val="auto"/>
        </w:rPr>
        <w:t xml:space="preserve"> </w:t>
      </w:r>
      <w:r>
        <w:rPr>
          <w:rFonts w:ascii="Arial" w:cs="Arial" w:eastAsia="Arial" w:hAnsi="Arial"/>
          <w:sz w:val="17"/>
          <w:szCs w:val="17"/>
          <w:color w:val="auto"/>
        </w:rPr>
        <w:t>founded in 2015 that focuses on technology investments. Dr. Pauls has also served as Founder and Chairman of Moonfare gmbH, an investing platform that has invested over $400 million across various alternative investment funds, since October 2015. From 2004 to 2015 Dr. Pauls served as a Managing Director of KKR &amp; Co. Inc., or KKR, where he was a senior member of KKR’s deal team, responsible for the German market, deal origination, due diligence and portfolio coverage. Additionally, Dr. Pauls was a senior member of KKR Capstone, the firm’s “Operations Group.” Dr. Pauls served on the boards of directors of ATU Auto-Teile-Unger Handels GmbH &amp; Co KG (Private), Die 1&amp;1 Versatel GmbH (Private), Hertha BSC (Private), United Group B.V. (Private), and Pro7Sat1 Group (PSM:DE). Previously, Dr. Pauls served as the Co-Founder and CEO for First Five Inc. (Private) between 1999 and 2003 and began his career at Boston Consulting Group from 1993 to 1999.</w:t>
      </w:r>
    </w:p>
    <w:p>
      <w:pPr>
        <w:spacing w:after="0" w:line="11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Past performance of our management team or advisors is not a guarantee either (i) of success with respect to any business combination we may consummate or (ii) that we will be able to identify a suitable candidate for our initial business combination. You should not rely on the historical performance record of our management team or advisors as indicative of our future performance. Additionally, in the course of their respective careers, members of our management team have been involved in businesses and deals that were unsuccessful. Our officers and directors may have conflicts of interest with other entities to which they owe fiduciary or contractual obligations with respect 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Technology Public and Private Markets</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believe that there is currently a significant dislocation between public and private equity capital markets. For example, the five largest companies in the world today are technology businesses and these five companies have created immense public equity value. We believe that this value creation has led to more public equity investor appetite and demand for high growth technology companies. However, despite this public equity investor demand, there have been fewer technology company IPOs. According to the World Bank, there were 6,917 publicly-listed US companies in 2000 and only 4,397 in 2018.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1: Additions and Subtractions to U.S. Listed Companies, 1976–2019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111760</wp:posOffset>
            </wp:positionV>
            <wp:extent cx="5134610" cy="2125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3461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Source: Morgan Stanley: </w:t>
      </w:r>
      <w:r>
        <w:rPr>
          <w:rFonts w:ascii="Arial" w:cs="Arial" w:eastAsia="Arial" w:hAnsi="Arial"/>
          <w:sz w:val="18"/>
          <w:szCs w:val="18"/>
          <w:i w:val="1"/>
          <w:iCs w:val="1"/>
          <w:color w:val="auto"/>
        </w:rPr>
        <w:t>Public to Private Equity in the United States: A Long-Term Look</w:t>
      </w:r>
      <w:r>
        <w:rPr>
          <w:rFonts w:ascii="Arial" w:cs="Arial" w:eastAsia="Arial" w:hAnsi="Arial"/>
          <w:sz w:val="18"/>
          <w:szCs w:val="18"/>
          <w:color w:val="auto"/>
        </w:rPr>
        <w:t xml:space="preserve">; </w:t>
      </w:r>
      <w:r>
        <w:rPr>
          <w:rFonts w:ascii="Arial" w:cs="Arial" w:eastAsia="Arial" w:hAnsi="Arial"/>
          <w:sz w:val="18"/>
          <w:szCs w:val="18"/>
          <w:i w:val="1"/>
          <w:iCs w:val="1"/>
          <w:color w:val="auto"/>
        </w:rPr>
        <w:t>8/4/2020</w:t>
      </w:r>
    </w:p>
    <w:p>
      <w:pPr>
        <w:spacing w:after="0" w:line="11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We believe this paradigm is the result of a tremendous influx of new private capital from traditional venture capital and other types of investors seeking venture returns including hedge funds, mutual funds and sovereign wealth funds. This “wall” of private capital has enabled companies to stay private longer and have become less reliant on an IPO to provide growth capital. The IPO, as a historical precedent, has been displaced by late stage private growth capital. Based on Pitchbook data, up until 2011, there were only 27 United States late-stage private investments for an aggregate of $4.4 billion. From 2011 to 2019, there were 465 United States late-stage investments for an aggregate of $113 billion, representing a 43% compound annual growth rate in the period.</w:t>
      </w:r>
    </w:p>
    <w:p>
      <w:pPr>
        <w:spacing w:after="0" w:line="84"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As a result, U.S. technology companies are waiting longer to go public today as compared to 2011. Based on NVCA data, the average age of U.S. technology companies that went public in 1999 was 4 years versus 11 years in 2014. As companies stay private longer, venture capitalists have sought alternatives to realize investment returns given that they can no longer rely on an IPO as an available path to monetization. In this market environment, venture capitalists are increasingly seeking monetizations and returns pre-IPO, particularly considering the high-velocity venture capital fundraising cycle, where new funds are raised approximately every few years. This dynamic has further increased private market deal activity as equity holders seek liquidity.</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 2: Initial Public Offerings (IPOs) in the U.S., 1980–2019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102870</wp:posOffset>
            </wp:positionV>
            <wp:extent cx="5134610" cy="22713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3461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Source: Jay R. Ritter, </w:t>
      </w:r>
      <w:r>
        <w:rPr>
          <w:rFonts w:ascii="Arial" w:cs="Arial" w:eastAsia="Arial" w:hAnsi="Arial"/>
          <w:sz w:val="18"/>
          <w:szCs w:val="18"/>
          <w:i w:val="1"/>
          <w:iCs w:val="1"/>
          <w:color w:val="auto"/>
        </w:rPr>
        <w:t>https:/site.warrington.ufl.edu/ritter/ipo-data/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5" w:name="page86"/>
    <w:bookmarkEnd w:id="8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39" w:firstLine="432"/>
        <w:spacing w:after="0" w:line="286" w:lineRule="auto"/>
        <w:rPr>
          <w:sz w:val="20"/>
          <w:szCs w:val="20"/>
          <w:color w:val="auto"/>
        </w:rPr>
      </w:pPr>
      <w:r>
        <w:rPr>
          <w:rFonts w:ascii="Arial" w:cs="Arial" w:eastAsia="Arial" w:hAnsi="Arial"/>
          <w:sz w:val="16"/>
          <w:szCs w:val="16"/>
          <w:color w:val="auto"/>
        </w:rPr>
        <w:t>In addition, the traditional IPO, which has not materially changed in decades, has resulted in criticism from leading venture capitalists and founders of late-stage technology firms. This negative sentiment toward a traditional IPO has deterred management teams from pursuing a traditional IPO due to a perceived misalignment in bank-led IPOs. Bill Gurley, a Founding Partner at Benchmark, highlighted that</w:t>
      </w:r>
    </w:p>
    <w:p>
      <w:pPr>
        <w:spacing w:after="0" w:line="1"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the average company that has gone public in 2020 was underpriced by approximately 31% and that resulted in a dramatic “one-day wealth transfer” from private shareholders to public shareholders of approximately $7.8 billion in the first six months of 2020.</w:t>
      </w:r>
    </w:p>
    <w:p>
      <w:pPr>
        <w:spacing w:after="0" w:line="122"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These criticisms, among other reasons, are driving a growing number of venture capitalists and technology companies to pursue alternative liquidity paths, including direct listings. For example, Spotify went public via a direct listing in 2018, Slack followed in 2019, and Palantir followed in September 2020. In a July 2019 survey, The Information reported 34% of respondents who were pursuing a potential IPO the following year were also considering a direct listing. While the direct listing narrative continues, the direct listing strategy does not allow companies to raise primary capital and has proven viable only for some of the largest and most visible VC-backed technology firms.</w:t>
      </w:r>
    </w:p>
    <w:p>
      <w:pPr>
        <w:spacing w:after="0" w:line="110" w:lineRule="exact"/>
        <w:rPr>
          <w:sz w:val="20"/>
          <w:szCs w:val="20"/>
          <w:color w:val="auto"/>
        </w:rPr>
      </w:pPr>
    </w:p>
    <w:p>
      <w:pPr>
        <w:ind w:left="460" w:right="599" w:firstLine="432"/>
        <w:spacing w:after="0" w:line="275" w:lineRule="auto"/>
        <w:rPr>
          <w:sz w:val="20"/>
          <w:szCs w:val="20"/>
          <w:color w:val="auto"/>
        </w:rPr>
      </w:pPr>
      <w:r>
        <w:rPr>
          <w:rFonts w:ascii="Arial" w:cs="Arial" w:eastAsia="Arial" w:hAnsi="Arial"/>
          <w:sz w:val="17"/>
          <w:szCs w:val="17"/>
          <w:color w:val="auto"/>
        </w:rPr>
        <w:t>Therefore, two of the potential paths to liquidity, namely the traditional IPO and direct listing, are unavailable to the majority of technology companies that seek a public listing. As an alternative, leading, high growth, technology companies have continued to raise significant late-stage growth private capital. We believe that this paradigm of companies staying private longer is unsustainable, as founders, employees, and investors will have fewer options for liquidity and increasingly complex capital structures.</w:t>
      </w:r>
    </w:p>
    <w:p>
      <w:pPr>
        <w:spacing w:after="0" w:line="95" w:lineRule="exact"/>
        <w:rPr>
          <w:sz w:val="20"/>
          <w:szCs w:val="20"/>
          <w:color w:val="auto"/>
        </w:rPr>
      </w:pPr>
    </w:p>
    <w:p>
      <w:pPr>
        <w:ind w:left="460" w:right="739" w:firstLine="432"/>
        <w:spacing w:after="0" w:line="271" w:lineRule="auto"/>
        <w:rPr>
          <w:sz w:val="20"/>
          <w:szCs w:val="20"/>
          <w:color w:val="auto"/>
        </w:rPr>
      </w:pPr>
      <w:r>
        <w:rPr>
          <w:rFonts w:ascii="Arial" w:cs="Arial" w:eastAsia="Arial" w:hAnsi="Arial"/>
          <w:sz w:val="17"/>
          <w:szCs w:val="17"/>
          <w:color w:val="auto"/>
        </w:rPr>
        <w:t>Therefore, a private secondary market has developed in an effort to provide liquidity to founders, employees, and investors. For example, various brokerages have formed, including Carta, EquityZen, Sharespost, and Forge to handle this secondary demand. However, secondary markets for VC-backed companies are often highly fragmented, opaque, and inefficient. Shares trade with limited volume due to corporate governance restrictions and lack of access to financial information. On EquityZen, the average discount from the companies’ last private financing was 32% (as of June 8, 2020), a very costly illiquidity discount. We believe a SPAC provides a high-quality technology company access to public markets liquidity and solves for the limitations and inefficiencies of private secondary markets.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Opportunity/Acquisition Criteria</w:t>
      </w:r>
    </w:p>
    <w:p>
      <w:pPr>
        <w:spacing w:after="0" w:line="162" w:lineRule="exact"/>
        <w:rPr>
          <w:sz w:val="20"/>
          <w:szCs w:val="20"/>
          <w:color w:val="auto"/>
        </w:rPr>
      </w:pPr>
    </w:p>
    <w:p>
      <w:pPr>
        <w:ind w:left="460" w:right="479" w:firstLine="432"/>
        <w:spacing w:after="0" w:line="342" w:lineRule="auto"/>
        <w:rPr>
          <w:sz w:val="20"/>
          <w:szCs w:val="20"/>
          <w:color w:val="auto"/>
        </w:rPr>
      </w:pPr>
      <w:r>
        <w:rPr>
          <w:rFonts w:ascii="Arial" w:cs="Arial" w:eastAsia="Arial" w:hAnsi="Arial"/>
          <w:sz w:val="16"/>
          <w:szCs w:val="16"/>
          <w:color w:val="auto"/>
        </w:rPr>
        <w:t>We believe that there are a significant number of late-stage private technology companies, valued between $500 million and $1.5 billion, which creates an ideal target opportunity set for our initial business combination.</w:t>
      </w:r>
    </w:p>
    <w:p>
      <w:pPr>
        <w:spacing w:after="0" w:line="56"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As of September 2020, according to PitchBook data, there were 296 private technology companies valued over $1 billion in the United States, accounting for over $895 billion of cumulative equity value. More than 85% of these companies are focused in our key investment sectors, including B2B and B2C internet and enterprise software. In 2010, there were only 13 of these private technology companies, with a $63 billion cumulative valuation.</w:t>
      </w:r>
    </w:p>
    <w:p>
      <w:pPr>
        <w:spacing w:after="0" w:line="107"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As private markets have experienced more capital inflows and therefore higher valuations, the bar to an IPO has increased. In 2019, there were 29 VC-backed IPOs with the average deal size of $781 million and market capitalization of $6.3 billion. In 2010, there were 20 U.S. VC-backed IPOs with the average deal size of $97 million and market capitalization of $450 million.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Exhibit 3: US Investable Universe Shrinkage: 1976, 1999, 2019 </w:t>
      </w:r>
      <w:r>
        <w:rPr>
          <w:rFonts w:ascii="Arial" w:cs="Arial" w:eastAsia="Arial" w:hAnsi="Arial"/>
          <w:sz w:val="18"/>
          <w:szCs w:val="18"/>
          <w:i w:val="1"/>
          <w:iCs w:val="1"/>
          <w:color w:val="auto"/>
        </w:rPr>
        <w:t>(billions 2019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111760</wp:posOffset>
            </wp:positionV>
            <wp:extent cx="4612005" cy="1808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61200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Source: Morgan Stanley: </w:t>
      </w:r>
      <w:r>
        <w:rPr>
          <w:rFonts w:ascii="Arial" w:cs="Arial" w:eastAsia="Arial" w:hAnsi="Arial"/>
          <w:sz w:val="18"/>
          <w:szCs w:val="18"/>
          <w:i w:val="1"/>
          <w:iCs w:val="1"/>
          <w:color w:val="auto"/>
        </w:rPr>
        <w:t>Public to Private Equity in the United States: A Long-Term Look</w:t>
      </w:r>
      <w:r>
        <w:rPr>
          <w:rFonts w:ascii="Arial" w:cs="Arial" w:eastAsia="Arial" w:hAnsi="Arial"/>
          <w:sz w:val="18"/>
          <w:szCs w:val="18"/>
          <w:color w:val="auto"/>
        </w:rPr>
        <w:t xml:space="preserve">: </w:t>
      </w:r>
      <w:r>
        <w:rPr>
          <w:rFonts w:ascii="Arial" w:cs="Arial" w:eastAsia="Arial" w:hAnsi="Arial"/>
          <w:sz w:val="18"/>
          <w:szCs w:val="18"/>
          <w:i w:val="1"/>
          <w:iCs w:val="1"/>
          <w:color w:val="auto"/>
        </w:rPr>
        <w:t>8/4/2020</w:t>
      </w:r>
    </w:p>
    <w:p>
      <w:pPr>
        <w:spacing w:after="0" w:line="144"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There are more scaled private technology companies than there are IPO slots. We believe this disconnect will continue to create a surplus of potential targets for us. We believe a SPAC is the solution to the void of small and mid-cap IPOs for high quality and scaled businesses to access public markets as a means of branding, growth financing, liquidity, and public company governance and controls.</w:t>
      </w:r>
    </w:p>
    <w:p>
      <w:pPr>
        <w:spacing w:after="0" w:line="104"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While there has been an increasing number of technology-focused SPACs that have completed IPOs in 2020, we believe there are a limited number of blank check companies that are founded and managed by seasoned venture capitalists. We believe world-class founders and existing venture investors will seek to pursue a SPAC IPO with experienced and known sponsors from the venture capital ecosystem that also have demonstrable SPAC experience and track record. We believe we can provide a high-quality technology company in the $500 million to $1.5 billion valuation range an attractive alternative to staying private longer.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believe we have a competitive advantage in sourcing potential technology firms backed by the world’s premier venture capital firms. According to CBinsights and Crunchbase data, 36% of unicorn investors hold 75% of all unicorn investments. Our sourcing process will leverage our management team’s deep relationships with top-tier entrepreneurs and investors in the U.S. venture capital ecosystem through the 7GC platform including co-investment partners with leading venture capitalist and growth equity funds. Many of these firms, given 7GC’s strategic approach, bring us organic deal flow. Given our network and thematic approach, we anticipate that similar target merger candidates may be brought to us by these co-investment partners. In addition, we believe Hennessy Capital’s reputation, experience, and track record of successful SPAC business combinations will make us a preferred partner for these potential targets.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Combination Criteria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intend to seek a business combination with a business:</w:t>
      </w:r>
    </w:p>
    <w:p>
      <w:pPr>
        <w:spacing w:after="0" w:line="158" w:lineRule="exact"/>
        <w:rPr>
          <w:sz w:val="20"/>
          <w:szCs w:val="20"/>
          <w:color w:val="auto"/>
        </w:rPr>
      </w:pPr>
    </w:p>
    <w:p>
      <w:pPr>
        <w:ind w:left="1320" w:right="73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 technology sector or subsector, whose business is characterized within the consumer internet and enterprise SaaS landscape with scaled market leadership;</w:t>
      </w:r>
    </w:p>
    <w:p>
      <w:pPr>
        <w:spacing w:after="0" w:line="102"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model that is immersed in the “offline to online” phenomenon, creating a digitalization process within an incumbent or legacy-based process;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close to our proximal co-invest networks of founders, operators, investors, and advisors; and</w:t>
      </w:r>
    </w:p>
    <w:p>
      <w:pPr>
        <w:spacing w:after="0" w:line="169" w:lineRule="exact"/>
        <w:rPr>
          <w:rFonts w:ascii="Arial" w:cs="Arial" w:eastAsia="Arial" w:hAnsi="Arial"/>
          <w:sz w:val="17"/>
          <w:szCs w:val="17"/>
          <w:color w:val="auto"/>
        </w:rPr>
      </w:pPr>
    </w:p>
    <w:p>
      <w:pPr>
        <w:ind w:left="1320" w:right="109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which we have a differentiated view on the ability of the target to create value as a public company versus remaining a private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Business Combination Process</w:t>
      </w:r>
    </w:p>
    <w:p>
      <w:pPr>
        <w:spacing w:after="0" w:line="148" w:lineRule="exact"/>
        <w:rPr>
          <w:sz w:val="20"/>
          <w:szCs w:val="20"/>
          <w:color w:val="auto"/>
        </w:rPr>
      </w:pPr>
    </w:p>
    <w:p>
      <w:pPr>
        <w:ind w:left="460" w:right="579" w:firstLine="432"/>
        <w:spacing w:after="0" w:line="293" w:lineRule="auto"/>
        <w:rPr>
          <w:sz w:val="20"/>
          <w:szCs w:val="20"/>
          <w:color w:val="auto"/>
        </w:rPr>
      </w:pPr>
      <w:r>
        <w:rPr>
          <w:rFonts w:ascii="Arial" w:cs="Arial" w:eastAsia="Arial" w:hAnsi="Arial"/>
          <w:sz w:val="16"/>
          <w:szCs w:val="16"/>
          <w:color w:val="auto"/>
        </w:rPr>
        <w:t>In evaluating prospective business combinations, we expect to conduct a thorough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will also utilize our expertise analyzing target companies and evaluating operating projections, financial projections and determining the appropriate return expectations given the risk profile of the target business.</w:t>
      </w:r>
    </w:p>
    <w:p>
      <w:pPr>
        <w:spacing w:after="0" w:line="9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directors or advisors. In the event we seek to complete our initial business combination with a company that is affiliated with our sponsor, officers, directors or advisors,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125"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Members of our management team and our advisors will directly or indirectly own our founders shares and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1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including PTAC, if its initial business combination with Porch.com is not consummated, and PTIC.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or to entities that are not themselves in the business of engaging in business combinations.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12" w:lineRule="exact"/>
        <w:rPr>
          <w:sz w:val="20"/>
          <w:szCs w:val="20"/>
          <w:color w:val="auto"/>
        </w:rPr>
      </w:pPr>
    </w:p>
    <w:p>
      <w:pPr>
        <w:jc w:val="both"/>
        <w:ind w:left="460" w:right="939" w:firstLine="432"/>
        <w:spacing w:after="0" w:line="286" w:lineRule="auto"/>
        <w:rPr>
          <w:sz w:val="20"/>
          <w:szCs w:val="20"/>
          <w:color w:val="auto"/>
        </w:rPr>
      </w:pPr>
      <w:r>
        <w:rPr>
          <w:rFonts w:ascii="Arial" w:cs="Arial" w:eastAsia="Arial" w:hAnsi="Arial"/>
          <w:sz w:val="17"/>
          <w:szCs w:val="17"/>
          <w:color w:val="auto"/>
        </w:rPr>
        <w:t>Our officers and directors may become an officer or director of another special purpose acquisition company with a class of securities intended to be registered under the Exchange Act, even before we have entered into a definitive agreement regarding our initial business combination.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Team</w:t>
      </w:r>
    </w:p>
    <w:p>
      <w:pPr>
        <w:spacing w:after="0" w:line="162"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Members of our management team are not obligated to devote any specific number of hours to our matters but they intend to devote as much of their time as they deem necessary to our affairs until we have completed our initial business combination. The amount of time that any member of our management team will devote in any time period will vary based on whether a target business has been selected for our initial business combination and the current stage of the business combination process. We believe our management team’s and our advisors’ operating and transaction experience and relationships with companies will provide us with a substantial number of potential business combination targets. Over the course of their careers, the members of our management team have developed a broad network of contacts and corporate relationships in many industries.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 See the section of this prospectus entitled “Management” for a more complete description of our management team’s and advisors’ experience.</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8" w:name="page89"/>
    <w:bookmarkEnd w:id="8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01" w:lineRule="exact"/>
        <w:rPr>
          <w:sz w:val="20"/>
          <w:szCs w:val="20"/>
          <w:color w:val="auto"/>
        </w:rPr>
      </w:pPr>
    </w:p>
    <w:p>
      <w:pPr>
        <w:ind w:left="460" w:right="619" w:firstLine="432"/>
        <w:spacing w:after="0" w:line="254"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127"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97"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1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99" w:lineRule="exact"/>
        <w:rPr>
          <w:sz w:val="20"/>
          <w:szCs w:val="20"/>
          <w:color w:val="auto"/>
        </w:rPr>
      </w:pPr>
    </w:p>
    <w:p>
      <w:pPr>
        <w:ind w:left="460" w:right="579" w:firstLine="432"/>
        <w:spacing w:after="0" w:line="285"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w:t>
      </w:r>
      <w:r>
        <w:rPr>
          <w:rFonts w:ascii="Arial" w:cs="Arial" w:eastAsia="Arial" w:hAnsi="Arial"/>
          <w:sz w:val="18"/>
          <w:szCs w:val="18"/>
          <w:color w:val="auto"/>
          <w:vertAlign w:val="superscript"/>
        </w:rPr>
        <w:t>th</w:t>
      </w:r>
      <w:r>
        <w:rPr>
          <w:rFonts w:ascii="Arial" w:cs="Arial" w:eastAsia="Arial" w:hAnsi="Arial"/>
          <w:sz w:val="16"/>
          <w:szCs w:val="16"/>
          <w:color w:val="auto"/>
        </w:rPr>
        <w:t>, and (2) the date on which we have issued more than $1.0 billion in non-convertible debt securities during the prior three-year period.</w:t>
      </w:r>
    </w:p>
    <w:p>
      <w:pPr>
        <w:spacing w:after="0" w:line="83" w:lineRule="exact"/>
        <w:rPr>
          <w:sz w:val="20"/>
          <w:szCs w:val="20"/>
          <w:color w:val="auto"/>
        </w:rPr>
      </w:pPr>
    </w:p>
    <w:p>
      <w:pPr>
        <w:ind w:left="460" w:right="699" w:firstLine="432"/>
        <w:spacing w:after="0" w:line="259"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9" w:name="page90"/>
    <w:bookmarkEnd w:id="8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311" w:lineRule="auto"/>
        <w:rPr>
          <w:sz w:val="20"/>
          <w:szCs w:val="20"/>
          <w:color w:val="auto"/>
        </w:rPr>
      </w:pPr>
      <w:r>
        <w:rPr>
          <w:rFonts w:ascii="Arial" w:cs="Arial" w:eastAsia="Arial" w:hAnsi="Arial"/>
          <w:sz w:val="16"/>
          <w:szCs w:val="16"/>
          <w:color w:val="auto"/>
        </w:rPr>
        <w:t>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With funds available for an initial business combination initially in the amount of $168,875,000, after payment of $6,125,000 of deferred underwriting fees (or $194,206,250 after payment of up to $7,043,750 of deferred underwriting fees if the underwriters’ over-allotment option is exercised in full), in each case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62"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00"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larger than we could acquire with the net proceeds of this offering and the sale of the private placement warrants, and may as a result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0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our sponsor or advisors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Accordingly, there is no current basis for investors in this offering to evaluate the possible merits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Sources of Target Businesses</w:t>
      </w:r>
    </w:p>
    <w:p>
      <w:pPr>
        <w:spacing w:after="0" w:line="162" w:lineRule="exact"/>
        <w:rPr>
          <w:sz w:val="20"/>
          <w:szCs w:val="20"/>
          <w:color w:val="auto"/>
        </w:rPr>
      </w:pPr>
    </w:p>
    <w:p>
      <w:pPr>
        <w:ind w:left="460" w:right="459" w:firstLine="432"/>
        <w:spacing w:after="0" w:line="283"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bankers and investment professionals. Target businesses may be brought to our attention by such unaffiliated sources as a result of being solicited by us by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our sponsor and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and our sponsor and their respective industry and business contacts as well as their affiliates.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advisory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our sponsor or officers are affiliated, be paid any finder’s fee, reimbursement, consulting fee, monies in respect of any payment of a loan or other compensation by the company prior to, or in connection with any services rendered for any services they render in order to effectuate, the completion of our initial business combination (regardless of the type of transaction that it is). Although none of our sponsor, executive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 executive officers or directors, or any of their respective affiliates, from negotiating for the reimbursement of out-of-pocket expenses by a target business. We have agreed to pay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and advisors may enter into employment or consulting agreements with the post-transaction company following our initial business combination. The presence or absence of any such fees or arrangements will not be used as a criterion in our selection process of an initial business combination candidate.</w:t>
      </w:r>
    </w:p>
    <w:p>
      <w:pPr>
        <w:spacing w:after="0" w:line="333"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We are not prohibited from pursuing an initial business combination with an initial business combination target that is affiliated with our sponsor, officers, directors or advisors or making the initial business combination through a joint venture or other form of shared ownership with our sponsor, officers or directors. In the event we seek to complete our initial business combination with an initial business combination target that is affiliated with our sponsor, officers, directors or advisors, we, or a committee of independent directors, would obtain an opinion from an independent investment banking firm or from another independent entity that commonly renders valuation opinions that such an initial business combination is fair to our company from a financial point of view. We are not required to obtain such an opinion in any other context.</w:t>
      </w:r>
    </w:p>
    <w:p>
      <w:pPr>
        <w:spacing w:after="0" w:line="84"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Potential target companies with whom we may engage in discussions after the closing of the offering may have had prior discussions with other blank check companies, bankers in the industry and/or other professional advisors including blank check companies with which our executive officers or board of directors were affiliated. Subsequent to the closing of this offering, we may pursue transactions with such potential targets (i) if such other blank check companies are no longer pursuing transactions with such potential targets, (ii) if we become aware that such potential targets are interested in a potential initial business combination with us and</w:t>
      </w:r>
    </w:p>
    <w:p>
      <w:pPr>
        <w:spacing w:after="0" w:line="4" w:lineRule="exact"/>
        <w:rPr>
          <w:sz w:val="20"/>
          <w:szCs w:val="20"/>
          <w:color w:val="auto"/>
        </w:rPr>
      </w:pPr>
    </w:p>
    <w:p>
      <w:pPr>
        <w:ind w:left="460" w:right="719" w:hanging="6"/>
        <w:spacing w:after="0" w:line="260" w:lineRule="auto"/>
        <w:tabs>
          <w:tab w:leader="none" w:pos="7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we believe such transactions would be attractive to our stockholders. We have not contacted any of the prospective target businesses that PTAC,</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1" w:name="page92"/>
    <w:bookmarkEnd w:id="9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75" w:lineRule="auto"/>
        <w:rPr>
          <w:sz w:val="20"/>
          <w:szCs w:val="20"/>
          <w:color w:val="auto"/>
        </w:rPr>
      </w:pPr>
      <w:r>
        <w:rPr>
          <w:rFonts w:ascii="Arial" w:cs="Arial" w:eastAsia="Arial" w:hAnsi="Arial"/>
          <w:sz w:val="17"/>
          <w:szCs w:val="17"/>
          <w:color w:val="auto"/>
        </w:rPr>
        <w:t>PTIC or any other special purpose acquisition company affiliated with our officers, directors and advisors has considered and rejected while they were a blank check company searching for target businesses with which to consummate an initial business combination. However, we may contact such targets subsequent to the closing of this offering if we become aware that such targets are interested in a potential initial business combination with us and such transaction would be attractive to our stockholders.</w:t>
      </w:r>
    </w:p>
    <w:p>
      <w:pPr>
        <w:spacing w:after="0" w:line="109"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an initial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including PTAC, if its initial business combination with Porch.com is not consummated, and PTIC. Our officers and directors currently have certain relevant fiduciary duties or contractual obligations that may take priority over their duties to us.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62"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 Additionally, pursuant to Nasdaq rules, any initial business combination must be approved by a majority of our independent directors.</w:t>
      </w:r>
    </w:p>
    <w:p>
      <w:pPr>
        <w:spacing w:after="0" w:line="8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However, we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initial business combination may collectively own a minority interest in the post-transaction company, depending on valuations ascribed to the target and us in the initial business combination.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Nasdaq’s 80% fair market value test. If the initial business combination involves more than one target business, the 80% fair market value test will be based on the aggregate value of all of the transactions and we will treat the target businesses together as the initial business combination for purposes of a tender offer or for seeking stockholder approval, as applicable.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2" w:name="page93"/>
    <w:bookmarkEnd w:id="9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20"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In evaluating a prospective business target, we expect to conduct a thorough due diligence review, which may encompass, among other things, meetings with incumbent management and employees, document reviews, interviews of customers and suppliers, inspection of facilities, as well as a review of financial and other information that will be made available to us.</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Lack of Business Diversification</w:t>
      </w:r>
    </w:p>
    <w:p>
      <w:pPr>
        <w:spacing w:after="0" w:line="14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97" w:lineRule="exact"/>
        <w:rPr>
          <w:sz w:val="20"/>
          <w:szCs w:val="20"/>
          <w:color w:val="auto"/>
        </w:rPr>
      </w:pPr>
    </w:p>
    <w:p>
      <w:pPr>
        <w:ind w:left="1320" w:right="539" w:hanging="434"/>
        <w:spacing w:after="0" w:line="263"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4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04"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9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14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We may conduct redemptions without a stockholder vote pursuant to the tender offer rules of the SEC. However, we will seek stockholder approval if it is required by law or applicable stock exchange rule, or we may decide to seek stockholder approval for business or other legal reasons. Presented in the table below is a graphic explanation of the types of initial business combinations we may consider and whether stockholder approval is currently required under Delaware law for each such transaction.</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Whether</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0"/>
              </w:rPr>
              <w:t>Stockholder</w:t>
            </w:r>
          </w:p>
        </w:tc>
      </w:t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Approval is</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Type of Transaction</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Required</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Purchase of assets</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84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840" w:type="dxa"/>
            <w:vAlign w:val="bottom"/>
            <w:gridSpan w:val="2"/>
          </w:tcPr>
          <w:p>
            <w:pPr>
              <w:spacing w:after="0"/>
              <w:rPr>
                <w:sz w:val="20"/>
                <w:szCs w:val="20"/>
                <w:color w:val="auto"/>
              </w:rPr>
            </w:pPr>
            <w:r>
              <w:rPr>
                <w:rFonts w:ascii="Arial" w:cs="Arial" w:eastAsia="Arial" w:hAnsi="Arial"/>
                <w:sz w:val="18"/>
                <w:szCs w:val="18"/>
                <w:color w:val="auto"/>
              </w:rPr>
              <w:t>Merger of target into a subsidiary of the company</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84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103" w:lineRule="exact"/>
        <w:rPr>
          <w:sz w:val="20"/>
          <w:szCs w:val="20"/>
          <w:color w:val="auto"/>
        </w:rPr>
      </w:pPr>
    </w:p>
    <w:p>
      <w:pPr>
        <w:ind w:left="1320" w:right="51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89" w:lineRule="exact"/>
        <w:rPr>
          <w:rFonts w:ascii="Arial" w:cs="Arial" w:eastAsia="Arial" w:hAnsi="Arial"/>
          <w:sz w:val="18"/>
          <w:szCs w:val="18"/>
          <w:color w:val="auto"/>
        </w:rPr>
      </w:pPr>
    </w:p>
    <w:p>
      <w:pPr>
        <w:ind w:left="1320" w:right="479" w:hanging="434"/>
        <w:spacing w:after="0" w:line="25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120" w:lineRule="exact"/>
        <w:rPr>
          <w:rFonts w:ascii="Arial" w:cs="Arial" w:eastAsia="Arial" w:hAnsi="Arial"/>
          <w:sz w:val="18"/>
          <w:szCs w:val="18"/>
          <w:color w:val="auto"/>
        </w:rPr>
      </w:pPr>
    </w:p>
    <w:p>
      <w:pPr>
        <w:ind w:left="1320" w:right="10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9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In addition, if such</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4" w:name="page95"/>
    <w:bookmarkEnd w:id="9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99"/>
        <w:spacing w:after="0" w:line="311" w:lineRule="auto"/>
        <w:rPr>
          <w:sz w:val="20"/>
          <w:szCs w:val="20"/>
          <w:color w:val="auto"/>
        </w:rPr>
      </w:pPr>
      <w:r>
        <w:rPr>
          <w:rFonts w:ascii="Arial" w:cs="Arial" w:eastAsia="Arial" w:hAnsi="Arial"/>
          <w:sz w:val="16"/>
          <w:szCs w:val="16"/>
          <w:color w:val="auto"/>
        </w:rPr>
        <w:t>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81"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Our sponsor, officers, directors, advisors and/or their affiliates anticipate that they may identify the stockholders with whom our sponsor, officers, directors, advisors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advisors or their affiliates will only purchase shares if such purchases comply with Regulation M under the Exchange Act and the other federal securities laws.</w:t>
      </w:r>
    </w:p>
    <w:p>
      <w:pPr>
        <w:spacing w:after="0" w:line="101" w:lineRule="exact"/>
        <w:rPr>
          <w:sz w:val="20"/>
          <w:szCs w:val="20"/>
          <w:color w:val="auto"/>
        </w:rPr>
      </w:pPr>
    </w:p>
    <w:p>
      <w:pPr>
        <w:ind w:left="460" w:right="539" w:firstLine="432"/>
        <w:spacing w:after="0" w:line="290" w:lineRule="auto"/>
        <w:rPr>
          <w:sz w:val="20"/>
          <w:szCs w:val="20"/>
          <w:color w:val="auto"/>
        </w:rPr>
      </w:pPr>
      <w:r>
        <w:rPr>
          <w:rFonts w:ascii="Arial" w:cs="Arial" w:eastAsia="Arial" w:hAnsi="Arial"/>
          <w:sz w:val="16"/>
          <w:szCs w:val="16"/>
          <w:color w:val="auto"/>
        </w:rPr>
        <w:t>Any purchases by our sponsor, officers, directors, advisors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their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Redemption Rights for Public Stockholders upon Completion of our Initial Business Combination</w:t>
      </w:r>
    </w:p>
    <w:p>
      <w:pPr>
        <w:spacing w:after="0" w:line="160"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$10.00 per public share. The per-share amount we will distribute to investors who properly redeem their shares will not be reduced by the deferred underwriting commissions we will pay to Cantor.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initial business combination or (ii)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obtain and maintain a listing for our securities on Nasdaq, we will be required to comply with such rules.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5" w:name="page96"/>
    <w:bookmarkEnd w:id="9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firstLine="432"/>
        <w:spacing w:after="0" w:line="308" w:lineRule="auto"/>
        <w:rPr>
          <w:sz w:val="20"/>
          <w:szCs w:val="20"/>
          <w:color w:val="auto"/>
        </w:rPr>
      </w:pPr>
      <w:r>
        <w:rPr>
          <w:rFonts w:ascii="Arial" w:cs="Arial" w:eastAsia="Arial" w:hAnsi="Arial"/>
          <w:sz w:val="17"/>
          <w:szCs w:val="17"/>
          <w:color w:val="auto"/>
        </w:rPr>
        <w:t>If a stockholder vote is not required and we do not decide to hold a stockholder vote for business or other legal reasons, we will, pursuant to our amended and restated certificate of incorporation:</w:t>
      </w:r>
    </w:p>
    <w:p>
      <w:pPr>
        <w:spacing w:after="0" w:line="79" w:lineRule="exact"/>
        <w:rPr>
          <w:sz w:val="20"/>
          <w:szCs w:val="20"/>
          <w:color w:val="auto"/>
        </w:rPr>
      </w:pPr>
    </w:p>
    <w:p>
      <w:pPr>
        <w:ind w:left="1320" w:right="7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6"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Upon the public announcement of our initial business combination, we or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19"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are not purchased by our sponsor, which number will be based on the requirement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04"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If, however,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03" w:lineRule="exact"/>
        <w:rPr>
          <w:sz w:val="20"/>
          <w:szCs w:val="20"/>
          <w:color w:val="auto"/>
        </w:rPr>
      </w:pPr>
    </w:p>
    <w:p>
      <w:pPr>
        <w:jc w:val="both"/>
        <w:ind w:left="1320" w:right="519" w:hanging="434"/>
        <w:spacing w:after="0" w:line="263"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03" w:lineRule="exact"/>
        <w:rPr>
          <w:sz w:val="20"/>
          <w:szCs w:val="20"/>
          <w:color w:val="auto"/>
        </w:rPr>
      </w:pPr>
    </w:p>
    <w:p>
      <w:pPr>
        <w:ind w:left="460" w:right="559" w:firstLine="432"/>
        <w:spacing w:after="0" w:line="284"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6,562,501, or 37.5%, of the 17,500,000 public shares sold in this offering to be voted in favor of an initial business combination (assuming all outstanding shares are voted; or 1,093,752, or 6.25%, assuming only the minimum number of shares representing a quorum are voted and assuming our sponsor, officers and directors do not purchase any public shares) in order to have our initial business combination approved (in each case assuming the over-allotment option is not exercised).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6" w:name="page97"/>
    <w:bookmarkEnd w:id="9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86" w:lineRule="auto"/>
        <w:rPr>
          <w:sz w:val="20"/>
          <w:szCs w:val="20"/>
          <w:color w:val="auto"/>
        </w:rPr>
      </w:pPr>
      <w:r>
        <w:rPr>
          <w:rFonts w:ascii="Arial" w:cs="Arial" w:eastAsia="Arial" w:hAnsi="Arial"/>
          <w:sz w:val="16"/>
          <w:szCs w:val="16"/>
          <w:color w:val="auto"/>
        </w:rPr>
        <w:t>transaction. Our amended and restated certificate of incorporation will provide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174" w:lineRule="exact"/>
        <w:rPr>
          <w:sz w:val="20"/>
          <w:szCs w:val="20"/>
          <w:color w:val="auto"/>
        </w:rPr>
      </w:pPr>
    </w:p>
    <w:p>
      <w:pPr>
        <w:ind w:left="460" w:right="839"/>
        <w:spacing w:after="0" w:line="277"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103"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meeting held to approve a proposed initial business combination by a date set forth in the proxy materials mailed to such holders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from the time we send out our proxy materials until the date set forth in such proxy materials to tender its shares if it wishes to seek to exercise its redemption rights. Given the relatively short exercise period, it is advisable for stockholders to use electronic delivery of their public shares.</w:t>
      </w:r>
    </w:p>
    <w:p>
      <w:pPr>
        <w:spacing w:after="0" w:line="87" w:lineRule="exact"/>
        <w:rPr>
          <w:sz w:val="20"/>
          <w:szCs w:val="20"/>
          <w:color w:val="auto"/>
        </w:rPr>
      </w:pPr>
    </w:p>
    <w:p>
      <w:pPr>
        <w:jc w:val="both"/>
        <w:ind w:left="460" w:right="499" w:firstLine="432"/>
        <w:spacing w:after="0" w:line="287"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w:t>
      </w:r>
    </w:p>
    <w:p>
      <w:pPr>
        <w:spacing w:after="0" w:line="2" w:lineRule="exact"/>
        <w:rPr>
          <w:sz w:val="20"/>
          <w:szCs w:val="20"/>
          <w:color w:val="auto"/>
        </w:rPr>
      </w:pPr>
    </w:p>
    <w:p>
      <w:pPr>
        <w:ind w:left="460" w:right="719"/>
        <w:spacing w:after="0" w:line="255" w:lineRule="auto"/>
        <w:rPr>
          <w:sz w:val="20"/>
          <w:szCs w:val="20"/>
          <w:color w:val="auto"/>
        </w:rPr>
      </w:pPr>
      <w:r>
        <w:rPr>
          <w:rFonts w:ascii="Arial" w:cs="Arial" w:eastAsia="Arial" w:hAnsi="Arial"/>
          <w:sz w:val="18"/>
          <w:szCs w:val="18"/>
          <w:color w:val="auto"/>
        </w:rPr>
        <w:t>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7" w:name="page98"/>
    <w:bookmarkEnd w:id="9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0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Any request to redeem such shares, once made, may be withdrawn at any time up to the date set forth in the proxy materials.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97"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06" w:lineRule="exact"/>
        <w:rPr>
          <w:sz w:val="20"/>
          <w:szCs w:val="20"/>
          <w:color w:val="auto"/>
        </w:rPr>
      </w:pPr>
    </w:p>
    <w:p>
      <w:pPr>
        <w:ind w:left="460" w:right="619" w:firstLine="432"/>
        <w:spacing w:after="0" w:line="342" w:lineRule="auto"/>
        <w:rPr>
          <w:sz w:val="20"/>
          <w:szCs w:val="20"/>
          <w:color w:val="auto"/>
        </w:rPr>
      </w:pPr>
      <w:r>
        <w:rPr>
          <w:rFonts w:ascii="Arial" w:cs="Arial" w:eastAsia="Arial" w:hAnsi="Arial"/>
          <w:sz w:val="16"/>
          <w:szCs w:val="16"/>
          <w:color w:val="auto"/>
        </w:rPr>
        <w:t>If our initial proposed initial business combination is not completed, we may continue to try to complete an initial business combination with a different target until 24 months from the closing of this offering.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03"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97"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sponsor, officers and directors have agreed, pursuant to a written agreement with us, that they will not propose any amendment to our amended and restated certificate of incorporation (i) to modify the substance or timing of our obligation to redeem 100% of our public shares if we do not complete our initial business combination within 24 months from the closing of this offering or certain amendments to our charter prior thereto or (ii) with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8" w:name="page99"/>
    <w:bookmarkEnd w:id="9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9" w:lineRule="auto"/>
        <w:rPr>
          <w:sz w:val="20"/>
          <w:szCs w:val="20"/>
          <w:color w:val="auto"/>
        </w:rPr>
      </w:pPr>
      <w:r>
        <w:rPr>
          <w:rFonts w:ascii="Arial" w:cs="Arial" w:eastAsia="Arial" w:hAnsi="Arial"/>
          <w:sz w:val="17"/>
          <w:szCs w:val="17"/>
          <w:color w:val="auto"/>
        </w:rPr>
        <w:t>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14"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approximately $1,800,000 of proceeds held outside the trust account, although we cannot assure you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113"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0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Although we will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underwriters of the offering will not execute agreements with us waiving such claims to the monies held in the trust account.</w:t>
      </w:r>
    </w:p>
    <w:p>
      <w:pPr>
        <w:spacing w:after="0" w:line="10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99" w:name="page100"/>
    <w:bookmarkEnd w:id="9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57" w:lineRule="auto"/>
        <w:rPr>
          <w:sz w:val="20"/>
          <w:szCs w:val="20"/>
          <w:color w:val="auto"/>
        </w:rPr>
      </w:pPr>
      <w:r>
        <w:rPr>
          <w:rFonts w:ascii="Arial" w:cs="Arial" w:eastAsia="Arial" w:hAnsi="Arial"/>
          <w:sz w:val="18"/>
          <w:szCs w:val="18"/>
          <w:color w:val="auto"/>
        </w:rPr>
        <w:t>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w:t>
      </w:r>
    </w:p>
    <w:p>
      <w:pPr>
        <w:spacing w:after="0" w:line="120"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the event that the proceeds in the trust account are reduced below (i) $10.00 per public share or</w:t>
      </w:r>
    </w:p>
    <w:p>
      <w:pPr>
        <w:spacing w:after="0" w:line="35" w:lineRule="exact"/>
        <w:rPr>
          <w:sz w:val="20"/>
          <w:szCs w:val="20"/>
          <w:color w:val="auto"/>
        </w:rPr>
      </w:pPr>
    </w:p>
    <w:p>
      <w:pPr>
        <w:ind w:left="460" w:right="519" w:hanging="6"/>
        <w:spacing w:after="0" w:line="267" w:lineRule="auto"/>
        <w:tabs>
          <w:tab w:leader="none" w:pos="7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$10.00 per public share.</w:t>
      </w:r>
    </w:p>
    <w:p>
      <w:pPr>
        <w:spacing w:after="0" w:line="10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(except for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$1,800,000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$950,000,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$950,000, the amount of funds we intend to be held outside the trust account would increase by a corresponding amount.</w:t>
      </w:r>
    </w:p>
    <w:p>
      <w:pPr>
        <w:spacing w:after="0" w:line="100"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1"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0" w:name="page101"/>
    <w:bookmarkEnd w:id="10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83" w:lineRule="auto"/>
        <w:rPr>
          <w:sz w:val="20"/>
          <w:szCs w:val="20"/>
          <w:color w:val="auto"/>
        </w:rPr>
      </w:pPr>
      <w:r>
        <w:rPr>
          <w:rFonts w:ascii="Arial" w:cs="Arial" w:eastAsia="Arial" w:hAnsi="Arial"/>
          <w:sz w:val="16"/>
          <w:szCs w:val="16"/>
          <w:color w:val="auto"/>
        </w:rPr>
        <w:t>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0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(other than our independent registered accounting firm),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04" w:lineRule="exact"/>
        <w:rPr>
          <w:sz w:val="20"/>
          <w:szCs w:val="20"/>
          <w:color w:val="auto"/>
        </w:rPr>
      </w:pPr>
    </w:p>
    <w:p>
      <w:pPr>
        <w:ind w:left="460" w:right="619" w:firstLine="432"/>
        <w:spacing w:after="0" w:line="287" w:lineRule="auto"/>
        <w:rPr>
          <w:sz w:val="20"/>
          <w:szCs w:val="20"/>
          <w:color w:val="auto"/>
        </w:rPr>
      </w:pPr>
      <w:r>
        <w:rPr>
          <w:rFonts w:ascii="Arial" w:cs="Arial" w:eastAsia="Arial" w:hAnsi="Arial"/>
          <w:sz w:val="16"/>
          <w:szCs w:val="16"/>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8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offer redemption rights in connection with any proposed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all of our public shares if we are unable to complete our business combination within 24 months from the closing of this offering, subject to applicable law. Stockholders who do not exercise their redemption rights in connection with an</w:t>
      </w:r>
    </w:p>
    <w:p>
      <w:pPr>
        <w:sectPr>
          <w:pgSz w:w="11900" w:h="16838" w:orient="portrait"/>
          <w:cols w:equalWidth="0" w:num="1">
            <w:col w:w="9019"/>
          </w:cols>
          <w:pgMar w:left="1440" w:top="274"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1" w:name="page102"/>
    <w:bookmarkEnd w:id="10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90" w:lineRule="auto"/>
        <w:rPr>
          <w:sz w:val="20"/>
          <w:szCs w:val="20"/>
          <w:color w:val="auto"/>
        </w:rPr>
      </w:pPr>
      <w:r>
        <w:rPr>
          <w:rFonts w:ascii="Arial" w:cs="Arial" w:eastAsia="Arial" w:hAnsi="Arial"/>
          <w:sz w:val="16"/>
          <w:szCs w:val="16"/>
          <w:color w:val="auto"/>
        </w:rPr>
        <w:t>amendment to our certificate of incorporation would still be able to exercise their redemption rights in connection with a subsequent business combination.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w:t>
      </w:r>
    </w:p>
    <w:p>
      <w:pPr>
        <w:spacing w:after="0" w:line="165" w:lineRule="exact"/>
        <w:rPr>
          <w:sz w:val="20"/>
          <w:szCs w:val="20"/>
          <w:color w:val="auto"/>
        </w:rPr>
      </w:pPr>
    </w:p>
    <w:p>
      <w:pPr>
        <w:ind w:left="460" w:right="559"/>
        <w:spacing w:after="0" w:line="277" w:lineRule="auto"/>
        <w:rPr>
          <w:sz w:val="20"/>
          <w:szCs w:val="20"/>
          <w:color w:val="auto"/>
        </w:rPr>
      </w:pPr>
      <w:r>
        <w:rPr>
          <w:rFonts w:ascii="Arial" w:cs="Arial" w:eastAsia="Arial" w:hAnsi="Arial"/>
          <w:sz w:val="18"/>
          <w:szCs w:val="18"/>
          <w:b w:val="1"/>
          <w:bCs w:val="1"/>
          <w:i w:val="1"/>
          <w:iCs w:val="1"/>
          <w:color w:val="auto"/>
        </w:rPr>
        <w:t>Comparison of Redemption or Purchase Prices in Connection with Our Initial Business Combination and if We Fail to Complete Our Initial Business Combination</w:t>
      </w:r>
    </w:p>
    <w:p>
      <w:pPr>
        <w:spacing w:after="0" w:line="103"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pacing w:after="0" w:line="125" w:lineRule="exact"/>
        <w:rPr>
          <w:sz w:val="20"/>
          <w:szCs w:val="20"/>
          <w:color w:val="auto"/>
        </w:rPr>
      </w:pPr>
    </w:p>
    <w:tbl>
      <w:tblPr>
        <w:tblLayout w:type="fixed"/>
        <w:tblInd w:w="2500" w:type="dxa"/>
        <w:tblCellMar>
          <w:top w:w="0" w:type="dxa"/>
          <w:left w:w="0" w:type="dxa"/>
          <w:bottom w:w="0" w:type="dxa"/>
          <w:right w:w="0" w:type="dxa"/>
        </w:tblCellMar>
      </w:tblPr>
      <w:tr>
        <w:trPr>
          <w:trHeight w:val="203"/>
        </w:trPr>
        <w:tc>
          <w:tcPr>
            <w:tcW w:w="20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Redemptions in Connection</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1"/>
              </w:rPr>
              <w:t>Other Permitted Purchases</w:t>
            </w:r>
          </w:p>
        </w:tc>
        <w:tc>
          <w:tcPr>
            <w:tcW w:w="1680" w:type="dxa"/>
            <w:vAlign w:val="bottom"/>
          </w:tcPr>
          <w:p>
            <w:pPr>
              <w:ind w:left="120"/>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20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with our Initial</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89"/>
              </w:rPr>
              <w:t>of Public Shares by us or</w:t>
            </w:r>
          </w:p>
        </w:tc>
        <w:tc>
          <w:tcPr>
            <w:tcW w:w="1680" w:type="dxa"/>
            <w:vAlign w:val="bottom"/>
          </w:tcPr>
          <w:p>
            <w:pPr>
              <w:ind w:left="140"/>
              <w:spacing w:after="0"/>
              <w:rPr>
                <w:sz w:val="20"/>
                <w:szCs w:val="20"/>
                <w:color w:val="auto"/>
              </w:rPr>
            </w:pPr>
            <w:r>
              <w:rPr>
                <w:rFonts w:ascii="Arial" w:cs="Arial" w:eastAsia="Arial" w:hAnsi="Arial"/>
                <w:sz w:val="16"/>
                <w:szCs w:val="16"/>
                <w:b w:val="1"/>
                <w:bCs w:val="1"/>
                <w:color w:val="auto"/>
                <w:w w:val="93"/>
              </w:rPr>
              <w:t>to Complete an Initial</w:t>
            </w:r>
          </w:p>
        </w:tc>
      </w:tr>
      <w:tr>
        <w:trPr>
          <w:trHeight w:val="210"/>
        </w:trPr>
        <w:tc>
          <w:tcPr>
            <w:tcW w:w="20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Business Combination</w:t>
            </w:r>
          </w:p>
        </w:tc>
        <w:tc>
          <w:tcPr>
            <w:tcW w:w="21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our Affiliates</w:t>
            </w:r>
          </w:p>
        </w:tc>
        <w:tc>
          <w:tcPr>
            <w:tcW w:w="1680" w:type="dxa"/>
            <w:vAlign w:val="bottom"/>
          </w:tcPr>
          <w:p>
            <w:pPr>
              <w:ind w:left="140"/>
              <w:spacing w:after="0"/>
              <w:rPr>
                <w:sz w:val="20"/>
                <w:szCs w:val="20"/>
                <w:color w:val="auto"/>
              </w:rPr>
            </w:pPr>
            <w:r>
              <w:rPr>
                <w:rFonts w:ascii="Arial" w:cs="Arial" w:eastAsia="Arial" w:hAnsi="Arial"/>
                <w:sz w:val="16"/>
                <w:szCs w:val="16"/>
                <w:b w:val="1"/>
                <w:bCs w:val="1"/>
                <w:color w:val="auto"/>
                <w:w w:val="87"/>
              </w:rPr>
              <w:t>Business Combination</w:t>
            </w:r>
          </w:p>
        </w:tc>
      </w:tr>
    </w:tbl>
    <w:p>
      <w:pPr>
        <w:spacing w:after="0" w:line="28" w:lineRule="exact"/>
        <w:rPr>
          <w:sz w:val="20"/>
          <w:szCs w:val="20"/>
          <w:color w:val="auto"/>
        </w:rPr>
      </w:pPr>
    </w:p>
    <w:p>
      <w:pPr>
        <w:sectPr>
          <w:pgSz w:w="11900" w:h="16838" w:orient="portrait"/>
          <w:cols w:equalWidth="0" w:num="1">
            <w:col w:w="9019"/>
          </w:cols>
          <w:pgMar w:left="1440" w:top="274" w:right="1440" w:bottom="1440" w:gutter="0" w:footer="0" w:header="0"/>
        </w:sectPr>
      </w:pPr>
    </w:p>
    <w:p>
      <w:pPr>
        <w:ind w:left="640" w:hanging="179"/>
        <w:spacing w:after="0" w:line="347"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Redemptions at the time of our initial business combination may be made pursuant to a tender offer or in connection with a stockholder vote. The redemption price will be the same whether we conduct redemptions pursuant to a tender offer or in connection with a stockholder vote. In either case, our public stockholders may redeem their public shares for cash equal to the aggregate amount then on deposit in the trust account as of two business days prior to the consummation of the initial business combination (which is initially anticipated to be $10.00 per public share), including interest earned on the funds held in the trust account and not previously released to us to pay our taxes divided by the number of then outstanding public shares, subject to the limitation that we will only redeem our public shares so long as (after such redemption) our net tangible assets will be at least $5,000,001 either immediately prior to or upon consummation of our initial business combination and any limitations (including but not limited to cash requirements) agreed to in connection with the negotiation of terms of a proposed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-5371465</wp:posOffset>
            </wp:positionV>
            <wp:extent cx="1465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their affiliates may purchase shares in privately negotiated transactions or in the open market prior to or following completion of our initial business combination. There is no limit to the prices that our sponsor, directors, officers, advisors or their affiliates may pay in these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-2346325</wp:posOffset>
            </wp:positionV>
            <wp:extent cx="12344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59"/>
        <w:spacing w:after="0" w:line="284" w:lineRule="auto"/>
        <w:rPr>
          <w:sz w:val="20"/>
          <w:szCs w:val="20"/>
          <w:color w:val="auto"/>
        </w:rPr>
      </w:pPr>
      <w:r>
        <w:rPr>
          <w:rFonts w:ascii="Arial" w:cs="Arial" w:eastAsia="Arial" w:hAnsi="Arial"/>
          <w:sz w:val="16"/>
          <w:szCs w:val="16"/>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-3455035</wp:posOffset>
            </wp:positionV>
            <wp:extent cx="11226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3218" w:lineRule="exact"/>
        <w:rPr>
          <w:sz w:val="20"/>
          <w:szCs w:val="20"/>
          <w:color w:val="auto"/>
        </w:rPr>
      </w:pPr>
    </w:p>
    <w:p>
      <w:pPr>
        <w:sectPr>
          <w:pgSz w:w="11900" w:h="16838" w:orient="portrait"/>
          <w:cols w:equalWidth="0" w:num="4">
            <w:col w:w="1960" w:space="380"/>
            <w:col w:w="2300" w:space="100"/>
            <w:col w:w="1960" w:space="80"/>
            <w:col w:w="2239"/>
          </w:cols>
          <w:pgMar w:left="1440" w:top="274" w:right="1440"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2" w:name="page103"/>
    <w:bookmarkEnd w:id="10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tbl>
      <w:tblPr>
        <w:tblLayout w:type="fixed"/>
        <w:tblInd w:w="2500" w:type="dxa"/>
        <w:tblCellMar>
          <w:top w:w="0" w:type="dxa"/>
          <w:left w:w="0" w:type="dxa"/>
          <w:bottom w:w="0" w:type="dxa"/>
          <w:right w:w="0" w:type="dxa"/>
        </w:tblCellMar>
      </w:tblPr>
      <w:tr>
        <w:trPr>
          <w:trHeight w:val="203"/>
        </w:trPr>
        <w:tc>
          <w:tcPr>
            <w:tcW w:w="20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Redemptions in Connection</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1"/>
              </w:rPr>
              <w:t>Other Permitted Purchases</w:t>
            </w:r>
          </w:p>
        </w:tc>
        <w:tc>
          <w:tcPr>
            <w:tcW w:w="1680" w:type="dxa"/>
            <w:vAlign w:val="bottom"/>
          </w:tcPr>
          <w:p>
            <w:pPr>
              <w:ind w:left="120"/>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20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with our Initial</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89"/>
              </w:rPr>
              <w:t>of Public Shares by us or</w:t>
            </w:r>
          </w:p>
        </w:tc>
        <w:tc>
          <w:tcPr>
            <w:tcW w:w="1680" w:type="dxa"/>
            <w:vAlign w:val="bottom"/>
          </w:tcPr>
          <w:p>
            <w:pPr>
              <w:ind w:left="140"/>
              <w:spacing w:after="0"/>
              <w:rPr>
                <w:sz w:val="20"/>
                <w:szCs w:val="20"/>
                <w:color w:val="auto"/>
              </w:rPr>
            </w:pPr>
            <w:r>
              <w:rPr>
                <w:rFonts w:ascii="Arial" w:cs="Arial" w:eastAsia="Arial" w:hAnsi="Arial"/>
                <w:sz w:val="16"/>
                <w:szCs w:val="16"/>
                <w:b w:val="1"/>
                <w:bCs w:val="1"/>
                <w:color w:val="auto"/>
                <w:w w:val="93"/>
              </w:rPr>
              <w:t>to Complete an Initial</w:t>
            </w:r>
          </w:p>
        </w:tc>
      </w:tr>
      <w:tr>
        <w:trPr>
          <w:trHeight w:val="210"/>
        </w:trPr>
        <w:tc>
          <w:tcPr>
            <w:tcW w:w="208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Business Combination</w:t>
            </w:r>
          </w:p>
        </w:tc>
        <w:tc>
          <w:tcPr>
            <w:tcW w:w="2180" w:type="dxa"/>
            <w:vAlign w:val="bottom"/>
          </w:tcPr>
          <w:p>
            <w:pPr>
              <w:jc w:val="center"/>
              <w:ind w:left="19"/>
              <w:spacing w:after="0"/>
              <w:rPr>
                <w:sz w:val="20"/>
                <w:szCs w:val="20"/>
                <w:color w:val="auto"/>
              </w:rPr>
            </w:pPr>
            <w:r>
              <w:rPr>
                <w:rFonts w:ascii="Arial" w:cs="Arial" w:eastAsia="Arial" w:hAnsi="Arial"/>
                <w:sz w:val="16"/>
                <w:szCs w:val="16"/>
                <w:b w:val="1"/>
                <w:bCs w:val="1"/>
                <w:color w:val="auto"/>
                <w:w w:val="94"/>
              </w:rPr>
              <w:t>our Affiliates</w:t>
            </w:r>
          </w:p>
        </w:tc>
        <w:tc>
          <w:tcPr>
            <w:tcW w:w="1680" w:type="dxa"/>
            <w:vAlign w:val="bottom"/>
          </w:tcPr>
          <w:p>
            <w:pPr>
              <w:ind w:left="140"/>
              <w:spacing w:after="0"/>
              <w:rPr>
                <w:sz w:val="20"/>
                <w:szCs w:val="20"/>
                <w:color w:val="auto"/>
              </w:rPr>
            </w:pPr>
            <w:r>
              <w:rPr>
                <w:rFonts w:ascii="Arial" w:cs="Arial" w:eastAsia="Arial" w:hAnsi="Arial"/>
                <w:sz w:val="16"/>
                <w:szCs w:val="16"/>
                <w:b w:val="1"/>
                <w:bCs w:val="1"/>
                <w:color w:val="auto"/>
                <w:w w:val="87"/>
              </w:rPr>
              <w:t>Business Combination</w:t>
            </w:r>
          </w:p>
        </w:tc>
      </w:tr>
    </w:tbl>
    <w:p>
      <w:pPr>
        <w:spacing w:after="0" w:line="28" w:lineRule="exact"/>
        <w:rPr>
          <w:sz w:val="20"/>
          <w:szCs w:val="20"/>
          <w:color w:val="auto"/>
        </w:rPr>
      </w:pPr>
    </w:p>
    <w:p>
      <w:pPr>
        <w:sectPr>
          <w:pgSz w:w="11900" w:h="16838" w:orient="portrait"/>
          <w:cols w:equalWidth="0" w:num="1">
            <w:col w:w="9019"/>
          </w:cols>
          <w:pgMar w:left="1440" w:top="274" w:right="1440" w:bottom="1440" w:gutter="0" w:footer="0" w:header="0"/>
        </w:sectPr>
      </w:pPr>
    </w:p>
    <w:p>
      <w:pPr>
        <w:ind w:left="640" w:hanging="179"/>
        <w:spacing w:after="0" w:line="347" w:lineRule="auto"/>
        <w:rPr>
          <w:sz w:val="20"/>
          <w:szCs w:val="20"/>
          <w:color w:val="auto"/>
        </w:rPr>
      </w:pPr>
      <w:r>
        <w:rPr>
          <w:rFonts w:ascii="Arial" w:cs="Arial" w:eastAsia="Arial" w:hAnsi="Arial"/>
          <w:sz w:val="16"/>
          <w:szCs w:val="16"/>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redemptions in connection with our initial business combination will reduce the book value per share for our remaining stockholders, who will bear the burden of the deferred underwriting commissions and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-1128395</wp:posOffset>
            </wp:positionV>
            <wp:extent cx="1465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-990600</wp:posOffset>
            </wp:positionV>
            <wp:extent cx="1234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59"/>
        <w:spacing w:after="0" w:line="287"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-1535430</wp:posOffset>
            </wp:positionV>
            <wp:extent cx="11226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040" w:space="300"/>
            <w:col w:w="2300" w:space="100"/>
            <w:col w:w="1880" w:space="160"/>
            <w:col w:w="2239"/>
          </w:cols>
          <w:pgMar w:left="1440" w:top="274" w:right="1440"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19"/>
          </w:cols>
          <w:pgMar w:left="1440" w:top="274"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640" w:hanging="179"/>
        <w:spacing w:after="0" w:line="386" w:lineRule="auto"/>
        <w:rPr>
          <w:sz w:val="20"/>
          <w:szCs w:val="20"/>
          <w:color w:val="auto"/>
        </w:rPr>
      </w:pPr>
      <w:r>
        <w:rPr>
          <w:rFonts w:ascii="Arial" w:cs="Arial" w:eastAsia="Arial" w:hAnsi="Arial"/>
          <w:sz w:val="15"/>
          <w:szCs w:val="15"/>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Terms of Our Offering</w:t>
      </w:r>
    </w:p>
    <w:p>
      <w:pPr>
        <w:spacing w:after="0" w:line="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$175,000,000 of the net proceeds of this offering and the sale of the private placement warrants will be deposited into a trust account in the United States at J.P. Morgan Chase Bank, N.A., with Continental Stock Transfer &amp; Trust Company acting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-983615</wp:posOffset>
            </wp:positionV>
            <wp:extent cx="19284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Terms Under a Rule 419 Offering</w:t>
      </w:r>
    </w:p>
    <w:p>
      <w:pPr>
        <w:spacing w:after="0" w:line="72" w:lineRule="exact"/>
        <w:rPr>
          <w:sz w:val="20"/>
          <w:szCs w:val="20"/>
          <w:color w:val="auto"/>
        </w:rPr>
      </w:pPr>
    </w:p>
    <w:p>
      <w:pPr>
        <w:ind w:right="559"/>
        <w:spacing w:after="0" w:line="271" w:lineRule="auto"/>
        <w:rPr>
          <w:sz w:val="20"/>
          <w:szCs w:val="20"/>
          <w:color w:val="auto"/>
        </w:rPr>
      </w:pPr>
      <w:r>
        <w:rPr>
          <w:rFonts w:ascii="Arial" w:cs="Arial" w:eastAsia="Arial" w:hAnsi="Arial"/>
          <w:sz w:val="17"/>
          <w:szCs w:val="17"/>
          <w:color w:val="auto"/>
        </w:rPr>
        <w:t>Approximately $154,350,000 of the offering proceeds would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-1120140</wp:posOffset>
            </wp:positionV>
            <wp:extent cx="19970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47" w:lineRule="exact"/>
        <w:rPr>
          <w:sz w:val="20"/>
          <w:szCs w:val="20"/>
          <w:color w:val="auto"/>
        </w:rPr>
      </w:pPr>
    </w:p>
    <w:p>
      <w:pPr>
        <w:sectPr>
          <w:pgSz w:w="11900" w:h="16838" w:orient="portrait"/>
          <w:cols w:equalWidth="0" w:num="3">
            <w:col w:w="1860" w:space="420"/>
            <w:col w:w="3000" w:space="120"/>
            <w:col w:w="3619"/>
          </w:cols>
          <w:pgMar w:left="1440" w:top="274" w:right="1440" w:bottom="1440" w:gutter="0" w:footer="0" w:header="0"/>
          <w:type w:val="continuous"/>
        </w:sectPr>
      </w:pPr>
    </w:p>
    <w:p>
      <w:pPr>
        <w:ind w:left="460"/>
        <w:spacing w:after="0"/>
        <w:tabs>
          <w:tab w:leader="none" w:pos="226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6"/>
          <w:szCs w:val="16"/>
          <w:color w:val="auto"/>
        </w:rPr>
        <w:t>$175,000,000 of the net offering proceeds</w:t>
      </w:r>
    </w:p>
    <w:p>
      <w:pPr>
        <w:spacing w:after="0" w:line="27" w:lineRule="exact"/>
        <w:rPr>
          <w:sz w:val="20"/>
          <w:szCs w:val="20"/>
          <w:color w:val="auto"/>
        </w:rPr>
      </w:pPr>
    </w:p>
    <w:p>
      <w:pPr>
        <w:ind w:left="2280" w:right="140" w:hanging="1639"/>
        <w:spacing w:after="0" w:line="268" w:lineRule="auto"/>
        <w:tabs>
          <w:tab w:leader="none" w:pos="2260" w:val="left"/>
        </w:tabs>
        <w:rPr>
          <w:sz w:val="20"/>
          <w:szCs w:val="20"/>
          <w:color w:val="auto"/>
        </w:rPr>
      </w:pPr>
      <w:r>
        <w:rPr>
          <w:rFonts w:ascii="Arial" w:cs="Arial" w:eastAsia="Arial" w:hAnsi="Arial"/>
          <w:sz w:val="17"/>
          <w:szCs w:val="17"/>
          <w:b w:val="1"/>
          <w:bCs w:val="1"/>
          <w:color w:val="auto"/>
        </w:rPr>
        <w:t>proceeds</w:t>
      </w:r>
      <w:r>
        <w:rPr>
          <w:sz w:val="20"/>
          <w:szCs w:val="20"/>
          <w:color w:val="auto"/>
        </w:rPr>
        <w:tab/>
      </w:r>
      <w:r>
        <w:rPr>
          <w:rFonts w:ascii="Arial" w:cs="Arial" w:eastAsia="Arial" w:hAnsi="Arial"/>
          <w:sz w:val="17"/>
          <w:szCs w:val="17"/>
          <w:color w:val="auto"/>
        </w:rPr>
        <w:t>and the sale of the private placement warrants held in trust will be invested only in U.S. government treasury bills with a maturity of 185 days or less or in money market funds meeting certain conditions under Rule 2a-7 under the Investment Company Act which invest only in direct U.S. government treasury obligations.</w:t>
      </w:r>
    </w:p>
    <w:p>
      <w:pPr>
        <w:spacing w:after="0" w:line="150" w:lineRule="exact"/>
        <w:rPr>
          <w:sz w:val="20"/>
          <w:szCs w:val="20"/>
          <w:color w:val="auto"/>
        </w:rPr>
      </w:pPr>
    </w:p>
    <w:p>
      <w:pPr>
        <w:ind w:left="460"/>
        <w:spacing w:after="0"/>
        <w:tabs>
          <w:tab w:leader="none" w:pos="2260" w:val="left"/>
        </w:tabs>
        <w:rPr>
          <w:sz w:val="20"/>
          <w:szCs w:val="20"/>
          <w:color w:val="auto"/>
        </w:rPr>
      </w:pPr>
      <w:r>
        <w:rPr>
          <w:rFonts w:ascii="Arial" w:cs="Arial" w:eastAsia="Arial" w:hAnsi="Arial"/>
          <w:sz w:val="18"/>
          <w:szCs w:val="18"/>
          <w:b w:val="1"/>
          <w:bCs w:val="1"/>
          <w:color w:val="auto"/>
        </w:rPr>
        <w:t>Receipt of interest on</w:t>
      </w:r>
      <w:r>
        <w:rPr>
          <w:sz w:val="20"/>
          <w:szCs w:val="20"/>
          <w:color w:val="auto"/>
        </w:rPr>
        <w:tab/>
      </w:r>
      <w:r>
        <w:rPr>
          <w:rFonts w:ascii="Arial" w:cs="Arial" w:eastAsia="Arial" w:hAnsi="Arial"/>
          <w:sz w:val="16"/>
          <w:szCs w:val="16"/>
          <w:color w:val="auto"/>
        </w:rPr>
        <w:t>Interest on proceeds from the trust</w:t>
      </w:r>
    </w:p>
    <w:p>
      <w:pPr>
        <w:spacing w:after="0" w:line="27" w:lineRule="exact"/>
        <w:rPr>
          <w:sz w:val="20"/>
          <w:szCs w:val="20"/>
          <w:color w:val="auto"/>
        </w:rPr>
      </w:pPr>
    </w:p>
    <w:p>
      <w:pPr>
        <w:ind w:left="2280" w:right="40" w:hanging="1641"/>
        <w:spacing w:after="0" w:line="286" w:lineRule="auto"/>
        <w:tabs>
          <w:tab w:leader="none" w:pos="226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6"/>
          <w:szCs w:val="16"/>
          <w:color w:val="auto"/>
        </w:rPr>
        <w:t>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99"/>
        <w:spacing w:after="0" w:line="272" w:lineRule="auto"/>
        <w:rPr>
          <w:sz w:val="20"/>
          <w:szCs w:val="20"/>
          <w:color w:val="auto"/>
        </w:rPr>
      </w:pPr>
      <w:r>
        <w:rPr>
          <w:rFonts w:ascii="Arial" w:cs="Arial" w:eastAsia="Arial" w:hAnsi="Arial"/>
          <w:sz w:val="17"/>
          <w:szCs w:val="17"/>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559"/>
        <w:spacing w:after="0" w:line="255"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ectPr>
          <w:pgSz w:w="11900" w:h="16838" w:orient="portrait"/>
          <w:cols w:equalWidth="0" w:num="2">
            <w:col w:w="5300" w:space="100"/>
            <w:col w:w="3619"/>
          </w:cols>
          <w:pgMar w:left="1440" w:top="274" w:right="1440" w:bottom="1440" w:gutter="0" w:footer="0" w:header="0"/>
          <w:type w:val="continuous"/>
        </w:sectPr>
      </w:pPr>
    </w:p>
    <w:bookmarkStart w:id="103" w:name="page104"/>
    <w:bookmarkEnd w:id="10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right"/>
        <w:ind w:right="879"/>
        <w:spacing w:after="0"/>
        <w:tabs>
          <w:tab w:leader="none" w:pos="23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274" w:right="1440" w:bottom="1440" w:gutter="0" w:footer="0" w:header="0"/>
        </w:sectPr>
      </w:pPr>
    </w:p>
    <w:p>
      <w:pPr>
        <w:spacing w:after="0" w:line="55" w:lineRule="exact"/>
        <w:rPr>
          <w:sz w:val="20"/>
          <w:szCs w:val="20"/>
          <w:color w:val="auto"/>
        </w:rPr>
      </w:pPr>
    </w:p>
    <w:p>
      <w:pPr>
        <w:ind w:left="640" w:right="80" w:hanging="179"/>
        <w:spacing w:after="0" w:line="343" w:lineRule="auto"/>
        <w:rPr>
          <w:sz w:val="20"/>
          <w:szCs w:val="20"/>
          <w:color w:val="auto"/>
        </w:rPr>
      </w:pPr>
      <w:r>
        <w:rPr>
          <w:rFonts w:ascii="Arial" w:cs="Arial" w:eastAsia="Arial" w:hAnsi="Arial"/>
          <w:sz w:val="15"/>
          <w:szCs w:val="15"/>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0" w:right="80" w:hanging="179"/>
        <w:spacing w:after="0" w:line="347" w:lineRule="auto"/>
        <w:rPr>
          <w:sz w:val="20"/>
          <w:szCs w:val="20"/>
          <w:color w:val="auto"/>
        </w:rPr>
      </w:pPr>
      <w:r>
        <w:rPr>
          <w:rFonts w:ascii="Arial" w:cs="Arial" w:eastAsia="Arial" w:hAnsi="Arial"/>
          <w:sz w:val="16"/>
          <w:szCs w:val="16"/>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the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40" w:hanging="179"/>
        <w:spacing w:after="0" w:line="282"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-1400810</wp:posOffset>
            </wp:positionV>
            <wp:extent cx="19284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expect the units will begin trading on or promptly after the date of this prospectus. The Class A common stock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unless Cantor, the representative of the underwriters,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is anticipated to take place three business days from the date of this prospectus. If the over-allotment option is exercised following the initial filing of such Current Report on Form 8-K, an additional Current Report on Form 8-K will be filed to provide updated financial information to reflect the exercise of the over-allotment option.</w:t>
      </w:r>
    </w:p>
    <w:p>
      <w:pPr>
        <w:spacing w:after="0" w:line="15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warrants cannot be exercised until the later of 30 days after the completion of our initial business combination or 12 months from the closing of this offering.</w:t>
      </w:r>
    </w:p>
    <w:p>
      <w:pPr>
        <w:spacing w:after="0" w:line="3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will provide our public stockholders with the opportunity to redeem their public shares for cash equal to their pro rata share of the aggregate amount then on deposit in the trust account as of two business days prior to the consummation of our initial business combination, including interest earned on the funds held in the trust account and not previously released to us to pay our taxes, upon the completion of our initial business combination, subject to the limitations described herein. We may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519"/>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9970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99"/>
        <w:spacing w:after="0" w:line="255" w:lineRule="auto"/>
        <w:rPr>
          <w:sz w:val="20"/>
          <w:szCs w:val="20"/>
          <w:color w:val="auto"/>
        </w:rPr>
      </w:pPr>
      <w:r>
        <w:rPr>
          <w:rFonts w:ascii="Arial" w:cs="Arial" w:eastAsia="Arial" w:hAnsi="Arial"/>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79"/>
        <w:spacing w:after="0" w:line="296"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134" w:lineRule="exact"/>
        <w:rPr>
          <w:sz w:val="20"/>
          <w:szCs w:val="20"/>
          <w:color w:val="auto"/>
        </w:rPr>
      </w:pPr>
    </w:p>
    <w:p>
      <w:pPr>
        <w:ind w:right="459"/>
        <w:spacing w:after="0" w:line="268"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it elects to remain a stockholder of the company or require the return of its investment. If the company has not</w:t>
      </w:r>
    </w:p>
    <w:p>
      <w:pPr>
        <w:spacing w:after="0" w:line="186" w:lineRule="exact"/>
        <w:rPr>
          <w:sz w:val="20"/>
          <w:szCs w:val="20"/>
          <w:color w:val="auto"/>
        </w:rPr>
      </w:pPr>
    </w:p>
    <w:p>
      <w:pPr>
        <w:sectPr>
          <w:pgSz w:w="11900" w:h="16838" w:orient="portrait"/>
          <w:cols w:equalWidth="0" w:num="3">
            <w:col w:w="2100" w:space="180"/>
            <w:col w:w="3020" w:space="100"/>
            <w:col w:w="3619"/>
          </w:cols>
          <w:pgMar w:left="1440" w:top="274"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right"/>
        <w:ind w:right="879"/>
        <w:spacing w:after="0"/>
        <w:tabs>
          <w:tab w:leader="none" w:pos="23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274" w:right="1440" w:bottom="1440" w:gutter="0" w:footer="0" w:header="0"/>
        </w:sectPr>
      </w:pPr>
    </w:p>
    <w:p>
      <w:pPr>
        <w:spacing w:after="0" w:line="72" w:lineRule="exact"/>
        <w:rPr>
          <w:sz w:val="20"/>
          <w:szCs w:val="20"/>
          <w:color w:val="auto"/>
        </w:rPr>
      </w:pPr>
    </w:p>
    <w:p>
      <w:pPr>
        <w:ind w:left="2280"/>
        <w:spacing w:after="0" w:line="283" w:lineRule="auto"/>
        <w:rPr>
          <w:sz w:val="20"/>
          <w:szCs w:val="20"/>
          <w:color w:val="auto"/>
        </w:rPr>
      </w:pPr>
      <w:r>
        <w:rPr>
          <w:rFonts w:ascii="Arial" w:cs="Arial" w:eastAsia="Arial" w:hAnsi="Arial"/>
          <w:sz w:val="16"/>
          <w:szCs w:val="16"/>
          <w:color w:val="auto"/>
        </w:rPr>
        <w:t>not be required by law to hold a stockholder vote. We intend to give approximately 30 days (but not less than 10 days nor more than 60 days) prior written notice of any such meeting, if required, at which a vote shall be taken to approve our initial business combination. If we are not required by law and do not otherwise decide to hold a stockholder vote, we will, pursuant to our amended and restated certificate of incorporation,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If, however, we hold a stockholder vote, we will, like many blank check companies, offer to redeem shares in conjunction with a proxy solicitation pursuant to the proxy rules. If we seek stockholder approval, we will complete our initial business combination only if a majority of the outstanding shares of common stock voted are voted in favor of the initial business combination. Additionally, each public stockholder may elect to redeem their public shares irrespective of whether they vote for or against the proposed transaction.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-6473825</wp:posOffset>
            </wp:positionV>
            <wp:extent cx="19284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539"/>
        <w:spacing w:after="0" w:line="266" w:lineRule="auto"/>
        <w:rPr>
          <w:sz w:val="20"/>
          <w:szCs w:val="20"/>
          <w:color w:val="auto"/>
        </w:rPr>
      </w:pPr>
      <w:r>
        <w:rPr>
          <w:rFonts w:ascii="Arial" w:cs="Arial" w:eastAsia="Arial" w:hAnsi="Arial"/>
          <w:sz w:val="17"/>
          <w:szCs w:val="17"/>
          <w:color w:val="auto"/>
        </w:rPr>
        <w:t>received the notification by the end of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-1390650</wp:posOffset>
            </wp:positionV>
            <wp:extent cx="19970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8204" w:lineRule="exact"/>
        <w:rPr>
          <w:sz w:val="20"/>
          <w:szCs w:val="20"/>
          <w:color w:val="auto"/>
        </w:rPr>
      </w:pPr>
    </w:p>
    <w:p>
      <w:pPr>
        <w:sectPr>
          <w:pgSz w:w="11900" w:h="16838" w:orient="portrait"/>
          <w:cols w:equalWidth="0" w:num="2">
            <w:col w:w="5320" w:space="80"/>
            <w:col w:w="3619"/>
          </w:cols>
          <w:pgMar w:left="1440" w:top="274" w:right="1440"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5" w:name="page106"/>
    <w:bookmarkEnd w:id="10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40" w:hanging="179"/>
        <w:spacing w:after="0" w:line="386" w:lineRule="auto"/>
        <w:rPr>
          <w:sz w:val="20"/>
          <w:szCs w:val="20"/>
          <w:color w:val="auto"/>
        </w:rPr>
      </w:pPr>
      <w:r>
        <w:rPr>
          <w:rFonts w:ascii="Arial" w:cs="Arial" w:eastAsia="Arial" w:hAnsi="Arial"/>
          <w:sz w:val="15"/>
          <w:szCs w:val="15"/>
          <w:b w:val="1"/>
          <w:bCs w:val="1"/>
          <w:color w:val="auto"/>
        </w:rPr>
        <w:t>Business combination deadline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left="-3"/>
        <w:spacing w:after="0"/>
        <w:rPr>
          <w:sz w:val="20"/>
          <w:szCs w:val="20"/>
          <w:color w:val="auto"/>
        </w:rPr>
      </w:pPr>
      <w:r>
        <w:rPr>
          <w:rFonts w:ascii="Arial" w:cs="Arial" w:eastAsia="Arial" w:hAnsi="Arial"/>
          <w:sz w:val="16"/>
          <w:szCs w:val="16"/>
          <w:b w:val="1"/>
          <w:bCs w:val="1"/>
          <w:color w:val="auto"/>
        </w:rPr>
        <w:t>Terms of Our Offering</w:t>
      </w:r>
    </w:p>
    <w:p>
      <w:pPr>
        <w:spacing w:after="0" w:line="72" w:lineRule="exact"/>
        <w:rPr>
          <w:sz w:val="20"/>
          <w:szCs w:val="20"/>
          <w:color w:val="auto"/>
        </w:rPr>
      </w:pPr>
    </w:p>
    <w:p>
      <w:pPr>
        <w:ind w:left="4" w:right="100"/>
        <w:spacing w:after="0" w:line="287" w:lineRule="auto"/>
        <w:rPr>
          <w:sz w:val="20"/>
          <w:szCs w:val="20"/>
          <w:color w:val="auto"/>
        </w:rPr>
      </w:pPr>
      <w:r>
        <w:rPr>
          <w:rFonts w:ascii="Arial" w:cs="Arial" w:eastAsia="Arial" w:hAnsi="Arial"/>
          <w:sz w:val="16"/>
          <w:szCs w:val="16"/>
          <w:color w:val="auto"/>
        </w:rPr>
        <w:t>If we are unable to complete an initial business combination within 24 months from the closing of this offering, we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19284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ind w:left="4" w:hanging="4"/>
        <w:spacing w:after="0" w:line="281" w:lineRule="auto"/>
        <w:tabs>
          <w:tab w:leader="none" w:pos="2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10" w:lineRule="exact"/>
        <w:rPr>
          <w:rFonts w:ascii="Arial" w:cs="Arial" w:eastAsia="Arial" w:hAnsi="Arial"/>
          <w:sz w:val="16"/>
          <w:szCs w:val="16"/>
          <w:color w:val="auto"/>
        </w:rPr>
      </w:pPr>
    </w:p>
    <w:p>
      <w:pPr>
        <w:ind w:left="4" w:right="40" w:hanging="4"/>
        <w:spacing w:after="0" w:line="287" w:lineRule="auto"/>
        <w:tabs>
          <w:tab w:leader="none" w:pos="318"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Terms Under a Rule 419 Offering</w:t>
      </w:r>
    </w:p>
    <w:p>
      <w:pPr>
        <w:spacing w:after="0" w:line="72" w:lineRule="exact"/>
        <w:rPr>
          <w:sz w:val="20"/>
          <w:szCs w:val="20"/>
          <w:color w:val="auto"/>
        </w:rPr>
      </w:pPr>
    </w:p>
    <w:p>
      <w:pPr>
        <w:ind w:right="499"/>
        <w:spacing w:after="0" w:line="296" w:lineRule="auto"/>
        <w:rPr>
          <w:sz w:val="20"/>
          <w:szCs w:val="20"/>
          <w:color w:val="auto"/>
        </w:rPr>
      </w:pPr>
      <w:r>
        <w:rPr>
          <w:rFonts w:ascii="Arial" w:cs="Arial" w:eastAsia="Arial" w:hAnsi="Arial"/>
          <w:sz w:val="16"/>
          <w:szCs w:val="16"/>
          <w:color w:val="auto"/>
        </w:rPr>
        <w:t>If a business combination has not been completed within 18 months after the effective date of the company’s registration statement, funds held in the trust or escrow account are returned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19970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5314" w:lineRule="exact"/>
        <w:rPr>
          <w:sz w:val="20"/>
          <w:szCs w:val="20"/>
          <w:color w:val="auto"/>
        </w:rPr>
      </w:pPr>
    </w:p>
    <w:p>
      <w:pPr>
        <w:sectPr>
          <w:pgSz w:w="11900" w:h="16838" w:orient="portrait"/>
          <w:cols w:equalWidth="0" w:num="3">
            <w:col w:w="2120" w:space="156"/>
            <w:col w:w="3024" w:space="100"/>
            <w:col w:w="3619"/>
          </w:cols>
          <w:pgMar w:left="1440" w:top="274" w:right="1440" w:bottom="1440" w:gutter="0" w:footer="0" w:header="0"/>
        </w:sectPr>
      </w:pPr>
    </w:p>
    <w:p>
      <w:pPr>
        <w:ind w:left="460"/>
        <w:spacing w:after="0"/>
        <w:tabs>
          <w:tab w:leader="none" w:pos="2260" w:val="left"/>
        </w:tabs>
        <w:rPr>
          <w:sz w:val="20"/>
          <w:szCs w:val="20"/>
          <w:color w:val="auto"/>
        </w:rPr>
      </w:pPr>
      <w:r>
        <w:rPr>
          <w:rFonts w:ascii="Arial" w:cs="Arial" w:eastAsia="Arial" w:hAnsi="Arial"/>
          <w:sz w:val="18"/>
          <w:szCs w:val="18"/>
          <w:b w:val="1"/>
          <w:bCs w:val="1"/>
          <w:color w:val="auto"/>
        </w:rPr>
        <w:t>Limitation on</w:t>
      </w:r>
      <w:r>
        <w:rPr>
          <w:sz w:val="20"/>
          <w:szCs w:val="20"/>
          <w:color w:val="auto"/>
        </w:rPr>
        <w:tab/>
      </w:r>
      <w:r>
        <w:rPr>
          <w:rFonts w:ascii="Arial" w:cs="Arial" w:eastAsia="Arial" w:hAnsi="Arial"/>
          <w:sz w:val="16"/>
          <w:szCs w:val="16"/>
          <w:color w:val="auto"/>
        </w:rPr>
        <w:t>If we seek stockholder approval of our</w:t>
      </w:r>
    </w:p>
    <w:p>
      <w:pPr>
        <w:spacing w:after="0" w:line="27"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redemption rights</w:t>
      </w:r>
      <w:r>
        <w:rPr>
          <w:sz w:val="20"/>
          <w:szCs w:val="20"/>
          <w:color w:val="auto"/>
        </w:rPr>
        <w:tab/>
      </w:r>
      <w:r>
        <w:rPr>
          <w:rFonts w:ascii="Arial" w:cs="Arial" w:eastAsia="Arial" w:hAnsi="Arial"/>
          <w:sz w:val="16"/>
          <w:szCs w:val="16"/>
          <w:color w:val="auto"/>
        </w:rPr>
        <w:t>initial business combination and we do</w:t>
      </w:r>
    </w:p>
    <w:p>
      <w:pPr>
        <w:spacing w:after="0" w:line="9"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of stockholders</w:t>
      </w:r>
      <w:r>
        <w:rPr>
          <w:sz w:val="20"/>
          <w:szCs w:val="20"/>
          <w:color w:val="auto"/>
        </w:rPr>
        <w:tab/>
      </w:r>
      <w:r>
        <w:rPr>
          <w:rFonts w:ascii="Arial" w:cs="Arial" w:eastAsia="Arial" w:hAnsi="Arial"/>
          <w:sz w:val="16"/>
          <w:szCs w:val="16"/>
          <w:color w:val="auto"/>
        </w:rPr>
        <w:t>not conduct redemptions in connection</w:t>
      </w:r>
    </w:p>
    <w:p>
      <w:pPr>
        <w:spacing w:after="0" w:line="9"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holding more than</w:t>
      </w:r>
      <w:r>
        <w:rPr>
          <w:sz w:val="20"/>
          <w:szCs w:val="20"/>
          <w:color w:val="auto"/>
        </w:rPr>
        <w:tab/>
      </w:r>
      <w:r>
        <w:rPr>
          <w:rFonts w:ascii="Arial" w:cs="Arial" w:eastAsia="Arial" w:hAnsi="Arial"/>
          <w:sz w:val="16"/>
          <w:szCs w:val="16"/>
          <w:color w:val="auto"/>
        </w:rPr>
        <w:t>with our initial business combination</w:t>
      </w:r>
    </w:p>
    <w:p>
      <w:pPr>
        <w:spacing w:after="0" w:line="9"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15% of the shares</w:t>
      </w:r>
      <w:r>
        <w:rPr>
          <w:sz w:val="20"/>
          <w:szCs w:val="20"/>
          <w:color w:val="auto"/>
        </w:rPr>
        <w:tab/>
      </w:r>
      <w:r>
        <w:rPr>
          <w:rFonts w:ascii="Arial" w:cs="Arial" w:eastAsia="Arial" w:hAnsi="Arial"/>
          <w:sz w:val="16"/>
          <w:szCs w:val="16"/>
          <w:color w:val="auto"/>
        </w:rPr>
        <w:t>pursuant to the tender offer rules, our</w:t>
      </w:r>
    </w:p>
    <w:p>
      <w:pPr>
        <w:spacing w:after="0" w:line="9"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sold in this offering</w:t>
      </w:r>
      <w:r>
        <w:rPr>
          <w:sz w:val="20"/>
          <w:szCs w:val="20"/>
          <w:color w:val="auto"/>
        </w:rPr>
        <w:tab/>
      </w:r>
      <w:r>
        <w:rPr>
          <w:rFonts w:ascii="Arial" w:cs="Arial" w:eastAsia="Arial" w:hAnsi="Arial"/>
          <w:sz w:val="16"/>
          <w:szCs w:val="16"/>
          <w:color w:val="auto"/>
        </w:rPr>
        <w:t>amended and restated certificate of</w:t>
      </w:r>
    </w:p>
    <w:p>
      <w:pPr>
        <w:spacing w:after="0" w:line="9"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if we hold a</w:t>
      </w:r>
      <w:r>
        <w:rPr>
          <w:sz w:val="20"/>
          <w:szCs w:val="20"/>
          <w:color w:val="auto"/>
        </w:rPr>
        <w:tab/>
      </w:r>
      <w:r>
        <w:rPr>
          <w:rFonts w:ascii="Arial" w:cs="Arial" w:eastAsia="Arial" w:hAnsi="Arial"/>
          <w:sz w:val="16"/>
          <w:szCs w:val="16"/>
          <w:color w:val="auto"/>
        </w:rPr>
        <w:t>incorporation will provide that a public</w:t>
      </w:r>
    </w:p>
    <w:p>
      <w:pPr>
        <w:spacing w:after="0" w:line="9" w:lineRule="exact"/>
        <w:rPr>
          <w:sz w:val="20"/>
          <w:szCs w:val="20"/>
          <w:color w:val="auto"/>
        </w:rPr>
      </w:pPr>
    </w:p>
    <w:p>
      <w:pPr>
        <w:ind w:left="640"/>
        <w:spacing w:after="0"/>
        <w:tabs>
          <w:tab w:leader="none" w:pos="2260" w:val="left"/>
        </w:tabs>
        <w:rPr>
          <w:sz w:val="20"/>
          <w:szCs w:val="20"/>
          <w:color w:val="auto"/>
        </w:rPr>
      </w:pPr>
      <w:r>
        <w:rPr>
          <w:rFonts w:ascii="Arial" w:cs="Arial" w:eastAsia="Arial" w:hAnsi="Arial"/>
          <w:sz w:val="18"/>
          <w:szCs w:val="18"/>
          <w:b w:val="1"/>
          <w:bCs w:val="1"/>
          <w:color w:val="auto"/>
        </w:rPr>
        <w:t>stockholder vote</w:t>
      </w:r>
      <w:r>
        <w:rPr>
          <w:sz w:val="20"/>
          <w:szCs w:val="20"/>
          <w:color w:val="auto"/>
        </w:rPr>
        <w:tab/>
      </w:r>
      <w:r>
        <w:rPr>
          <w:rFonts w:ascii="Arial" w:cs="Arial" w:eastAsia="Arial" w:hAnsi="Arial"/>
          <w:sz w:val="16"/>
          <w:szCs w:val="16"/>
          <w:color w:val="auto"/>
        </w:rPr>
        <w:t>stockholder (including our affiliates),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together with any affiliate of such</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stockholder or any other person with</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whom such stockholder is acting in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concert or as a “group” (as defined under</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Section 13 of the Exchange Act), will be</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restricted from seeking redemption rights</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with respect to Excess Shares (more than</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an aggregate of 15% of the shares sold in</w:t>
      </w:r>
    </w:p>
    <w:p>
      <w:pPr>
        <w:spacing w:after="0" w:line="32"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this offering). Our public stockholders’</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inability to redeem Excess Shares will</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reduce their influence over our ability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complete our initial business combination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and they could suffer a material loss on</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their investment in us if they sell any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Excess Shares in open market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79"/>
        <w:spacing w:after="0" w:line="255"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2">
            <w:col w:w="5280" w:space="120"/>
            <w:col w:w="3619"/>
          </w:cols>
          <w:pgMar w:left="1440" w:top="274" w:right="1440" w:bottom="1440" w:gutter="0" w:footer="0" w:header="0"/>
          <w:type w:val="continuous"/>
        </w:sectPr>
      </w:pPr>
    </w:p>
    <w:bookmarkStart w:id="106" w:name="page107"/>
    <w:bookmarkEnd w:id="10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right"/>
        <w:ind w:right="879"/>
        <w:spacing w:after="0"/>
        <w:tabs>
          <w:tab w:leader="none" w:pos="23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274" w:right="1440" w:bottom="1440" w:gutter="0" w:footer="0" w:header="0"/>
        </w:sectPr>
      </w:pPr>
    </w:p>
    <w:p>
      <w:pPr>
        <w:spacing w:after="0" w:line="55" w:lineRule="exact"/>
        <w:rPr>
          <w:sz w:val="20"/>
          <w:szCs w:val="20"/>
          <w:color w:val="auto"/>
        </w:rPr>
      </w:pPr>
    </w:p>
    <w:p>
      <w:pPr>
        <w:ind w:left="640" w:hanging="179"/>
        <w:spacing w:after="0" w:line="298" w:lineRule="auto"/>
        <w:rPr>
          <w:sz w:val="20"/>
          <w:szCs w:val="20"/>
          <w:color w:val="auto"/>
        </w:rPr>
      </w:pPr>
      <w:r>
        <w:rPr>
          <w:rFonts w:ascii="Arial" w:cs="Arial" w:eastAsia="Arial" w:hAnsi="Arial"/>
          <w:sz w:val="16"/>
          <w:szCs w:val="16"/>
          <w:b w:val="1"/>
          <w:bCs w:val="1"/>
          <w:color w:val="auto"/>
        </w:rPr>
        <w:t>Tendering stock certificates in connection with a tender offer or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Release of funds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days prior to the vote on the initial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-3994150</wp:posOffset>
            </wp:positionV>
            <wp:extent cx="19284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41"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Except with respect to interest earned on the funds held in the trust account that may be released to us to pay our tax obligations, the proceeds from this offering and the sale of the private placement warrants held in the trust account will not be released from the trust account until the earliest to occur of:</w:t>
      </w:r>
    </w:p>
    <w:p>
      <w:pPr>
        <w:spacing w:after="0" w:line="1" w:lineRule="exact"/>
        <w:rPr>
          <w:sz w:val="20"/>
          <w:szCs w:val="20"/>
          <w:color w:val="auto"/>
        </w:rPr>
      </w:pPr>
    </w:p>
    <w:p>
      <w:pPr>
        <w:ind w:left="4" w:right="20" w:hanging="4"/>
        <w:spacing w:after="0" w:line="266" w:lineRule="auto"/>
        <w:tabs>
          <w:tab w:leader="none" w:pos="219"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redeem 100% of our public shares if we do not complete our initial business combination within 24 months from the closing of this offering or (B) with respect to any other provision relating to stockholders’ rights or pre-business combination activity and (iii) the redemption of 100% of our public shares if we are unable to complete an initial business combination within the required time frame (subject to the requirements of applicable law).</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459"/>
        <w:spacing w:after="0" w:line="287"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-1535430</wp:posOffset>
            </wp:positionV>
            <wp:extent cx="19970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19"/>
        <w:spacing w:after="0" w:line="275"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4927" w:lineRule="exact"/>
        <w:rPr>
          <w:sz w:val="20"/>
          <w:szCs w:val="20"/>
          <w:color w:val="auto"/>
        </w:rPr>
      </w:pPr>
    </w:p>
    <w:p>
      <w:pPr>
        <w:sectPr>
          <w:pgSz w:w="11900" w:h="16838" w:orient="portrait"/>
          <w:cols w:equalWidth="0" w:num="3">
            <w:col w:w="2020" w:space="256"/>
            <w:col w:w="3044" w:space="80"/>
            <w:col w:w="3619"/>
          </w:cols>
          <w:pgMar w:left="1440" w:top="274"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3000"/>
        <w:spacing w:after="0"/>
        <w:tabs>
          <w:tab w:leader="none" w:pos="58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7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Stockholders who do not exercise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-130175</wp:posOffset>
            </wp:positionV>
            <wp:extent cx="3985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redemption rights in connection with an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amendment to our certificate of</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incorporation would still be able to</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exercise their redemption rights in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connection with a subsequent business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combination. On the completion of our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initial business combination, all amounts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held in the trust account will be released</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 us, less amounts released to a separate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account controlled by the trustee for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disbursal to redeeming stockholders. We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will use these funds to pay amounts due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 any public stockholders who exercise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their redemption rights as described</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above under “Redemption rights for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public stockholders upon completion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of our initial business combination,” to</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pay Cantor the deferred underwriting</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commissions, to pay all or a portion of</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 consideration payable to the target or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owners of the target of our initial business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combination and to pay other expenses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associated with our initial business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combination.</w:t>
      </w:r>
    </w:p>
    <w:p>
      <w:pPr>
        <w:spacing w:after="0" w:line="18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On the completion of our initial business</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combination, all amounts held in the trust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account will be released to us, less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amounts released to a separate account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controlled by the trustee for disbursal to</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redeeming stockholders. We will use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these funds to pay amounts due to any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public stockholders who exercise their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redemption rights as described above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under “Redemption rights for public</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stockholders upon completion of our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initial business combination,” to pay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Cantor the deferred underwriting</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commissions, to pay all or a portion of</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the consideration payable to the target or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owners of the target of our initial business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combination and to pay other expenses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associated with our initial business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combination.</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8" w:name="page109"/>
    <w:bookmarkEnd w:id="10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executive offices are located at 388 Market Street, Suite 1300, San Francisco, CA 94111 and our telephone number is (628) 400-9284. Our executive offices are provided to us by our sponsor. Commencing on the date of this prospectus, we have agreed to pay our sponsor a total of $10,000 per month for office space, utilities and secretarial and administrative support. We consider our current office space adequate for our current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We currently have two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62"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90"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06" w:lineRule="exact"/>
        <w:rPr>
          <w:sz w:val="20"/>
          <w:szCs w:val="20"/>
          <w:color w:val="auto"/>
        </w:rPr>
      </w:pPr>
    </w:p>
    <w:p>
      <w:pPr>
        <w:ind w:left="460" w:right="599" w:firstLine="432"/>
        <w:spacing w:after="0" w:line="287" w:lineRule="auto"/>
        <w:rPr>
          <w:sz w:val="20"/>
          <w:szCs w:val="20"/>
          <w:color w:val="auto"/>
        </w:rPr>
      </w:pPr>
      <w:r>
        <w:rPr>
          <w:rFonts w:ascii="Arial" w:cs="Arial" w:eastAsia="Arial" w:hAnsi="Arial"/>
          <w:sz w:val="16"/>
          <w:szCs w:val="16"/>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23" w:lineRule="exact"/>
        <w:rPr>
          <w:sz w:val="20"/>
          <w:szCs w:val="20"/>
          <w:color w:val="auto"/>
        </w:rPr>
      </w:pPr>
    </w:p>
    <w:p>
      <w:pPr>
        <w:ind w:left="460" w:right="599" w:hanging="6"/>
        <w:spacing w:after="0" w:line="246"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firstLine="432"/>
        <w:spacing w:after="0" w:line="254"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100" w:type="dxa"/>
            <w:vAlign w:val="bottom"/>
          </w:tcPr>
          <w:p>
            <w:pPr>
              <w:spacing w:after="0"/>
              <w:rPr>
                <w:sz w:val="18"/>
                <w:szCs w:val="18"/>
                <w:color w:val="auto"/>
              </w:rPr>
            </w:pPr>
          </w:p>
        </w:tc>
        <w:tc>
          <w:tcPr>
            <w:tcW w:w="4960" w:type="dxa"/>
            <w:vAlign w:val="bottom"/>
          </w:tcPr>
          <w:p>
            <w:pPr>
              <w:ind w:left="2200"/>
              <w:spacing w:after="0"/>
              <w:rPr>
                <w:sz w:val="20"/>
                <w:szCs w:val="20"/>
                <w:color w:val="auto"/>
              </w:rPr>
            </w:pPr>
            <w:r>
              <w:rPr>
                <w:rFonts w:ascii="Arial" w:cs="Arial" w:eastAsia="Arial" w:hAnsi="Arial"/>
                <w:sz w:val="16"/>
                <w:szCs w:val="16"/>
                <w:b w:val="1"/>
                <w:bCs w:val="1"/>
                <w:color w:val="auto"/>
              </w:rPr>
              <w:t>Position</w:t>
            </w:r>
          </w:p>
        </w:tc>
      </w:tr>
      <w:tr>
        <w:trPr>
          <w:trHeight w:val="47"/>
        </w:trPr>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43"/>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Jack Leeney</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Christopher Walsh</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Chief Operating Officer and Secretary</w:t>
            </w:r>
          </w:p>
        </w:tc>
      </w:tr>
      <w:tr>
        <w:trPr>
          <w:trHeight w:val="40"/>
        </w:trPr>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63"/>
        </w:trPr>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Thomas D. Hennessy</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M. Joseph Beck</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40"/>
        </w:trPr>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64"/>
        </w:trPr>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Courtney Robinson</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Tripp Jones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41"/>
        </w:trPr>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63"/>
        </w:trPr>
        <w:tc>
          <w:tcPr>
            <w:tcW w:w="2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Kent Schofield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5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43"/>
        </w:trPr>
        <w:tc>
          <w:tcPr>
            <w:tcW w:w="2520" w:type="dxa"/>
            <w:vAlign w:val="bottom"/>
            <w:gridSpan w:val="2"/>
          </w:tcPr>
          <w:p>
            <w:pPr>
              <w:spacing w:after="0"/>
              <w:rPr>
                <w:sz w:val="20"/>
                <w:szCs w:val="20"/>
                <w:color w:val="auto"/>
              </w:rPr>
            </w:pPr>
            <w:r>
              <w:rPr>
                <w:rFonts w:ascii="Arial" w:cs="Arial" w:eastAsia="Arial" w:hAnsi="Arial"/>
                <w:sz w:val="18"/>
                <w:szCs w:val="18"/>
                <w:color w:val="auto"/>
              </w:rPr>
              <w:t>Patrick Eggen</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506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19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b w:val="1"/>
          <w:bCs w:val="1"/>
          <w:color w:val="auto"/>
        </w:rPr>
        <w:t xml:space="preserve">Jack Leeney </w:t>
      </w:r>
      <w:r>
        <w:rPr>
          <w:rFonts w:ascii="Arial" w:cs="Arial" w:eastAsia="Arial" w:hAnsi="Arial"/>
          <w:sz w:val="17"/>
          <w:szCs w:val="17"/>
          <w:color w:val="auto"/>
        </w:rPr>
        <w:t>has served as our Chairman and Chief Executive Officer since inception. Since September</w:t>
      </w:r>
      <w:r>
        <w:rPr>
          <w:rFonts w:ascii="Arial" w:cs="Arial" w:eastAsia="Arial" w:hAnsi="Arial"/>
          <w:sz w:val="17"/>
          <w:szCs w:val="17"/>
          <w:b w:val="1"/>
          <w:bCs w:val="1"/>
          <w:color w:val="auto"/>
        </w:rPr>
        <w:t xml:space="preserve"> </w:t>
      </w:r>
      <w:r>
        <w:rPr>
          <w:rFonts w:ascii="Arial" w:cs="Arial" w:eastAsia="Arial" w:hAnsi="Arial"/>
          <w:sz w:val="17"/>
          <w:szCs w:val="17"/>
          <w:color w:val="auto"/>
        </w:rPr>
        <w:t>2016, Mr. Leeney has served as a Founding Partner of 7GC, and is responsible for running the firm’s operations. Mr. Leeney led the firm’s investments in Cheddar TV, Capsule Pharmacy, hims &amp; hers, Jyve, Roofstock, The Mom Project, and Reliance Jio. He currently serves as a director for The Mom Project, PTAC and PTIC.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between June 2012 and September 2016, the investment arm of Telefonica (NYSE: TEF), as an investor at Hercules Capital (NYSE: HTGC) between May 2011 and June 2012 and began his career as a technology-focused investment banker at Morgan Stanley in 2007, where he worked on the initial public offerings for Tesla Motors, LinkedIn and Pandora. Mr. Leeney holds a B.S. from Syracuse University. Mr. Leeney is well qualified to serve as director due to his extensive venture capital experience.</w:t>
      </w:r>
    </w:p>
    <w:p>
      <w:pPr>
        <w:spacing w:after="0" w:line="68" w:lineRule="exact"/>
        <w:rPr>
          <w:sz w:val="20"/>
          <w:szCs w:val="20"/>
          <w:color w:val="auto"/>
        </w:rPr>
      </w:pPr>
    </w:p>
    <w:p>
      <w:pPr>
        <w:ind w:left="460" w:right="559" w:firstLine="432"/>
        <w:spacing w:after="0" w:line="270" w:lineRule="auto"/>
        <w:rPr>
          <w:sz w:val="20"/>
          <w:szCs w:val="20"/>
          <w:color w:val="auto"/>
        </w:rPr>
      </w:pPr>
      <w:r>
        <w:rPr>
          <w:rFonts w:ascii="Arial" w:cs="Arial" w:eastAsia="Arial" w:hAnsi="Arial"/>
          <w:sz w:val="17"/>
          <w:szCs w:val="17"/>
          <w:b w:val="1"/>
          <w:bCs w:val="1"/>
          <w:color w:val="auto"/>
        </w:rPr>
        <w:t xml:space="preserve">Christopher Walsh </w:t>
      </w:r>
      <w:r>
        <w:rPr>
          <w:rFonts w:ascii="Arial" w:cs="Arial" w:eastAsia="Arial" w:hAnsi="Arial"/>
          <w:sz w:val="17"/>
          <w:szCs w:val="17"/>
          <w:color w:val="auto"/>
        </w:rPr>
        <w:t>has served as our Chief Financial Officer and Chief Operating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Since September 2020, Mr. Walsh has served as a Vice President at 7GC, where he is responsible for sourcing new investment opportunities and due diligence for all fund investments. Mr. Walsh assisted with the successful launch of Empros Capital in 2016, a boutique merchant bank that worked with pre-IPO and growth-stage technology companies, where he worked until 2019. Mr. Walsh played an active role in working with Empros Capital’s portfolio companies, working closely with management teams of several “Unicorn” companies within the FinTech, Enterprise Software, Online Marketplace, and Mobility verticals. Mr. Walsh began his career as a technology investor at Disruptive Technology Advisers in 2015, where he invested and advised growth stage companies including Palantir Technologies. Mr. Walsh holds a B.A. degree from Wesleyan University.</w:t>
      </w:r>
    </w:p>
    <w:p>
      <w:pPr>
        <w:spacing w:after="0" w:line="69"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b w:val="1"/>
          <w:bCs w:val="1"/>
          <w:color w:val="auto"/>
        </w:rPr>
        <w:t xml:space="preserve">Thomas D. Hennessy </w:t>
      </w:r>
      <w:r>
        <w:rPr>
          <w:rFonts w:ascii="Arial" w:cs="Arial" w:eastAsia="Arial" w:hAnsi="Arial"/>
          <w:sz w:val="16"/>
          <w:szCs w:val="16"/>
          <w:color w:val="auto"/>
        </w:rPr>
        <w:t>will be one of our directors as of the effective date of the registration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this prospectus forms a part. Since November 2019, he has served as the Chairman, Co-Chief Executive Officer and President of PTAC, a special purpose acquisition company targeting businesses in the real estate technology industry, which in July 2020 announced the entry into a definitive agreement for an initial business combination with Porch.com, which is currently expected to close in the fourth quarter of 2020. He has also served as the Chairman, Co-Chief Executive Officer and President of PTIC, a special purpose acquisition company targeting businesses in the real estate technology industry since August 2020. Mr. Hennessy has served as the Managing Partner of Real Estate Strategies of Hennessy Capital LLC since July 2019. From September 2014 to July 2019, Mr. Hennessy served as a Portfolio Manager of ADIA, the largest global institutional real estate investor, where he was responsible for managing office, residential, and retail assets in the U.S. totaling over $2.1 billion of net asset value or $5.0 billion of gross asset value. While at ADIA, Mr. Hennessy executed over $475 billion of equity commitments to U.S. acquisitions and developments and over $435 million of limited partner equity commitments to opportunistic real estate equity funds, real estate credit funds, and real estate technology venture capital funds. Mr. Hennessy also created and led ADIA’s PropTech investment mandate, which included committing equity to PropTech. From January 2011 to April 2014, Mr. Hennessy served as an associate at Equity International Management LLC, an opportunistic real estate private equity fund founded by Sam Zell, where he evaluated investments and structured equity investments in real estate operating platforms in emerging markets. From September 2009 to January 2011, Mr. Hennessy served as an associate for CERES Real Estate Partners LLC, a private investment management</w:t>
      </w:r>
    </w:p>
    <w:p>
      <w:pPr>
        <w:sectPr>
          <w:pgSz w:w="11900" w:h="16838" w:orient="portrait"/>
          <w:cols w:equalWidth="0" w:num="1">
            <w:col w:w="9019"/>
          </w:cols>
          <w:pgMar w:left="1440" w:top="274" w:right="1440"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1" w:name="page112"/>
    <w:bookmarkEnd w:id="11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599"/>
        <w:spacing w:after="0" w:line="293" w:lineRule="auto"/>
        <w:rPr>
          <w:sz w:val="20"/>
          <w:szCs w:val="20"/>
          <w:color w:val="auto"/>
        </w:rPr>
      </w:pPr>
      <w:r>
        <w:rPr>
          <w:rFonts w:ascii="Arial" w:cs="Arial" w:eastAsia="Arial" w:hAnsi="Arial"/>
          <w:sz w:val="16"/>
          <w:szCs w:val="16"/>
          <w:color w:val="auto"/>
        </w:rPr>
        <w:t>company. From June 2007 to June 2009, Mr. Hennessy served as an analyst in the investment banking division of Credit Suisse, where he focused on mergers and acquisitions for companies in the real estate, gaming, lodging and leisure sectors as well as public and private financings of equity, debt and structured products. Mr. Hennessy is the son of Daniel J. Hennessy, one of our advisors. Mr. Hennessy holds a B.A. degree from Georgetown University and an M.B.A. from the University of Chicago Booth School of Business. Mr. Hennessy is well qualified to serve as director due to his extensive SPAC and private equity experience.</w:t>
      </w:r>
    </w:p>
    <w:p>
      <w:pPr>
        <w:spacing w:after="0" w:line="5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b w:val="1"/>
          <w:bCs w:val="1"/>
          <w:color w:val="auto"/>
        </w:rPr>
        <w:t xml:space="preserve">M. Joseph Beck </w:t>
      </w:r>
      <w:r>
        <w:rPr>
          <w:rFonts w:ascii="Arial" w:cs="Arial" w:eastAsia="Arial" w:hAnsi="Arial"/>
          <w:sz w:val="16"/>
          <w:szCs w:val="16"/>
          <w:color w:val="auto"/>
        </w:rPr>
        <w:t>will be one of our directors as of the effective date of the registration statement of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this prospectus forms a part. Since November 2019, he has served as the Co-Chief Executive Officer, Chief Financial Officer and a director at PTAC. He has also served as the Co-Chief Executive Officer, Chief Financial Officer and a director of PTIC since August 2020. Mr. Beck has served as the Managing Partner of Real Estate Strategies of Hennessy Capital LLC since July 2019. From August 2012 to July 2019, Mr. Beck served as a Senior Investment Manager of ADIA, where he was responsible for managing office, residential, industrial and retail assets in the U.S. totaling over $2.7 billion of net asset value or $3.6 billion of gross asset value. While at ADIA, Mr. Beck executed over $2.2 billion of equity commitments to U.S. acquisitions and developments and over $400 million of limited partner equity commitments to opportunistic real estate equity funds and real estate credit funds. Mr. Beck also led an internal restructuring of a seven-asset, $3.5 billion gross asset value portfolio at the ADIA. From July 2008 to August 2012, Mr. Beck served as an analyst in the Investment Banking Division of Goldman, Sachs &amp; Co., where he focused on mergers and acquisitions for companies in the real estate sector as well as public and private financings of equity, debt and structured products. Mr. Beck holds a B.A. degree from Yale University. Mr. Beck is well qualified to serve as director due to his extensive SPAC and investment experience.</w:t>
      </w:r>
    </w:p>
    <w:p>
      <w:pPr>
        <w:spacing w:after="0" w:line="59"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b w:val="1"/>
          <w:bCs w:val="1"/>
          <w:color w:val="auto"/>
        </w:rPr>
        <w:t xml:space="preserve">Courtney Robinson </w:t>
      </w:r>
      <w:r>
        <w:rPr>
          <w:rFonts w:ascii="Arial" w:cs="Arial" w:eastAsia="Arial" w:hAnsi="Arial"/>
          <w:sz w:val="16"/>
          <w:szCs w:val="16"/>
          <w:color w:val="auto"/>
        </w:rPr>
        <w:t>will be one of our independent directors as of the effective date of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of which this prospectus forms a part. She has served as a director of PTAC since November 2019 and as a director of PTIC since December 2020. Since October 2014, Ms. Robinson has served as a Founding Partner of Advance Venture Partners LLC, a growth stage venture capital firm, and is responsible for the firm’s consumer investment practice. Ms. Robinson led the firm’s investments in Bellhops, a technology-enabled moving service; Brandable, a portfolio of CPG brands; Curology, a personalized skincare provider; Modsy, an interior design marketplace; Rent the Runway, a subscription clothing business; and Sawyer, an education marketplace. Between December 2011 and October 2014, Ms. Robinson was a Founding Principal at American Express Ventures, the investment arm of American Express (NYSE: AXP), and before that, served as Director of Business Development at Plum District, a local commerce marketplace, between February 2011 and December 2011. She began her career as a technology-focused investment banker at GCA Savvian Advisors LLC in 2006. Ms. Robinson holds a B.A. from Columbia University. Ms. Robinson is well qualified to serve as a director due to her extensive investment and advisory experience.</w:t>
      </w:r>
    </w:p>
    <w:p>
      <w:pPr>
        <w:spacing w:after="0" w:line="56"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b w:val="1"/>
          <w:bCs w:val="1"/>
          <w:color w:val="auto"/>
        </w:rPr>
        <w:t xml:space="preserve">Tripp Jones </w:t>
      </w:r>
      <w:r>
        <w:rPr>
          <w:rFonts w:ascii="Arial" w:cs="Arial" w:eastAsia="Arial" w:hAnsi="Arial"/>
          <w:sz w:val="17"/>
          <w:szCs w:val="17"/>
          <w:color w:val="auto"/>
        </w:rPr>
        <w:t>will be one of our independent directors as of the effective date of the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this prospectus forms a part. Since May 2011, Mr. Jones has served as a General Partner of August Capital, a venture capital firm, where he is responsible for the firm’s Special Opportunities funds. Mr. Jones has led the firm’s investments in ADARA, BARK, CommonBond, Compology, Hipcamp, Paperless Post, Quandl, Revel, Rocketmiles, Spacious, Sun Basket, Wattpad, and Yumi. He currently acts a director of Yumi, Sun Basket, Cosmopology, CommonBond.io, Paperless Post, Bark and Adara, and acts as a board observer for Hipcamp and Sendbird. From October 2013 to August 2019, Mr. Jones served on the boards of directors of Spacious.com (acquired by WeWork), Quandl (acquired by Nasdaq), RJMetrics (acquired by Magento Commerce), and RocketMiles (acquired by Priceline). Between June 2007 and May 2011, Mr. Jones served as a Senior Associate at Spectrum Equity Investors, and between August 2005 and June 2007, served as an analyst at JMP Securities. Mr. Jones began his career as an investment banker at BMO Capital Markets. Mr. Jones holds a B.A. from Princeton University. Mr. Jones is well qualified to serve as director due to his extensive venture capital and investment experience.</w:t>
      </w:r>
    </w:p>
    <w:p>
      <w:pPr>
        <w:spacing w:after="0" w:line="68" w:lineRule="exact"/>
        <w:rPr>
          <w:sz w:val="20"/>
          <w:szCs w:val="20"/>
          <w:color w:val="auto"/>
        </w:rPr>
      </w:pPr>
    </w:p>
    <w:p>
      <w:pPr>
        <w:jc w:val="both"/>
        <w:ind w:left="460" w:right="619" w:firstLine="432"/>
        <w:spacing w:after="0" w:line="289" w:lineRule="auto"/>
        <w:rPr>
          <w:sz w:val="20"/>
          <w:szCs w:val="20"/>
          <w:color w:val="auto"/>
        </w:rPr>
      </w:pPr>
      <w:r>
        <w:rPr>
          <w:rFonts w:ascii="Arial" w:cs="Arial" w:eastAsia="Arial" w:hAnsi="Arial"/>
          <w:sz w:val="16"/>
          <w:szCs w:val="16"/>
          <w:b w:val="1"/>
          <w:bCs w:val="1"/>
          <w:color w:val="auto"/>
        </w:rPr>
        <w:t xml:space="preserve">Kent Schofield </w:t>
      </w:r>
      <w:r>
        <w:rPr>
          <w:rFonts w:ascii="Arial" w:cs="Arial" w:eastAsia="Arial" w:hAnsi="Arial"/>
          <w:sz w:val="16"/>
          <w:szCs w:val="16"/>
          <w:color w:val="auto"/>
        </w:rPr>
        <w:t>will be one of our will be one of our independent directors as of the effective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of which this prospectus forms a part. Since April 2017, Mr. Schofield has served as the Financial, Planning, and Analysis team leader at Uber Technologies, Inc., or Uber (NYSE:UBER). Mr.</w:t>
      </w:r>
    </w:p>
    <w:p>
      <w:pPr>
        <w:spacing w:after="0" w:line="2" w:lineRule="exact"/>
        <w:rPr>
          <w:sz w:val="20"/>
          <w:szCs w:val="20"/>
          <w:color w:val="auto"/>
        </w:rPr>
      </w:pPr>
    </w:p>
    <w:p>
      <w:pPr>
        <w:ind w:left="460" w:right="599"/>
        <w:spacing w:after="0" w:line="288" w:lineRule="auto"/>
        <w:rPr>
          <w:sz w:val="20"/>
          <w:szCs w:val="20"/>
          <w:color w:val="auto"/>
        </w:rPr>
      </w:pPr>
      <w:r>
        <w:rPr>
          <w:rFonts w:ascii="Arial" w:cs="Arial" w:eastAsia="Arial" w:hAnsi="Arial"/>
          <w:sz w:val="16"/>
          <w:szCs w:val="16"/>
          <w:color w:val="auto"/>
        </w:rPr>
        <w:t>Schofield also was head of investor relations in 2019, before, during, and after Uber’s initial public offering in May 2019. Between September 2010 and June 2015, Mr. Schofield served as a Vice President and lead equity analyst at Goldman Sachs within the TMT division. From December 2006 to September 2010, Mr. Schofield served as an associate equity research analyst at Citigroup, where he covered Software, Enterprise Information Technology and Hardware sectors. Mr. Schofield began his career as an equity research analyst at Prudential Securities in 2004. Mr. Schofield holds a B.A. in Economics from UCLA. Mr. Schofield is well qualified to serve as director due to his extensive public market investing and financial experience.</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2" w:name="page113"/>
    <w:bookmarkEnd w:id="11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60" w:right="559" w:firstLine="432"/>
        <w:spacing w:after="0" w:line="268" w:lineRule="auto"/>
        <w:rPr>
          <w:sz w:val="20"/>
          <w:szCs w:val="20"/>
          <w:color w:val="auto"/>
        </w:rPr>
      </w:pPr>
      <w:r>
        <w:rPr>
          <w:rFonts w:ascii="Arial" w:cs="Arial" w:eastAsia="Arial" w:hAnsi="Arial"/>
          <w:sz w:val="17"/>
          <w:szCs w:val="17"/>
          <w:b w:val="1"/>
          <w:bCs w:val="1"/>
          <w:color w:val="auto"/>
        </w:rPr>
        <w:t xml:space="preserve">Patrick Eggen </w:t>
      </w:r>
      <w:r>
        <w:rPr>
          <w:rFonts w:ascii="Arial" w:cs="Arial" w:eastAsia="Arial" w:hAnsi="Arial"/>
          <w:sz w:val="17"/>
          <w:szCs w:val="17"/>
          <w:color w:val="auto"/>
        </w:rPr>
        <w:t>will be one of our independent directors as of the effective date of the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of which this prospectus forms a part. Since March 2018, Mr. Eggen has served as a Founding General Partner of Counterpart Ventures, an early stage venture capital firm. Mr. Eggen led the firm’s investments in Sense360, data insights platform (acquired by Medallia in 2020), Particle, IoT platform for the enterprise, Cloudbeds, hospitality management platform and Prismo Systems, cybersecurity software for the enterprise. Between February 2005 and March 2018, Mr. Eggen was a Managing Director at Qualcomm Ventures where he oversaw North America investment strategy and founded their Global Early Stage Fund, whose investments included Zoom (NASDAQ:ZM), Cruise (acquired by General Motors), 99 (acquired by Didi), Matterport, Noom and SwiftNav. Additionally he co-sponsored investments in Ring (acquired by Amazon) and Waze (acquired by Google). Prior investments (exits) include Aicent, Avaak (acquired by NetGear), Divide (acquired by Google), Clicker (acquired by CBS), Magisto (acquired by IAC), Tempo.AI (acquired by Salesforce), ThinkNear (acquired by Telenav) and Viewdle (acquired by Google). From July 1998 to September 2001, Mr. Eggen served as an analyst in the Investment Banking Division of Salomon Smith Barney, where he focused on mergers &amp; acquisitions and capital raising advisory in the Global Telecommunications team. Mr. Eggen holds a B.A. from Northwestern University and a M.B.A. from the Northwestern Kellogg School of Management. Mr. Eggen is well qualified to serve as director due to his extensive venture capital and investment experience.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Advisors</w:t>
      </w:r>
    </w:p>
    <w:p>
      <w:pPr>
        <w:spacing w:after="0" w:line="117"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addition to our independent directors, we have recruited two highly accomplished senior advisors who will bring to us significant experience in special purpose acquisition companies, global investment management, public and private equity and debt capital markets. Our senior advisors will advise us on public company governance, executive leadership, human capital management, corporate strategy and capital markets. Our senior advisors have served as directors, officers, executives, and partners for publicly-listed and privately-owned companies, private equity firms, and global investment managers. In addition to advising us in the areas of assessment of key risks and opportunities and due diligence, our senior advisors may also advise us after the completion of our business combination in overseeing our strategy and value creation plan where relevant expertise exists.</w:t>
      </w:r>
    </w:p>
    <w:p>
      <w:pPr>
        <w:spacing w:after="0" w:line="7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currently expect our advisors to (i) provide their business insights when we assess potential business combination targets and (ii) upon our request, provide their business insights as we work to create additional value in the businesses that we invest. In this regard, they will fulfill some of the same functions as our board members. However, they have no written advisory, employment or advisory agreement with us. Additionally, except as disclosed under “Principal Stockholders,” our advisors have no other employment or compensation arrangements with us. Moreover, our advisors will not be under any fiduciary obligations to us nor will they perform board or committee functions, nor will they have any voting or decision making capacity on our behalf. They will also not be required to devote any specific amount of time to our efforts or be subject to the fiduciary requirements to which our board members are subject. Accordingly, if any of our advisors becomes aware of a business combination opportunity which is suitable for any of the entities to which he has fiduciary or contractual obligations (including other blank check companies), he will honor his fiduciary or contractual obligations to present such business combination opportunity to such entity, and only present it to us if such entity rejects the opportunity. We may modify or expand our roster of advisors as we source potential business combination targets or create value in businesses that we may invest.</w:t>
      </w:r>
    </w:p>
    <w:p>
      <w:pPr>
        <w:spacing w:after="0" w:line="59"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b w:val="1"/>
          <w:bCs w:val="1"/>
          <w:color w:val="auto"/>
        </w:rPr>
        <w:t xml:space="preserve">Daniel J. Hennessy </w:t>
      </w:r>
      <w:r>
        <w:rPr>
          <w:rFonts w:ascii="Arial" w:cs="Arial" w:eastAsia="Arial" w:hAnsi="Arial"/>
          <w:sz w:val="17"/>
          <w:szCs w:val="17"/>
          <w:color w:val="auto"/>
        </w:rPr>
        <w:t>will be one of our senior advisors and is the Founder and the Managing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Hennessy Capital LLC, an alternative investment firm founded in 2013 that focuses on sustainable industrial technology, infrastructure, and real estate technology sectors. He currently serves as a senior advisor to each of PTAC, a special purpose acquisition company targeting businesses in the real estate technology industry, which in July 2020 announced the entry into a definitive agreement for an initial business combination with Porch.com, which is currently expected to close in the fourth quarter of 2020, and PTIC, a special purpose acquisition company which conducted an initial public offering in December 2020. Since March 2019, Mr. Hennessy has served as Chairman and CEO of Hennessy Capital Acquisition Corp. IV, or Hennessy IV (NASDAQ: HCAC), which in August 2020 announced the entry into a definite agreement for an initial business combination with Canoo Holdings Ltd, which is expected to close in the fourth quarter of 2020. Mr. Hennessy has served as a director of SIRVA Worldwide Relocation &amp; Moving since August 2018. From January 2017 to October 2018, Mr. Hennessy served as Chairman of the Board and Chief Executive Officer of Hennessy Capital Acquisition Corp. III, or Hennessy III, which merged with NRC Group Holdings, LLC, a global provider of comprehensive environmental, compliance and waste management services, now known as US Ecology, Inc. (NASDAQ: ECOL) and served as a director from</w:t>
      </w:r>
    </w:p>
    <w:p>
      <w:pPr>
        <w:sectPr>
          <w:pgSz w:w="11900" w:h="16838" w:orient="portrait"/>
          <w:cols w:equalWidth="0" w:num="1">
            <w:col w:w="9019"/>
          </w:cols>
          <w:pgMar w:left="1440" w:top="274" w:right="1440" w:bottom="144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3" w:name="page114"/>
    <w:bookmarkEnd w:id="11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499"/>
        <w:spacing w:after="0" w:line="286" w:lineRule="auto"/>
        <w:rPr>
          <w:sz w:val="20"/>
          <w:szCs w:val="20"/>
          <w:color w:val="auto"/>
        </w:rPr>
      </w:pPr>
      <w:r>
        <w:rPr>
          <w:rFonts w:ascii="Arial" w:cs="Arial" w:eastAsia="Arial" w:hAnsi="Arial"/>
          <w:sz w:val="16"/>
          <w:szCs w:val="16"/>
          <w:color w:val="auto"/>
        </w:rPr>
        <w:t>January 2017 to October 2019. From April 2015 to February 2017, Mr. Hennessy served as Chairman and CEO of Hennessy Capital Acquisition Corp. II, or Hennessy II, which merged with Daseke in February 2017 and is now known as Daseke, Inc. (NASDAQ: DSKE) and since February 2017, has served as its Vice Chairman. From September 2013 to February 2015, Mr. Hennessy served as Chairman of the Board and Chief Executive Officer of Hennessy Capital Acquisition Corp., or Hennessy I, which merged with School Bus Holdings Inc. in February 2015 and is now known as Blue Bird Corporation (NASDAQ: BLBD), and previously served as a director from September 2013 to April 2019. From 1988 to 2016, Mr. Hennessy served as a Partner at Code Hennessy &amp; Simmons LLC (n/k/a CHS Capital or “CHS”), a middle-market private equity investment firm he co-founded in 1988. Prior to forming CHS, Mr. Hennessy was employed by Citicorp from 1984 to 1988 as head of the Midwest Region for Citicorp Mezzanine Investments and Vice President and Team Leader with Citicorp Leveraged Capital Group. He began his career in 1981 in the oil and gas lending group at Continental Illinois National Bank (now Bank of America) where he was a Banking Officer. Mr. Hennessy holds a B.A. degree, magna cum laude, from Boston College and an M.B.A. from the University of Michigan Ross School of Business. Mr. Hennessy is the father of Thomas D. Hennessy, an independent director.</w:t>
      </w:r>
    </w:p>
    <w:p>
      <w:pPr>
        <w:spacing w:after="0" w:line="86"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b w:val="1"/>
          <w:bCs w:val="1"/>
          <w:color w:val="auto"/>
        </w:rPr>
        <w:t xml:space="preserve">Dr. Steffen Pauls </w:t>
      </w:r>
      <w:r>
        <w:rPr>
          <w:rFonts w:ascii="Arial" w:cs="Arial" w:eastAsia="Arial" w:hAnsi="Arial"/>
          <w:sz w:val="16"/>
          <w:szCs w:val="16"/>
          <w:color w:val="auto"/>
        </w:rPr>
        <w:t>currently serves as a Founding Partner of 7GC, a growth stage venture capital fund</w:t>
      </w:r>
      <w:r>
        <w:rPr>
          <w:rFonts w:ascii="Arial" w:cs="Arial" w:eastAsia="Arial" w:hAnsi="Arial"/>
          <w:sz w:val="16"/>
          <w:szCs w:val="16"/>
          <w:b w:val="1"/>
          <w:bCs w:val="1"/>
          <w:color w:val="auto"/>
        </w:rPr>
        <w:t xml:space="preserve"> </w:t>
      </w:r>
      <w:r>
        <w:rPr>
          <w:rFonts w:ascii="Arial" w:cs="Arial" w:eastAsia="Arial" w:hAnsi="Arial"/>
          <w:sz w:val="16"/>
          <w:szCs w:val="16"/>
          <w:color w:val="auto"/>
        </w:rPr>
        <w:t>founded in 2015 that focuses on technology investments. Dr. Pauls has also served as Founder and Chairman of Moonfare gmbH, an investing platform that has invested over $400 million across various alternative investment funds, since October 2015. From 2004 to 2015 Dr. Pauls served as a Managing Director of KKR &amp; Co. Inc., or KKR, where he was a senior member of KKR’s deal team, responsible for the German market, deal origination, due diligence and portfolio coverage. Additionally, Dr. Pauls was a senior member of KKR Capstone, the firm’s “Operations Group.” Dr. Pauls served on the boards of directors of ATU Auto-Teile-Unger Handels GmbH &amp; Co KG (Private), Die 1&amp;1 Versatel GmbH (Private), Hertha BSC (Private), United Group B.V. (Private), and Pro7Sat1 Group (PSM:DE). Previously, Dr. Pauls served as the Co-Founder and CEO for First Five Inc. (Private) between 1999 and 2003 and began his career at Boston Consulting Group from 1993 to 1999. Dr. Pauls holds a Masters degree from the University of Mannheim in Germany, an MBA from ESSEC in France, and a Doctoral degree from University of Trier in Germany.</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Prior Blank Check Company Experience</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Certain of our officers and directors, including Jack Leeney, Thomas D. Hennessy, M. Joseph Beck and Courtney Robinson, are also officers and directors of PTAC, a special purpose acquisition company which went public in November 2019 after raising $172,500,000 in its initial public offering, including exercise of the over-allotment option, and PTIC, a special purpose acquisition company which conducted an initial public offering in December 2020. PTAC targeted businesses in the real estate technology industry, and in July 2020 announced its entry into a definitive agreement relating to an initial business combination with Porch.com, Inc., a software and services platform for the home inspection and home service industries. If successfully consummated, the initial business combination would result in Porch.com becoming a publicly listed company. Porch.com is a home services platform that provides ERP and CRM software to inspection, moving and adjacent home services companies, gaining access to a proprietary and recurring sales funnel which includes a majority of homebuyers in the U.S. annually. The transaction is expected to close in the fourth quarter of 2020, and we currently expect that the officers and directors of PTAC will remain with PTAC until the consummation of its initial business combination.</w:t>
      </w:r>
    </w:p>
    <w:p>
      <w:pPr>
        <w:spacing w:after="0" w:line="119" w:lineRule="exact"/>
        <w:rPr>
          <w:sz w:val="20"/>
          <w:szCs w:val="20"/>
          <w:color w:val="auto"/>
        </w:rPr>
      </w:pPr>
    </w:p>
    <w:p>
      <w:pPr>
        <w:ind w:left="460" w:right="639" w:firstLine="432"/>
        <w:spacing w:after="0" w:line="293" w:lineRule="auto"/>
        <w:rPr>
          <w:sz w:val="20"/>
          <w:szCs w:val="20"/>
          <w:color w:val="auto"/>
        </w:rPr>
      </w:pPr>
      <w:r>
        <w:rPr>
          <w:rFonts w:ascii="Arial" w:cs="Arial" w:eastAsia="Arial" w:hAnsi="Arial"/>
          <w:sz w:val="16"/>
          <w:szCs w:val="16"/>
          <w:color w:val="auto"/>
        </w:rPr>
        <w:t>In addition, Daniel J. Hennessy has served as the Chairman and Chief Executive Officer of Hennessy Capital Acquisition Corp., Hennessy Capital Acquisition Corp. II, Hennessy Capital Acquisition Corp. III and Hennessy Capital Acquisition Corp. IV, and successfully orchestrated three successful business combinations with Blue Bird Corporation (NASDAQ: BLBD), Daseke, Inc. (NASDAQ: DSKE), and NRC Group Holdings Corp. (NYSE American: NRCG). Hennessy Capital Acquisition Corp. IV is expected to close its pending business combination with Canoo Holdings Ltd in the fourth quarter of 2020.</w:t>
      </w:r>
    </w:p>
    <w:p>
      <w:pPr>
        <w:spacing w:after="0" w:line="83"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Past performance of our management team or advisors is not a guarantee either (i) of success with respect to any business combination we may consummate or (ii) that we will be able to identify a suitable candidate for our initial business combination. You should not rely on the historical performance record of our management team or advisors as indicative of our future performance. Additionally, in the course of their respective careers, members of our management team have been involved in businesses and deals that were unsuccessful. Our officers and directors may have conflicts of interest with other entities to which they owe fiduciary or contractual obligations with respect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859"/>
        <w:spacing w:after="0" w:line="257" w:lineRule="auto"/>
        <w:rPr>
          <w:sz w:val="20"/>
          <w:szCs w:val="20"/>
          <w:color w:val="auto"/>
        </w:rPr>
      </w:pPr>
      <w:r>
        <w:rPr>
          <w:rFonts w:ascii="Arial" w:cs="Arial" w:eastAsia="Arial" w:hAnsi="Arial"/>
          <w:sz w:val="18"/>
          <w:szCs w:val="18"/>
          <w:color w:val="auto"/>
        </w:rPr>
        <w:t>to initial business combination opportunities. For a list of our officers and directors and entities for which a conflict of interest may or does exist between such persons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We will have seven directors upon completion of this offering. Our board of directors will be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Tripp Jones and Patrick Eggen, will expire at our first annual meeting of stockholders. The term of office of the second class of directors, consisting of Courtney Robinson and Kent Schofield, will expire at the second annual meeting of stockholders. The term of office of the third class of directors, consisting of Jack Leeney, Thomas D. Hennessy and M. Joseph Beck, will expire at the third annual meeting of stockholders.</w:t>
      </w:r>
    </w:p>
    <w:p>
      <w:pPr>
        <w:spacing w:after="0" w:line="99"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599" w:firstLine="432"/>
        <w:spacing w:after="0" w:line="254" w:lineRule="auto"/>
        <w:rPr>
          <w:sz w:val="20"/>
          <w:szCs w:val="20"/>
          <w:color w:val="auto"/>
        </w:rPr>
      </w:pPr>
      <w:r>
        <w:rPr>
          <w:rFonts w:ascii="Arial" w:cs="Arial" w:eastAsia="Arial" w:hAnsi="Arial"/>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Patrick Eggen, Tripp Jones, Courtney Robinson and Kent Schofield are “independent directors” as defined in the Nasdaq listing standards and applicable SEC rules. Our independent directors will have regularly scheduled meetings at which only independent directors are present.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 and Director Compensation</w:t>
      </w:r>
    </w:p>
    <w:p>
      <w:pPr>
        <w:spacing w:after="0" w:line="162"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None of our officers has received any cash compensation for services rendered to us. Commencing on the date of this prospectus, we have agreed to pay our sponsor a total of $10,000 per month for office space, utilities and secretarial and administrative support. Upon completion of our initial business combination or our liquidation, we will cease paying these monthly fees. No compensation of any kind, including any finder’s fee, advisory fee, reimbursement or consulting fee, will be paid by us to our sponsor, officers, directors and advisors, or any affiliate of our sponsor or officers,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We do not have a policy that prohibits our sponsor, executive officers or directors, or any of their respective affiliates, from negotiating for the reimbursement of out-of-pocket expenses by a target business.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2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5" w:name="page116"/>
    <w:bookmarkEnd w:id="11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96" w:lineRule="auto"/>
        <w:rPr>
          <w:sz w:val="20"/>
          <w:szCs w:val="20"/>
          <w:color w:val="auto"/>
        </w:rPr>
      </w:pPr>
      <w:r>
        <w:rPr>
          <w:rFonts w:ascii="Arial" w:cs="Arial" w:eastAsia="Arial" w:hAnsi="Arial"/>
          <w:sz w:val="16"/>
          <w:szCs w:val="16"/>
          <w:color w:val="auto"/>
        </w:rPr>
        <w:t>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94" w:lineRule="exact"/>
        <w:rPr>
          <w:sz w:val="20"/>
          <w:szCs w:val="20"/>
          <w:color w:val="auto"/>
        </w:rPr>
      </w:pPr>
    </w:p>
    <w:p>
      <w:pPr>
        <w:ind w:left="460" w:right="639" w:firstLine="432"/>
        <w:spacing w:after="0" w:line="270"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4"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Prior to the consummation of this offering, we will establish an audit committee of the board of directors. Kent Schofield, Tripp Jones and Patrick Eggen will serve as members of our audit committee, and Mr. Schofield will chair the audit committee. Under the Nasdaq listing standards and applicable SEC rules, we are required to have at least three members of the audit committee, all of whom must be independent. Each of Kent Schofield, Tripp Jones and Patrick Eggen meet the independent director standard under Nasdaq listing standards and under Rule 10-A-3(b)(1) of the Exchange Act.</w:t>
      </w:r>
    </w:p>
    <w:p>
      <w:pPr>
        <w:spacing w:after="0" w:line="110" w:lineRule="exact"/>
        <w:rPr>
          <w:sz w:val="20"/>
          <w:szCs w:val="20"/>
          <w:color w:val="auto"/>
        </w:rPr>
      </w:pPr>
    </w:p>
    <w:p>
      <w:pPr>
        <w:ind w:left="460" w:right="579" w:firstLine="432"/>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Mr. Schofield qualifies as an “audit committee financial expert” as defined in applicable SEC rules.</w:t>
      </w:r>
    </w:p>
    <w:p>
      <w:pPr>
        <w:spacing w:after="0" w:line="7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89" w:lineRule="exact"/>
        <w:rPr>
          <w:sz w:val="20"/>
          <w:szCs w:val="20"/>
          <w:color w:val="auto"/>
        </w:rPr>
      </w:pPr>
    </w:p>
    <w:p>
      <w:pPr>
        <w:ind w:left="1320" w:right="135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02" w:lineRule="exact"/>
        <w:rPr>
          <w:rFonts w:ascii="Arial" w:cs="Arial" w:eastAsia="Arial" w:hAnsi="Arial"/>
          <w:sz w:val="18"/>
          <w:szCs w:val="18"/>
          <w:color w:val="auto"/>
        </w:rPr>
      </w:pPr>
    </w:p>
    <w:p>
      <w:pPr>
        <w:jc w:val="both"/>
        <w:ind w:left="1320" w:right="1099" w:hanging="434"/>
        <w:spacing w:after="0" w:line="263"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16" w:lineRule="exact"/>
        <w:rPr>
          <w:rFonts w:ascii="Arial" w:cs="Arial" w:eastAsia="Arial" w:hAnsi="Arial"/>
          <w:sz w:val="18"/>
          <w:szCs w:val="18"/>
          <w:color w:val="auto"/>
        </w:rPr>
      </w:pPr>
    </w:p>
    <w:p>
      <w:pPr>
        <w:ind w:left="1320" w:right="519" w:hanging="434"/>
        <w:spacing w:after="0" w:line="342" w:lineRule="auto"/>
        <w:tabs>
          <w:tab w:leader="none" w:pos="13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setting clear hiring policies for employees or former employees of the independent registered public accounting firm, including but not limited to, as required by applicable laws and regulations;</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setting clear policies for audit partner rotation in compliance with applicable laws and regulations;</w:t>
      </w:r>
    </w:p>
    <w:p>
      <w:pPr>
        <w:spacing w:after="0" w:line="180" w:lineRule="exact"/>
        <w:rPr>
          <w:rFonts w:ascii="Arial" w:cs="Arial" w:eastAsia="Arial" w:hAnsi="Arial"/>
          <w:sz w:val="16"/>
          <w:szCs w:val="16"/>
          <w:color w:val="auto"/>
        </w:rPr>
      </w:pPr>
    </w:p>
    <w:p>
      <w:pPr>
        <w:ind w:left="1320" w:right="519" w:hanging="434"/>
        <w:spacing w:after="0" w:line="254"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19" w:hanging="434"/>
        <w:spacing w:after="0" w:line="308" w:lineRule="auto"/>
        <w:tabs>
          <w:tab w:leader="none" w:pos="1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reviewing and approving any related party transaction required to be disclosed pursuant to Item 404 of Regulation S-K promulgated by the SEC prior to us entering into such transaction; and</w:t>
      </w:r>
    </w:p>
    <w:p>
      <w:pPr>
        <w:spacing w:after="0" w:line="78" w:lineRule="exact"/>
        <w:rPr>
          <w:rFonts w:ascii="Arial" w:cs="Arial" w:eastAsia="Arial" w:hAnsi="Arial"/>
          <w:sz w:val="17"/>
          <w:szCs w:val="17"/>
          <w:color w:val="auto"/>
        </w:rPr>
      </w:pPr>
    </w:p>
    <w:p>
      <w:pPr>
        <w:ind w:left="1320" w:right="459" w:hanging="434"/>
        <w:spacing w:after="0" w:line="273" w:lineRule="auto"/>
        <w:tabs>
          <w:tab w:leader="none" w:pos="1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Prior to the consummation of this offering, we will establish a compensation committee of the board of directors. Courtney Robinson and Tripp Jones will serve as members of our compensation committee. Under the Nasdaq listing standards and applicable SEC rules, we are required to have at least two members of the compensation committee, all of whom must be independent. Courtney Robinson and Tripp Jones are independent and Ms. Robinson will chair the compensation committee.</w:t>
      </w:r>
    </w:p>
    <w:p>
      <w:pPr>
        <w:spacing w:after="0" w:line="95" w:lineRule="exact"/>
        <w:rPr>
          <w:sz w:val="20"/>
          <w:szCs w:val="20"/>
          <w:color w:val="auto"/>
        </w:rPr>
      </w:pPr>
    </w:p>
    <w:p>
      <w:pPr>
        <w:ind w:left="460" w:right="1199" w:firstLine="432"/>
        <w:spacing w:after="0" w:line="277"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103" w:lineRule="exact"/>
        <w:rPr>
          <w:sz w:val="20"/>
          <w:szCs w:val="20"/>
          <w:color w:val="auto"/>
        </w:rPr>
      </w:pPr>
    </w:p>
    <w:p>
      <w:pPr>
        <w:ind w:left="1320" w:right="899" w:hanging="434"/>
        <w:spacing w:after="0" w:line="301" w:lineRule="auto"/>
        <w:tabs>
          <w:tab w:leader="none" w:pos="13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evaluations;</w:t>
      </w:r>
    </w:p>
    <w:p>
      <w:pPr>
        <w:spacing w:after="0" w:line="89" w:lineRule="exact"/>
        <w:rPr>
          <w:rFonts w:ascii="Arial" w:cs="Arial" w:eastAsia="Arial" w:hAnsi="Arial"/>
          <w:sz w:val="16"/>
          <w:szCs w:val="16"/>
          <w:color w:val="auto"/>
        </w:rPr>
      </w:pPr>
    </w:p>
    <w:p>
      <w:pPr>
        <w:ind w:left="1320" w:right="83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119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02" w:lineRule="exact"/>
        <w:rPr>
          <w:rFonts w:ascii="Arial" w:cs="Arial" w:eastAsia="Arial" w:hAnsi="Arial"/>
          <w:sz w:val="18"/>
          <w:szCs w:val="18"/>
          <w:color w:val="auto"/>
        </w:rPr>
      </w:pPr>
    </w:p>
    <w:p>
      <w:pPr>
        <w:ind w:left="1320" w:right="101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Notwithstanding the foregoing, as indicated above, other than the payment to our sponsor of $10,000 per month, for up to 24 months, for office space, utilities and secretarial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11" w:lineRule="exact"/>
        <w:rPr>
          <w:sz w:val="20"/>
          <w:szCs w:val="20"/>
          <w:color w:val="auto"/>
        </w:rPr>
      </w:pPr>
    </w:p>
    <w:p>
      <w:pPr>
        <w:ind w:left="460" w:right="539" w:firstLine="432"/>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48" w:lineRule="exact"/>
        <w:rPr>
          <w:sz w:val="20"/>
          <w:szCs w:val="20"/>
          <w:color w:val="auto"/>
        </w:rPr>
      </w:pPr>
    </w:p>
    <w:p>
      <w:pPr>
        <w:ind w:left="460" w:right="559" w:firstLine="432"/>
        <w:spacing w:after="0" w:line="284"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Kent Schofield, Tripp Jones, Patrick Eggen and Courtney Robinson. In accordance with</w:t>
      </w:r>
    </w:p>
    <w:p>
      <w:pPr>
        <w:spacing w:after="0" w:line="2" w:lineRule="exact"/>
        <w:rPr>
          <w:sz w:val="20"/>
          <w:szCs w:val="20"/>
          <w:color w:val="auto"/>
        </w:rPr>
      </w:pPr>
    </w:p>
    <w:p>
      <w:pPr>
        <w:ind w:left="460" w:right="1279"/>
        <w:spacing w:after="0" w:line="260" w:lineRule="auto"/>
        <w:rPr>
          <w:sz w:val="20"/>
          <w:szCs w:val="20"/>
          <w:color w:val="auto"/>
        </w:rPr>
      </w:pPr>
      <w:r>
        <w:rPr>
          <w:rFonts w:ascii="Arial" w:cs="Arial" w:eastAsia="Arial" w:hAnsi="Arial"/>
          <w:sz w:val="18"/>
          <w:szCs w:val="18"/>
          <w:color w:val="auto"/>
        </w:rPr>
        <w:t>Rule 5605 of the Nasdaq rules, all such directors are independent. As there is no standing nominating committee, we do not have a nominating committee charter in place.</w:t>
      </w:r>
    </w:p>
    <w:p>
      <w:pPr>
        <w:spacing w:after="0" w:line="118" w:lineRule="exact"/>
        <w:rPr>
          <w:sz w:val="20"/>
          <w:szCs w:val="20"/>
          <w:color w:val="auto"/>
        </w:rPr>
      </w:pPr>
    </w:p>
    <w:p>
      <w:pPr>
        <w:ind w:left="460" w:right="659" w:firstLine="432"/>
        <w:spacing w:after="0" w:line="301" w:lineRule="auto"/>
        <w:rPr>
          <w:sz w:val="20"/>
          <w:szCs w:val="20"/>
          <w:color w:val="auto"/>
        </w:rPr>
      </w:pPr>
      <w:r>
        <w:rPr>
          <w:rFonts w:ascii="Arial" w:cs="Arial" w:eastAsia="Arial" w:hAnsi="Arial"/>
          <w:sz w:val="16"/>
          <w:szCs w:val="16"/>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90"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 xml:space="preserve">Prior to the consummation of this offering, we will have adopted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Ethics will be provided without charge upon request from us. We intend to disclose any amendments to or waivers of certain provisions of our Code of Ethics in a Current Report on Form 8-K. See the section of this prospectus entitled “Where You Can Find Additional Information.”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including PTAC, if its initial business combination with Porch.com is not consummated, and PTIC.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in different fields than what we would be interested in, or to entities that are not themselves in the business of engaging in business combinations.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12" w:lineRule="exact"/>
        <w:rPr>
          <w:sz w:val="20"/>
          <w:szCs w:val="20"/>
          <w:color w:val="auto"/>
        </w:rPr>
      </w:pPr>
    </w:p>
    <w:p>
      <w:pPr>
        <w:jc w:val="both"/>
        <w:ind w:left="460" w:right="939" w:firstLine="432"/>
        <w:spacing w:after="0" w:line="286" w:lineRule="auto"/>
        <w:rPr>
          <w:sz w:val="20"/>
          <w:szCs w:val="20"/>
          <w:color w:val="auto"/>
        </w:rPr>
      </w:pPr>
      <w:r>
        <w:rPr>
          <w:rFonts w:ascii="Arial" w:cs="Arial" w:eastAsia="Arial" w:hAnsi="Arial"/>
          <w:sz w:val="17"/>
          <w:szCs w:val="17"/>
          <w:color w:val="auto"/>
        </w:rPr>
        <w:t>Our officers and directors may become an officer or director of another special purpose acquisition company with a class of securities intended to be registered under the Exchange Act, even before we have entered into a definitive agreement regarding our initial business combination.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58" w:lineRule="exact"/>
        <w:rPr>
          <w:sz w:val="20"/>
          <w:szCs w:val="20"/>
          <w:color w:val="auto"/>
        </w:rPr>
      </w:pPr>
    </w:p>
    <w:p>
      <w:pPr>
        <w:ind w:left="1320" w:right="859" w:hanging="434"/>
        <w:spacing w:after="0" w:line="263"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16" w:lineRule="exact"/>
        <w:rPr>
          <w:rFonts w:ascii="Arial" w:cs="Arial" w:eastAsia="Arial" w:hAnsi="Arial"/>
          <w:sz w:val="18"/>
          <w:szCs w:val="18"/>
          <w:color w:val="auto"/>
        </w:rPr>
      </w:pPr>
    </w:p>
    <w:p>
      <w:pPr>
        <w:ind w:left="1320" w:right="659" w:hanging="434"/>
        <w:spacing w:after="0" w:line="301" w:lineRule="auto"/>
        <w:tabs>
          <w:tab w:leader="none" w:pos="1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76" w:lineRule="exact"/>
        <w:rPr>
          <w:rFonts w:ascii="Arial" w:cs="Arial" w:eastAsia="Arial" w:hAnsi="Arial"/>
          <w:sz w:val="16"/>
          <w:szCs w:val="16"/>
          <w:color w:val="auto"/>
        </w:rPr>
      </w:pPr>
    </w:p>
    <w:p>
      <w:pPr>
        <w:ind w:left="1320" w:right="519" w:hanging="434"/>
        <w:spacing w:after="0" w:line="284" w:lineRule="auto"/>
        <w:tabs>
          <w:tab w:leader="none" w:pos="1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any public shares held by them in connection with the consummation of our initial business combination. Additionally, our initial stockholders have agreed to waive their redemption rights with respect to any founder shares held by them if we fail to consummate our initial business combination within 24 months after the closing of this offering.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by our sponsor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With certain limited exceptions, the private placement warrants and the Class A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326" w:lineRule="exact"/>
        <w:rPr>
          <w:rFonts w:ascii="Arial" w:cs="Arial" w:eastAsia="Arial" w:hAnsi="Arial"/>
          <w:sz w:val="16"/>
          <w:szCs w:val="16"/>
          <w:color w:val="auto"/>
        </w:rPr>
      </w:pPr>
    </w:p>
    <w:p>
      <w:pPr>
        <w:ind w:left="1320" w:right="759" w:hanging="434"/>
        <w:spacing w:after="0" w:line="259"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19" w:lineRule="exact"/>
        <w:rPr>
          <w:rFonts w:ascii="Arial" w:cs="Arial" w:eastAsia="Arial" w:hAnsi="Arial"/>
          <w:sz w:val="18"/>
          <w:szCs w:val="18"/>
          <w:color w:val="auto"/>
        </w:rPr>
      </w:pPr>
    </w:p>
    <w:p>
      <w:pPr>
        <w:ind w:left="1320" w:right="599" w:hanging="434"/>
        <w:spacing w:after="0" w:line="254" w:lineRule="auto"/>
        <w:tabs>
          <w:tab w:leader="none" w:pos="1311"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Up to $1,500,000 of such loans may be convertible into warrants at a price of $1.00 per warrant at the option of the lender. Such warrants would be identical to the private placement warrants, including as to exercise price, exercisability and exercise period.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5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03" w:lineRule="exact"/>
        <w:rPr>
          <w:sz w:val="20"/>
          <w:szCs w:val="20"/>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03"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amended and restated certificate of incorporation will provide that we renounce our interest in</w:t>
      </w:r>
    </w:p>
    <w:p>
      <w:pPr>
        <w:sectPr>
          <w:pgSz w:w="11900" w:h="16838" w:orient="portrait"/>
          <w:cols w:equalWidth="0" w:num="1">
            <w:col w:w="9019"/>
          </w:cols>
          <w:pgMar w:left="1440" w:top="274"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19" w:name="page120"/>
    <w:bookmarkEnd w:id="11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59"/>
        <w:spacing w:after="0" w:line="257" w:lineRule="auto"/>
        <w:rPr>
          <w:sz w:val="20"/>
          <w:szCs w:val="20"/>
          <w:color w:val="auto"/>
        </w:rPr>
      </w:pPr>
      <w:r>
        <w:rPr>
          <w:rFonts w:ascii="Arial" w:cs="Arial" w:eastAsia="Arial" w:hAnsi="Arial"/>
          <w:sz w:val="18"/>
          <w:szCs w:val="18"/>
          <w:color w:val="auto"/>
        </w:rPr>
        <w:t>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20"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directors and director nominees currently have fiduciary duties: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40" w:type="dxa"/>
            <w:vAlign w:val="bottom"/>
            <w:gridSpan w:val="2"/>
          </w:tcPr>
          <w:p>
            <w:pPr>
              <w:spacing w:after="0"/>
              <w:rPr>
                <w:sz w:val="20"/>
                <w:szCs w:val="20"/>
                <w:color w:val="auto"/>
              </w:rPr>
            </w:pPr>
            <w:r>
              <w:rPr>
                <w:rFonts w:ascii="Arial" w:cs="Arial" w:eastAsia="Arial" w:hAnsi="Arial"/>
                <w:sz w:val="16"/>
                <w:szCs w:val="16"/>
                <w:b w:val="1"/>
                <w:bCs w:val="1"/>
                <w:color w:val="auto"/>
              </w:rPr>
              <w:t>Individual</w:t>
            </w:r>
          </w:p>
        </w:tc>
        <w:tc>
          <w:tcPr>
            <w:tcW w:w="2720" w:type="dxa"/>
            <w:vAlign w:val="bottom"/>
            <w:gridSpan w:val="2"/>
          </w:tcPr>
          <w:p>
            <w:pPr>
              <w:ind w:left="1100"/>
              <w:spacing w:after="0"/>
              <w:rPr>
                <w:sz w:val="20"/>
                <w:szCs w:val="20"/>
                <w:color w:val="auto"/>
              </w:rPr>
            </w:pPr>
            <w:r>
              <w:rPr>
                <w:rFonts w:ascii="Arial" w:cs="Arial" w:eastAsia="Arial" w:hAnsi="Arial"/>
                <w:sz w:val="16"/>
                <w:szCs w:val="16"/>
                <w:b w:val="1"/>
                <w:bCs w:val="1"/>
                <w:color w:val="auto"/>
              </w:rPr>
              <w:t>Entity</w:t>
            </w: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Entity’s Business</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Affiliation</w:t>
            </w:r>
          </w:p>
        </w:tc>
      </w:tr>
      <w:tr>
        <w:trPr>
          <w:trHeight w:val="46"/>
        </w:trPr>
        <w:tc>
          <w:tcPr>
            <w:tcW w:w="1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Jack Leeney</w:t>
            </w:r>
          </w:p>
        </w:tc>
        <w:tc>
          <w:tcPr>
            <w:tcW w:w="8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7GC &amp; Co Sarl</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venture capital</w:t>
            </w:r>
          </w:p>
        </w:tc>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partner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PropTech Acquisition Corporation</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4"/>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The Mom Project</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digital talent marketplace</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PropTech Investment Corporation II</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405"/>
        </w:trPr>
        <w:tc>
          <w:tcPr>
            <w:tcW w:w="1740" w:type="dxa"/>
            <w:vAlign w:val="bottom"/>
            <w:gridSpan w:val="2"/>
          </w:tcPr>
          <w:p>
            <w:pPr>
              <w:spacing w:after="0"/>
              <w:rPr>
                <w:sz w:val="20"/>
                <w:szCs w:val="20"/>
                <w:color w:val="auto"/>
              </w:rPr>
            </w:pPr>
            <w:r>
              <w:rPr>
                <w:rFonts w:ascii="Arial" w:cs="Arial" w:eastAsia="Arial" w:hAnsi="Arial"/>
                <w:sz w:val="18"/>
                <w:szCs w:val="18"/>
                <w:color w:val="auto"/>
              </w:rPr>
              <w:t>Christopher Walsh</w:t>
            </w:r>
          </w:p>
        </w:tc>
        <w:tc>
          <w:tcPr>
            <w:tcW w:w="2720" w:type="dxa"/>
            <w:vAlign w:val="bottom"/>
            <w:gridSpan w:val="2"/>
          </w:tcPr>
          <w:p>
            <w:pPr>
              <w:spacing w:after="0"/>
              <w:rPr>
                <w:sz w:val="20"/>
                <w:szCs w:val="20"/>
                <w:color w:val="auto"/>
              </w:rPr>
            </w:pPr>
            <w:r>
              <w:rPr>
                <w:rFonts w:ascii="Arial" w:cs="Arial" w:eastAsia="Arial" w:hAnsi="Arial"/>
                <w:sz w:val="18"/>
                <w:szCs w:val="18"/>
                <w:color w:val="auto"/>
              </w:rPr>
              <w:t>7GC &amp; Co Sarl</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venture capital</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officer</w:t>
            </w:r>
          </w:p>
        </w:tc>
      </w:tr>
      <w:tr>
        <w:trPr>
          <w:trHeight w:val="405"/>
        </w:trPr>
        <w:tc>
          <w:tcPr>
            <w:tcW w:w="1740" w:type="dxa"/>
            <w:vAlign w:val="bottom"/>
            <w:gridSpan w:val="2"/>
          </w:tcPr>
          <w:p>
            <w:pPr>
              <w:spacing w:after="0"/>
              <w:rPr>
                <w:sz w:val="20"/>
                <w:szCs w:val="20"/>
                <w:color w:val="auto"/>
              </w:rPr>
            </w:pPr>
            <w:r>
              <w:rPr>
                <w:rFonts w:ascii="Arial" w:cs="Arial" w:eastAsia="Arial" w:hAnsi="Arial"/>
                <w:sz w:val="18"/>
                <w:szCs w:val="18"/>
                <w:color w:val="auto"/>
                <w:w w:val="99"/>
              </w:rPr>
              <w:t>Thomas D. Hennessy</w:t>
            </w:r>
          </w:p>
        </w:tc>
        <w:tc>
          <w:tcPr>
            <w:tcW w:w="2720" w:type="dxa"/>
            <w:vAlign w:val="bottom"/>
            <w:gridSpan w:val="2"/>
          </w:tcPr>
          <w:p>
            <w:pPr>
              <w:spacing w:after="0"/>
              <w:rPr>
                <w:sz w:val="20"/>
                <w:szCs w:val="20"/>
                <w:color w:val="auto"/>
              </w:rPr>
            </w:pPr>
            <w:r>
              <w:rPr>
                <w:rFonts w:ascii="Arial" w:cs="Arial" w:eastAsia="Arial" w:hAnsi="Arial"/>
                <w:sz w:val="18"/>
                <w:szCs w:val="18"/>
                <w:color w:val="auto"/>
              </w:rPr>
              <w:t>Hennessy Capital LLC</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investments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managing partner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PropTech Acquisition Corporation</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officer and director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PropTech Investment Corporation II</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officer and director</w:t>
            </w:r>
          </w:p>
        </w:tc>
      </w:tr>
      <w:tr>
        <w:trPr>
          <w:trHeight w:val="405"/>
        </w:trPr>
        <w:tc>
          <w:tcPr>
            <w:tcW w:w="1740" w:type="dxa"/>
            <w:vAlign w:val="bottom"/>
            <w:gridSpan w:val="2"/>
          </w:tcPr>
          <w:p>
            <w:pPr>
              <w:spacing w:after="0"/>
              <w:rPr>
                <w:sz w:val="20"/>
                <w:szCs w:val="20"/>
                <w:color w:val="auto"/>
              </w:rPr>
            </w:pPr>
            <w:r>
              <w:rPr>
                <w:rFonts w:ascii="Arial" w:cs="Arial" w:eastAsia="Arial" w:hAnsi="Arial"/>
                <w:sz w:val="18"/>
                <w:szCs w:val="18"/>
                <w:color w:val="auto"/>
              </w:rPr>
              <w:t>M. Joseph Beck</w:t>
            </w:r>
          </w:p>
        </w:tc>
        <w:tc>
          <w:tcPr>
            <w:tcW w:w="2720" w:type="dxa"/>
            <w:vAlign w:val="bottom"/>
            <w:gridSpan w:val="2"/>
          </w:tcPr>
          <w:p>
            <w:pPr>
              <w:spacing w:after="0"/>
              <w:rPr>
                <w:sz w:val="20"/>
                <w:szCs w:val="20"/>
                <w:color w:val="auto"/>
              </w:rPr>
            </w:pPr>
            <w:r>
              <w:rPr>
                <w:rFonts w:ascii="Arial" w:cs="Arial" w:eastAsia="Arial" w:hAnsi="Arial"/>
                <w:sz w:val="18"/>
                <w:szCs w:val="18"/>
                <w:color w:val="auto"/>
              </w:rPr>
              <w:t>Hennessy Capital LLC</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investments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managing partner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PropTech Acquisition Corporation</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officer and director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PropTech Investment Corporation II</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officer and director</w:t>
            </w:r>
          </w:p>
        </w:tc>
      </w:tr>
      <w:tr>
        <w:trPr>
          <w:trHeight w:val="405"/>
        </w:trPr>
        <w:tc>
          <w:tcPr>
            <w:tcW w:w="1740" w:type="dxa"/>
            <w:vAlign w:val="bottom"/>
            <w:gridSpan w:val="2"/>
          </w:tcPr>
          <w:p>
            <w:pPr>
              <w:spacing w:after="0"/>
              <w:rPr>
                <w:sz w:val="20"/>
                <w:szCs w:val="20"/>
                <w:color w:val="auto"/>
              </w:rPr>
            </w:pPr>
            <w:r>
              <w:rPr>
                <w:rFonts w:ascii="Arial" w:cs="Arial" w:eastAsia="Arial" w:hAnsi="Arial"/>
                <w:sz w:val="18"/>
                <w:szCs w:val="18"/>
                <w:color w:val="auto"/>
              </w:rPr>
              <w:t>Courtney Robinson</w:t>
            </w:r>
          </w:p>
        </w:tc>
        <w:tc>
          <w:tcPr>
            <w:tcW w:w="2720" w:type="dxa"/>
            <w:vAlign w:val="bottom"/>
            <w:gridSpan w:val="2"/>
          </w:tcPr>
          <w:p>
            <w:pPr>
              <w:spacing w:after="0"/>
              <w:rPr>
                <w:sz w:val="20"/>
                <w:szCs w:val="20"/>
                <w:color w:val="auto"/>
              </w:rPr>
            </w:pPr>
            <w:r>
              <w:rPr>
                <w:rFonts w:ascii="Arial" w:cs="Arial" w:eastAsia="Arial" w:hAnsi="Arial"/>
                <w:sz w:val="18"/>
                <w:szCs w:val="18"/>
                <w:color w:val="auto"/>
              </w:rPr>
              <w:t>PropTech Acquisition Corporation</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405"/>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4"/>
              </w:rPr>
              <w:t>PropTech Investment Corporation II</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blank check</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4"/>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Bellhops</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moving service</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Brandable</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consumer goods</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4"/>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Curology</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dermatology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Modsy</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interior design</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283"/>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Sawyer</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education</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director</w:t>
            </w:r>
          </w:p>
        </w:tc>
      </w:tr>
      <w:tr>
        <w:trPr>
          <w:trHeight w:val="405"/>
        </w:trPr>
        <w:tc>
          <w:tcPr>
            <w:tcW w:w="1740" w:type="dxa"/>
            <w:vAlign w:val="bottom"/>
            <w:gridSpan w:val="2"/>
          </w:tcPr>
          <w:p>
            <w:pPr>
              <w:spacing w:after="0"/>
              <w:rPr>
                <w:sz w:val="20"/>
                <w:szCs w:val="20"/>
                <w:color w:val="auto"/>
              </w:rPr>
            </w:pPr>
            <w:r>
              <w:rPr>
                <w:rFonts w:ascii="Arial" w:cs="Arial" w:eastAsia="Arial" w:hAnsi="Arial"/>
                <w:sz w:val="18"/>
                <w:szCs w:val="18"/>
                <w:color w:val="auto"/>
              </w:rPr>
              <w:t>Tripp Jones</w:t>
            </w:r>
          </w:p>
        </w:tc>
        <w:tc>
          <w:tcPr>
            <w:tcW w:w="2720" w:type="dxa"/>
            <w:vAlign w:val="bottom"/>
            <w:gridSpan w:val="2"/>
          </w:tcPr>
          <w:p>
            <w:pPr>
              <w:spacing w:after="0"/>
              <w:rPr>
                <w:sz w:val="20"/>
                <w:szCs w:val="20"/>
                <w:color w:val="auto"/>
              </w:rPr>
            </w:pPr>
            <w:r>
              <w:rPr>
                <w:rFonts w:ascii="Arial" w:cs="Arial" w:eastAsia="Arial" w:hAnsi="Arial"/>
                <w:sz w:val="18"/>
                <w:szCs w:val="18"/>
                <w:color w:val="auto"/>
              </w:rPr>
              <w:t>August Capital</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venture capital</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partner</w:t>
            </w:r>
          </w:p>
        </w:tc>
      </w:tr>
      <w:tr>
        <w:trPr>
          <w:trHeight w:val="405"/>
        </w:trPr>
        <w:tc>
          <w:tcPr>
            <w:tcW w:w="1740" w:type="dxa"/>
            <w:vAlign w:val="bottom"/>
            <w:gridSpan w:val="2"/>
          </w:tcPr>
          <w:p>
            <w:pPr>
              <w:spacing w:after="0"/>
              <w:rPr>
                <w:sz w:val="20"/>
                <w:szCs w:val="20"/>
                <w:color w:val="auto"/>
              </w:rPr>
            </w:pPr>
            <w:r>
              <w:rPr>
                <w:rFonts w:ascii="Arial" w:cs="Arial" w:eastAsia="Arial" w:hAnsi="Arial"/>
                <w:sz w:val="18"/>
                <w:szCs w:val="18"/>
                <w:color w:val="auto"/>
              </w:rPr>
              <w:t>Patrick Eggen</w:t>
            </w:r>
          </w:p>
        </w:tc>
        <w:tc>
          <w:tcPr>
            <w:tcW w:w="2720" w:type="dxa"/>
            <w:vAlign w:val="bottom"/>
            <w:gridSpan w:val="2"/>
          </w:tcPr>
          <w:p>
            <w:pPr>
              <w:spacing w:after="0"/>
              <w:rPr>
                <w:sz w:val="20"/>
                <w:szCs w:val="20"/>
                <w:color w:val="auto"/>
              </w:rPr>
            </w:pPr>
            <w:r>
              <w:rPr>
                <w:rFonts w:ascii="Arial" w:cs="Arial" w:eastAsia="Arial" w:hAnsi="Arial"/>
                <w:sz w:val="18"/>
                <w:szCs w:val="18"/>
                <w:color w:val="auto"/>
              </w:rPr>
              <w:t>Counterpart Ventures</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venture capital</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partner</w:t>
            </w:r>
          </w:p>
        </w:tc>
      </w:tr>
    </w:tbl>
    <w:p>
      <w:pPr>
        <w:spacing w:after="0" w:line="215"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Accordingly, if any of the above executive officers, directors or director nominees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w:t>
      </w:r>
    </w:p>
    <w:p>
      <w:pPr>
        <w:spacing w:after="0" w:line="107"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directors or advisors. In the event we seek to complete our initial business combination with such a company, we, or a committee of independent directors, would obtain an opinion from an independent investment banking firm or from another independent entity that commonly renders valuation opinions, that such an initial business combination is fair to our company from a financial point of view.</w:t>
      </w:r>
    </w:p>
    <w:p>
      <w:pPr>
        <w:spacing w:after="0" w:line="94"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pursuant to the letter agreement, our sponsor, officers and directors have agreed to vote any founder shares held by them and any public shares purchased during or after the offering (including in open market and privately negotiated transactions) in favor of our initial business combination.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0" w:name="page121"/>
    <w:bookmarkEnd w:id="12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48"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1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11"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80" w:lineRule="exact"/>
        <w:rPr>
          <w:sz w:val="20"/>
          <w:szCs w:val="20"/>
          <w:color w:val="auto"/>
        </w:rPr>
      </w:pPr>
    </w:p>
    <w:p>
      <w:pPr>
        <w:ind w:left="460" w:right="1119" w:firstLine="432"/>
        <w:spacing w:after="0" w:line="342" w:lineRule="auto"/>
        <w:rPr>
          <w:sz w:val="20"/>
          <w:szCs w:val="20"/>
          <w:color w:val="auto"/>
        </w:rPr>
      </w:pPr>
      <w:r>
        <w:rPr>
          <w:rFonts w:ascii="Arial" w:cs="Arial" w:eastAsia="Arial" w:hAnsi="Arial"/>
          <w:sz w:val="16"/>
          <w:szCs w:val="16"/>
          <w:color w:val="auto"/>
        </w:rPr>
        <w:t>We believe that these provisions, the directors’ and officers’ liability insurance and the indemnity agreements are necessary to attract and retain talented and experienced officers and directors.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jc w:val="both"/>
        <w:ind w:left="460" w:right="559" w:firstLine="432"/>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common stock included in the units offered by this prospectus, and assuming no purchase of units in this offering, by:</w:t>
      </w:r>
    </w:p>
    <w:p>
      <w:pPr>
        <w:spacing w:after="0" w:line="98" w:lineRule="exact"/>
        <w:rPr>
          <w:sz w:val="20"/>
          <w:szCs w:val="20"/>
          <w:color w:val="auto"/>
        </w:rPr>
      </w:pPr>
    </w:p>
    <w:p>
      <w:pPr>
        <w:ind w:left="1320" w:right="679" w:hanging="434"/>
        <w:spacing w:after="0" w:line="277"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shares of our common stock;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our executive officers, directors and director nominees as a group.</w:t>
      </w:r>
    </w:p>
    <w:p>
      <w:pPr>
        <w:spacing w:after="0" w:line="15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warrants are not exercisable within 60 days of the date of this prospectus.</w:t>
      </w:r>
    </w:p>
    <w:p>
      <w:pPr>
        <w:spacing w:after="0" w:line="119"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sponsor forfeits 656,250 founder shares on a pro rata basis, and that there are 21,875,000 shares of our common stock, consisting of</w:t>
      </w:r>
    </w:p>
    <w:p>
      <w:pPr>
        <w:spacing w:after="0" w:line="1" w:lineRule="exact"/>
        <w:rPr>
          <w:sz w:val="20"/>
          <w:szCs w:val="20"/>
          <w:color w:val="auto"/>
        </w:rPr>
      </w:pPr>
    </w:p>
    <w:p>
      <w:pPr>
        <w:ind w:left="460" w:right="819" w:hanging="6"/>
        <w:spacing w:after="0" w:line="260" w:lineRule="auto"/>
        <w:tabs>
          <w:tab w:leader="none" w:pos="6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17,500,000 shares of our Class A common stock and (ii) 4,375,000 shares of our Class B common stock, issued and outstanding after this offering.</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ind w:left="500"/>
              <w:spacing w:after="0"/>
              <w:rPr>
                <w:sz w:val="20"/>
                <w:szCs w:val="20"/>
                <w:color w:val="auto"/>
              </w:rPr>
            </w:pPr>
            <w:r>
              <w:rPr>
                <w:rFonts w:ascii="Arial" w:cs="Arial" w:eastAsia="Arial" w:hAnsi="Arial"/>
                <w:sz w:val="16"/>
                <w:szCs w:val="16"/>
                <w:b w:val="1"/>
                <w:bCs w:val="1"/>
                <w:color w:val="auto"/>
              </w:rPr>
              <w:t>Before Offering</w:t>
            </w:r>
          </w:p>
        </w:tc>
        <w:tc>
          <w:tcPr>
            <w:tcW w:w="222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After Offering</w:t>
            </w:r>
          </w:p>
        </w:tc>
        <w:tc>
          <w:tcPr>
            <w:tcW w:w="0" w:type="dxa"/>
            <w:vAlign w:val="bottom"/>
          </w:tcPr>
          <w:p>
            <w:pPr>
              <w:spacing w:after="0"/>
              <w:rPr>
                <w:sz w:val="1"/>
                <w:szCs w:val="1"/>
                <w:color w:val="auto"/>
              </w:rPr>
            </w:pPr>
          </w:p>
        </w:tc>
      </w:tr>
      <w:tr>
        <w:trPr>
          <w:trHeight w:val="46"/>
        </w:trPr>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5"/>
              </w:rPr>
              <w:t>Number</w:t>
            </w:r>
          </w:p>
        </w:tc>
        <w:tc>
          <w:tcPr>
            <w:tcW w:w="11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Approximate</w:t>
            </w:r>
          </w:p>
        </w:tc>
        <w:tc>
          <w:tcPr>
            <w:tcW w:w="100" w:type="dxa"/>
            <w:vAlign w:val="bottom"/>
            <w:vMerge w:val="continue"/>
          </w:tcPr>
          <w:p>
            <w:pPr>
              <w:spacing w:after="0"/>
              <w:rPr>
                <w:sz w:val="15"/>
                <w:szCs w:val="15"/>
                <w:color w:val="auto"/>
              </w:rPr>
            </w:pPr>
          </w:p>
        </w:tc>
        <w:tc>
          <w:tcPr>
            <w:tcW w:w="94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2"/>
              </w:rPr>
              <w:t>Number</w:t>
            </w:r>
          </w:p>
        </w:tc>
        <w:tc>
          <w:tcPr>
            <w:tcW w:w="12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of Shares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Outstanding</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Beneficially</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253"/>
        </w:trPr>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Owned</w:t>
            </w:r>
            <w:r>
              <w:rPr>
                <w:rFonts w:ascii="Arial" w:cs="Arial" w:eastAsia="Arial" w:hAnsi="Arial"/>
                <w:sz w:val="18"/>
                <w:szCs w:val="18"/>
                <w:b w:val="1"/>
                <w:bCs w:val="1"/>
                <w:color w:val="auto"/>
                <w:w w:val="91"/>
                <w:vertAlign w:val="superscript"/>
              </w:rPr>
              <w:t>(2)</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Common Stock</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Owned</w:t>
            </w:r>
            <w:r>
              <w:rPr>
                <w:rFonts w:ascii="Arial" w:cs="Arial" w:eastAsia="Arial" w:hAnsi="Arial"/>
                <w:sz w:val="18"/>
                <w:szCs w:val="18"/>
                <w:b w:val="1"/>
                <w:bCs w:val="1"/>
                <w:color w:val="auto"/>
                <w:w w:val="88"/>
                <w:vertAlign w:val="superscript"/>
              </w:rPr>
              <w:t>(2)</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268"/>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7GC &amp; Co. Holdings LLC</w:t>
            </w:r>
            <w:r>
              <w:rPr>
                <w:rFonts w:ascii="Arial" w:cs="Arial" w:eastAsia="Arial" w:hAnsi="Arial"/>
                <w:sz w:val="20"/>
                <w:szCs w:val="20"/>
                <w:color w:val="auto"/>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4,931,250</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4,275,000</w:t>
            </w:r>
          </w:p>
        </w:tc>
        <w:tc>
          <w:tcPr>
            <w:tcW w:w="1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83"/>
        </w:trPr>
        <w:tc>
          <w:tcPr>
            <w:tcW w:w="3700" w:type="dxa"/>
            <w:vAlign w:val="bottom"/>
            <w:gridSpan w:val="2"/>
          </w:tcPr>
          <w:p>
            <w:pPr>
              <w:spacing w:after="0"/>
              <w:rPr>
                <w:sz w:val="20"/>
                <w:szCs w:val="20"/>
                <w:color w:val="auto"/>
              </w:rPr>
            </w:pPr>
            <w:r>
              <w:rPr>
                <w:rFonts w:ascii="Arial" w:cs="Arial" w:eastAsia="Arial" w:hAnsi="Arial"/>
                <w:sz w:val="18"/>
                <w:szCs w:val="18"/>
                <w:color w:val="auto"/>
              </w:rPr>
              <w:t>Jack Leeney</w:t>
            </w:r>
            <w:r>
              <w:rPr>
                <w:rFonts w:ascii="Arial" w:cs="Arial" w:eastAsia="Arial" w:hAnsi="Arial"/>
                <w:sz w:val="20"/>
                <w:szCs w:val="20"/>
                <w:color w:val="auto"/>
                <w:vertAlign w:val="superscript"/>
              </w:rPr>
              <w:t>(3)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4,931,250</w:t>
            </w:r>
          </w:p>
        </w:tc>
        <w:tc>
          <w:tcPr>
            <w:tcW w:w="116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4,275,000</w:t>
            </w: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63"/>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Christopher Walsh</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700" w:type="dxa"/>
            <w:vAlign w:val="bottom"/>
            <w:gridSpan w:val="2"/>
          </w:tcPr>
          <w:p>
            <w:pPr>
              <w:spacing w:after="0"/>
              <w:rPr>
                <w:sz w:val="20"/>
                <w:szCs w:val="20"/>
                <w:color w:val="auto"/>
              </w:rPr>
            </w:pPr>
            <w:r>
              <w:rPr>
                <w:rFonts w:ascii="Arial" w:cs="Arial" w:eastAsia="Arial" w:hAnsi="Arial"/>
                <w:sz w:val="18"/>
                <w:szCs w:val="18"/>
                <w:color w:val="auto"/>
              </w:rPr>
              <w:t>Thomas D. Hennessy</w:t>
            </w:r>
            <w:r>
              <w:rPr>
                <w:rFonts w:ascii="Arial" w:cs="Arial" w:eastAsia="Arial" w:hAnsi="Arial"/>
                <w:sz w:val="20"/>
                <w:szCs w:val="20"/>
                <w:color w:val="auto"/>
                <w:vertAlign w:val="superscript"/>
              </w:rPr>
              <w:t>(3)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4,931,250</w:t>
            </w:r>
          </w:p>
        </w:tc>
        <w:tc>
          <w:tcPr>
            <w:tcW w:w="116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4,275,000</w:t>
            </w:r>
          </w:p>
        </w:tc>
        <w:tc>
          <w:tcPr>
            <w:tcW w:w="12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83"/>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Joseph Beck</w:t>
            </w:r>
            <w:r>
              <w:rPr>
                <w:rFonts w:ascii="Arial" w:cs="Arial" w:eastAsia="Arial" w:hAnsi="Arial"/>
                <w:sz w:val="20"/>
                <w:szCs w:val="20"/>
                <w:color w:val="auto"/>
                <w:vertAlign w:val="superscript"/>
              </w:rPr>
              <w:t>(3)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4,931,250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Courtney Robinson</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Tripp Jones</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Kent Schofield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Eggen</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directors and director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nominees as a group (8 individuals)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5,031,250</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4,375,000</w:t>
            </w: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880" w:right="1019" w:hanging="426"/>
        <w:spacing w:after="0" w:line="264"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following entities or individuals is c/o 7GC &amp; Co. Holdings Inc., 388 Market Street, Suite 1300, San Francisco, CA 94111.</w:t>
      </w:r>
    </w:p>
    <w:p>
      <w:pPr>
        <w:ind w:left="880" w:right="519" w:hanging="426"/>
        <w:spacing w:after="0" w:line="301" w:lineRule="auto"/>
        <w:tabs>
          <w:tab w:leader="none" w:pos="8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Interests shown consist solely of founder shares, classified as shares of Class B common stock. Such shares will automatically convert into shares of Class A common stock at the time of our initial business combination on a one-for-one basis, subject to adjustment, as described in the section of this prospectus entitled “Description of Securities.”</w:t>
      </w:r>
    </w:p>
    <w:p>
      <w:pPr>
        <w:spacing w:after="0" w:line="1" w:lineRule="exact"/>
        <w:rPr>
          <w:rFonts w:ascii="Arial" w:cs="Arial" w:eastAsia="Arial" w:hAnsi="Arial"/>
          <w:sz w:val="14"/>
          <w:szCs w:val="14"/>
          <w:color w:val="auto"/>
        </w:rPr>
      </w:pPr>
    </w:p>
    <w:p>
      <w:pPr>
        <w:ind w:left="880" w:right="499" w:hanging="426"/>
        <w:spacing w:after="0" w:line="288"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sponsor is the record holder of such shares. VII Co-Invest Sponsor LLC and HC 7GC Partners I LLC are the managing members of the sponsor. VII Co-Invest Sponsor LLC is managed by SP Global Advisors LLC, which is managed by Mr. Leeney. Each of Mr. Hennessy and Mr. Beck are the managing members of HC 7GC Partners I LLC. As such, each of the foregoing individuals have voting and investment discretion with respect to the common stock held of record by our sponsor and may be deemed to have shared beneficial ownership of the common stock held directly by our sponsor. Each such entity or person disclaims any beneficial ownership of the reported shares other than to the extent of any pecuniary interest they may have therein, directly or indirectly.</w:t>
      </w:r>
    </w:p>
    <w:p>
      <w:pPr>
        <w:spacing w:after="0" w:line="9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Immediately after this offering, our initial stockholders will beneficially own 20.0% of the then-issued and outstanding shares of our common stock (assuming they do not purchase any units in this offering). Neither our sponsor nor any of our officers or directors have expressed an intention to purchase any units in this offering. If we</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2" w:name="page123"/>
    <w:bookmarkEnd w:id="12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color w:val="auto"/>
        </w:rPr>
        <w:t>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20.0% of the issued and outstanding shares of our common stock upon the consummation of this offering. Because of this ownership block, our initial stockholders may be able to effectively influence the outcome of all matters requiring approval by our stockholders, including the election of directors, amendments to our amended and restated certificate of incorporation and approval of significant corporate transactions, including approval of our initial business combination.</w:t>
      </w:r>
    </w:p>
    <w:p>
      <w:pPr>
        <w:spacing w:after="0" w:line="111"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The holders of the founder shares have agreed (A) to vote any shares owned by them in favor of any proposed initial business combination and (B) not to redeem any shares in connection with a stockholder vote to approve a proposed initial business combination.</w:t>
      </w:r>
    </w:p>
    <w:p>
      <w:pPr>
        <w:spacing w:after="0" w:line="116"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Our sponsor, executive officers, directors and advisors are deemed to be our “promoters” as such term is defined under the federal securities 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Transfers of Founder Shares and Private Placement Warrants</w:t>
      </w:r>
    </w:p>
    <w:p>
      <w:pPr>
        <w:spacing w:after="0" w:line="148"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6"/>
          <w:szCs w:val="16"/>
          <w:color w:val="auto"/>
        </w:rPr>
        <w:t>The founder shares, private placement warrants and any shares of Class A common stock issued upon conversion or exercise thereof are each subject to transfer restrictions pursuant to lock-up provisions in a letter agreement with us to be entered into by our sponsor, officers and directors. Those lock-up provisions provide that such securities are not transferable or salable (i) in the case of the founder shares, until the earlier of</w:t>
      </w:r>
    </w:p>
    <w:p>
      <w:pPr>
        <w:spacing w:after="0" w:line="1" w:lineRule="exact"/>
        <w:rPr>
          <w:sz w:val="20"/>
          <w:szCs w:val="20"/>
          <w:color w:val="auto"/>
        </w:rPr>
      </w:pPr>
    </w:p>
    <w:p>
      <w:pPr>
        <w:ind w:left="460" w:right="459" w:hanging="6"/>
        <w:spacing w:after="0" w:line="283" w:lineRule="auto"/>
        <w:tabs>
          <w:tab w:leader="none" w:pos="7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and (ii) in the case of the private placement warrants and the Class A common stock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one of the members of the individual’s immediate family or to a trust, the beneficiary of which is a member of one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(g) by virtue of the laws of Delaware or our sponsor’s limited liability company agreement upon dissolution of our sponsor; or (h) in the event of our liquidation, merger, capital stock exchange, reorganization or other similar transaction which results in all of our stockholders having the right to exchange their shares of common stock for cash, securities or other property subsequent to our completion of our initial business combination; provided, however, that in the case of clauses (a) through (g) these permitted transferees must enter into a written agreement agreeing to be bound by these transfer restrictions and the other restrictions contained in the letter agreements and by the same agreements entered into by our sponsor with respect to such securities (including provisions relating to voting, waiver of access to funds in the trust account and waiver of liquidation distributions described elsewhere in this prospectus).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2"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will have registration rights to require us to register a sale of any of our securities held by them pursuant to a registration rights agreement to be signed prior to or on the effective date of this offering.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In September 2020, our sponsor purchased 5,031,250 founder shares for an aggregate purchase price of $25,000, or approximately $0.005 per share. On December 1, 2020, our sponsor transferred 25,000 founder shares to each of Messrs. Jones, Schofield and Eggen, and Ms. Robinson, our independent director nominees. The number of founder shares issued was determined based on the expectation that such founder shares would represent 20% of the outstanding shares upon completion of this offering.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20.0% of the issued and outstanding shares of our common stock upon the consummation of this offering. Up to 656,250 founder shares are subject to forfeiture by our sponsor depending on the extent to which the underwriters’ over-allotment option is exercised. The founder shares (including the Class A common stock issuable upon exercise thereof) may not, subject to certain limited exceptions, be transferred, assigned or sold by the holder.</w:t>
      </w:r>
    </w:p>
    <w:p>
      <w:pPr>
        <w:spacing w:after="0" w:line="100"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Our sponsor has committed, pursuant to a written agreement, to purchase an aggregate of 6,250,000 private placement warrants (or 6,775,000 private placement warrants if the underwriters’ over-allotment option is exercised in full) for a purchase price of $1.00 per warrant in a private placement that will occur simultaneously with the closing of this offering. As such, our sponsor’s interest in this transaction is valued at $6,250,000 (or $6,775,000 if the underwriters’ over-allotment option is exercised in full), depending on the number of private placement warrants purchased. Each private placement warrant entitles the holder thereof to purchase one share of our Class A common stock at a price of $11.50 per share. The private placement warrants (including the Class A common stock issuable upon exercise thereof) may not, subject to certain limited exceptions, be transferred, assigned or sold by the holder until 30 days after the completion of our initial business combination.</w:t>
      </w:r>
    </w:p>
    <w:p>
      <w:pPr>
        <w:spacing w:after="0" w:line="127"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if any of our officers or directors becomes aware of an initial business combination opportunity that falls within the line of business of any entity to which he or she has then-current fiduciary or contractual obligations, he or she will honor his or her fiduciary or contractual obligations to present such business combination opportunity to such other entity, including PTAC, if its initial business combination with Porch.com is not consummated, and PTIC. Our officers and directors currently have certain relevant fiduciary duties or contractual obligations that may take priority over their duties to us.</w:t>
      </w:r>
    </w:p>
    <w:p>
      <w:pPr>
        <w:spacing w:after="0" w:line="69" w:lineRule="exact"/>
        <w:rPr>
          <w:sz w:val="20"/>
          <w:szCs w:val="20"/>
          <w:color w:val="auto"/>
        </w:rPr>
      </w:pPr>
    </w:p>
    <w:p>
      <w:pPr>
        <w:ind w:left="460" w:right="839" w:firstLine="432"/>
        <w:spacing w:after="0" w:line="311" w:lineRule="auto"/>
        <w:rPr>
          <w:sz w:val="20"/>
          <w:szCs w:val="20"/>
          <w:color w:val="auto"/>
        </w:rPr>
      </w:pPr>
      <w:r>
        <w:rPr>
          <w:rFonts w:ascii="Arial" w:cs="Arial" w:eastAsia="Arial" w:hAnsi="Arial"/>
          <w:sz w:val="16"/>
          <w:szCs w:val="16"/>
          <w:color w:val="auto"/>
        </w:rPr>
        <w:t>Commencing on the date of this prospectus, we have agreed to pay our sponsor a total of $10,000 per month for office space, utilities and secretarial and administrative support. Upon completion of our initial business combination or our liquidation, we will cease paying these monthly fees.</w:t>
      </w:r>
    </w:p>
    <w:p>
      <w:pPr>
        <w:spacing w:after="0" w:line="41"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Other than the foregoing, no compensation of any kind, including any finder’s fee, reimbursement, consulting fee or monies in respect of any payment of a loan, will be paid by us to our sponsor, officers and directors, or any affiliate of our sponsor or officers,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We do not have a policy that prohibits our sponsor, executive officers or directors, or any of their respective affiliates, from negotiating for the reimbursement of out-of-pocket expenses by a target business.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60" w:lineRule="exact"/>
        <w:rPr>
          <w:sz w:val="20"/>
          <w:szCs w:val="20"/>
          <w:color w:val="auto"/>
        </w:rPr>
      </w:pPr>
    </w:p>
    <w:p>
      <w:pPr>
        <w:ind w:left="460" w:right="619" w:firstLine="432"/>
        <w:spacing w:after="0" w:line="271" w:lineRule="auto"/>
        <w:rPr>
          <w:sz w:val="20"/>
          <w:szCs w:val="20"/>
          <w:color w:val="auto"/>
        </w:rPr>
      </w:pPr>
      <w:r>
        <w:rPr>
          <w:rFonts w:ascii="Arial" w:cs="Arial" w:eastAsia="Arial" w:hAnsi="Arial"/>
          <w:sz w:val="17"/>
          <w:szCs w:val="17"/>
          <w:color w:val="auto"/>
        </w:rPr>
        <w:t>Prior to the closing of this offering, our sponsor has agreed to loan us up to $300,000 to be used for a portion of the expenses of this offering. To date, we had borrowed approximately $150,000 (of up to $300,000 available to us) under the promissory note with our sponsor to be used for a portion of the expenses of this offering. These loans are non-interest bearing, unsecured and are due at the earlier of March 31, 2021 or the closing of this offering. The loan will be repaid upon the closing of this offering out of the estimated $950,000 of offering proceeds that has been allocated to the payment of offering expenses (other than underwriting commissions). The value of our sponsor’s interest in this transaction corresponds to the principal amount outstanding under any such loan.</w:t>
      </w:r>
    </w:p>
    <w:p>
      <w:pPr>
        <w:spacing w:after="0" w:line="70"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on a non-interest bearing basis as may be required. If we complete an initial business combination, we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4" w:name="page125"/>
    <w:bookmarkEnd w:id="12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left="460" w:right="539"/>
        <w:spacing w:after="0" w:line="271" w:lineRule="auto"/>
        <w:rPr>
          <w:sz w:val="20"/>
          <w:szCs w:val="20"/>
          <w:color w:val="auto"/>
        </w:rPr>
      </w:pPr>
      <w:r>
        <w:rPr>
          <w:rFonts w:ascii="Arial" w:cs="Arial" w:eastAsia="Arial" w:hAnsi="Arial"/>
          <w:sz w:val="17"/>
          <w:szCs w:val="17"/>
          <w:color w:val="auto"/>
        </w:rPr>
        <w:t>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97" w:lineRule="exact"/>
        <w:rPr>
          <w:sz w:val="20"/>
          <w:szCs w:val="20"/>
          <w:color w:val="auto"/>
        </w:rPr>
      </w:pPr>
    </w:p>
    <w:p>
      <w:pPr>
        <w:ind w:left="460" w:right="639" w:firstLine="432"/>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10"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0" w:lineRule="exact"/>
        <w:rPr>
          <w:sz w:val="20"/>
          <w:szCs w:val="20"/>
          <w:color w:val="auto"/>
        </w:rPr>
      </w:pPr>
    </w:p>
    <w:p>
      <w:pPr>
        <w:ind w:left="460" w:right="499" w:firstLine="432"/>
        <w:spacing w:after="0" w:line="279" w:lineRule="auto"/>
        <w:rPr>
          <w:sz w:val="20"/>
          <w:szCs w:val="20"/>
          <w:color w:val="auto"/>
        </w:rPr>
      </w:pPr>
      <w:r>
        <w:rPr>
          <w:rFonts w:ascii="Arial" w:cs="Arial" w:eastAsia="Arial" w:hAnsi="Arial"/>
          <w:sz w:val="17"/>
          <w:szCs w:val="17"/>
          <w:color w:val="auto"/>
        </w:rPr>
        <w:t>We will enter into a registration rights agreement with respect to the private placement warrants, the warrants issuable upon conversion of working capital loans (if any) and the shares of Class A common stock issuable upon exercise of the foregoing and upon conversion of the founder shares, which is described under the section of this prospectus entitled “Description of Securities — Registration Rights.”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jc w:val="both"/>
        <w:ind w:left="460" w:right="1219" w:firstLine="432"/>
        <w:spacing w:after="0" w:line="263"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16"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127"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04" w:lineRule="exact"/>
        <w:rPr>
          <w:sz w:val="20"/>
          <w:szCs w:val="20"/>
          <w:color w:val="auto"/>
        </w:rPr>
      </w:pPr>
    </w:p>
    <w:p>
      <w:pPr>
        <w:jc w:val="both"/>
        <w:ind w:left="460" w:right="1059" w:firstLine="432"/>
        <w:spacing w:after="0" w:line="342" w:lineRule="auto"/>
        <w:rPr>
          <w:sz w:val="20"/>
          <w:szCs w:val="20"/>
          <w:color w:val="auto"/>
        </w:rPr>
      </w:pPr>
      <w:r>
        <w:rPr>
          <w:rFonts w:ascii="Arial" w:cs="Arial" w:eastAsia="Arial" w:hAnsi="Arial"/>
          <w:sz w:val="16"/>
          <w:szCs w:val="16"/>
          <w:color w:val="auto"/>
        </w:rPr>
        <w:t>These procedures are intended to determine whether any such related party transaction impairs the independence of a director or presents a conflict of interest on the part of a director, employee or officer.</w:t>
      </w:r>
    </w:p>
    <w:p>
      <w:pPr>
        <w:spacing w:after="0" w:line="5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independent investment banking firm or from another independent entity that commonly renders valuation opinions that our initial business combination is fair to our company from a financial point of view. Furthermore, no finder’s fees, reimbursements, consulting fee, monies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5" w:name="page126"/>
    <w:bookmarkEnd w:id="12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93" w:lineRule="auto"/>
        <w:rPr>
          <w:sz w:val="20"/>
          <w:szCs w:val="20"/>
          <w:color w:val="auto"/>
        </w:rPr>
      </w:pPr>
      <w:r>
        <w:rPr>
          <w:rFonts w:ascii="Arial" w:cs="Arial" w:eastAsia="Arial" w:hAnsi="Arial"/>
          <w:sz w:val="16"/>
          <w:szCs w:val="16"/>
          <w:color w:val="auto"/>
        </w:rPr>
        <w:t>in respect of any payment of a loan or other compensation will be paid by us to our sponsor, officers, directors or advisors, or any of their respective affiliates, for services rendered to us prior to, or in connection with any services rendered in order to effectuate, the consummation of our initial business combination (regardless of the type of transaction that it is). However, the following payments will be made to our sponsor, officers, directors or advisors, or our or their affiliates, none of which will be made from the proceeds of this offering held in the trust account prior to the completion of our initial business combination:</w:t>
      </w:r>
    </w:p>
    <w:p>
      <w:pPr>
        <w:spacing w:after="0" w:line="97" w:lineRule="exact"/>
        <w:rPr>
          <w:sz w:val="20"/>
          <w:szCs w:val="20"/>
          <w:color w:val="auto"/>
        </w:rPr>
      </w:pPr>
    </w:p>
    <w:p>
      <w:pPr>
        <w:ind w:left="1320" w:right="559" w:hanging="434"/>
        <w:spacing w:after="0" w:line="277" w:lineRule="auto"/>
        <w:tabs>
          <w:tab w:leader="none" w:pos="13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Repayment of up to an aggregate of $300,000 in loans made to us by our sponsor to cover offering-related and organizational expenses;</w:t>
      </w:r>
    </w:p>
    <w:p>
      <w:pPr>
        <w:spacing w:after="0" w:line="102" w:lineRule="exact"/>
        <w:rPr>
          <w:rFonts w:ascii="Arial" w:cs="Arial" w:eastAsia="Arial" w:hAnsi="Arial"/>
          <w:sz w:val="18"/>
          <w:szCs w:val="18"/>
          <w:color w:val="auto"/>
        </w:rPr>
      </w:pPr>
    </w:p>
    <w:p>
      <w:pPr>
        <w:ind w:left="1320" w:right="759" w:hanging="434"/>
        <w:spacing w:after="0" w:line="277" w:lineRule="auto"/>
        <w:tabs>
          <w:tab w:leader="none" w:pos="13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to our sponsor of $10,000 per month, for up to 24 months, for office space, utilities and secretarial and administrative support;</w:t>
      </w:r>
    </w:p>
    <w:p>
      <w:pPr>
        <w:spacing w:after="0" w:line="89"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02" w:lineRule="exact"/>
        <w:rPr>
          <w:rFonts w:ascii="Arial" w:cs="Arial" w:eastAsia="Arial" w:hAnsi="Arial"/>
          <w:sz w:val="18"/>
          <w:szCs w:val="18"/>
          <w:color w:val="auto"/>
        </w:rPr>
      </w:pPr>
    </w:p>
    <w:p>
      <w:pPr>
        <w:ind w:left="1320" w:right="679" w:hanging="434"/>
        <w:spacing w:after="0" w:line="279" w:lineRule="auto"/>
        <w:tabs>
          <w:tab w:leader="none" w:pos="1311"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Repayment of non-interest bearing loans which may be made by our sponsor or an affiliate of our sponsor or certain of our officers and directors to finance transaction costs in connection with an intended initial business combination. Up to $1,500,000 of such loans may be convertible into warrants, at a price of $1.00 per warrant at the option of the lender.</w:t>
      </w:r>
    </w:p>
    <w:p>
      <w:pPr>
        <w:spacing w:after="0" w:line="104"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directors, or advisors, or our or their affiliates.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Pursuant to our amended and restated certificate of incorporation, our authorized capital stock consists of 100,000,000 shares of Class A common stock, $0.0001 par value, 10,000,000 shares of Class B common stock, $0.0001 par value, and 1,000,000 shares of undesignated preferred stock, $0.0001 par value. The following description summarizes the material terms of our capital stock. Because it is only a summary, it may not contain all the information that is important to you.</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Each unit has an offering price of $10.00 and consists of one whole share of Class A common stock and one-half of one redeemable warrant. Each whole warrant entitles the holder thereof to purchase one share of our Class A common stock at a price of $11.50 per share, subject to adjustment as described in this prospectus. Pursuant to the warrant agreement, a warrantholder may exercise its warrants only for a whole number of shares of Class A common stock. This means that only a whole warrant may be exercised at any given time by a warrantholder. No fractional warrants will be issued upon separation of the units and only whole warrants will trade. Accordingly, unless you purchase at least two units, you will not be able to receive or trade a whole warrant.</w:t>
      </w:r>
    </w:p>
    <w:p>
      <w:pPr>
        <w:spacing w:after="0" w:line="124" w:lineRule="exact"/>
        <w:rPr>
          <w:sz w:val="20"/>
          <w:szCs w:val="20"/>
          <w:color w:val="auto"/>
        </w:rPr>
      </w:pPr>
    </w:p>
    <w:p>
      <w:pPr>
        <w:ind w:left="460" w:right="479" w:firstLine="432"/>
        <w:spacing w:after="0" w:line="250" w:lineRule="auto"/>
        <w:rPr>
          <w:sz w:val="20"/>
          <w:szCs w:val="20"/>
          <w:color w:val="auto"/>
        </w:rPr>
      </w:pPr>
      <w:r>
        <w:rPr>
          <w:rFonts w:ascii="Arial" w:cs="Arial" w:eastAsia="Arial" w:hAnsi="Arial"/>
          <w:sz w:val="18"/>
          <w:szCs w:val="18"/>
          <w:color w:val="auto"/>
        </w:rPr>
        <w:t>We expect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Cantor, the representative of the underwriters,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14"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Upon the closing of this offering, 21,875,000 shares of our common stock will be outstanding (assuming no exercise of the underwriters’ over-allotment option and the corresponding forfeiture of 656,250 founder shares by our sponsor), consisting of:</w:t>
      </w:r>
    </w:p>
    <w:p>
      <w:pPr>
        <w:spacing w:after="0" w:line="116" w:lineRule="exact"/>
        <w:rPr>
          <w:sz w:val="20"/>
          <w:szCs w:val="20"/>
          <w:color w:val="auto"/>
        </w:rPr>
      </w:pPr>
    </w:p>
    <w:p>
      <w:pPr>
        <w:ind w:left="1320" w:right="579" w:hanging="434"/>
        <w:spacing w:after="0" w:line="277" w:lineRule="auto"/>
        <w:tabs>
          <w:tab w:leader="none" w:pos="13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17,500,000 shares of our Class A common stock underlying the units being offered in this offering;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4,375,000 shares of Class B common stock held by our initial stockholders.</w:t>
      </w:r>
    </w:p>
    <w:p>
      <w:pPr>
        <w:spacing w:after="0" w:line="158"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20.0% of the issued and outstanding shares of our common stock upon the consummation of this offering.</w:t>
      </w:r>
    </w:p>
    <w:p>
      <w:pPr>
        <w:spacing w:after="0" w:line="120"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7" w:name="page128"/>
    <w:bookmarkEnd w:id="12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Because our amended and restated certificate of incorporation authorizes the issuance of up to 100,000,000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25"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27"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$10.00 per public share. The per-share amount we will distribute to investors who properly redeem their shares will not be reduced by the deferred underwriting commissions we will pay to Cantor.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306"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99"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69" w:lineRule="auto"/>
        <w:rPr>
          <w:sz w:val="20"/>
          <w:szCs w:val="20"/>
          <w:color w:val="auto"/>
        </w:rPr>
      </w:pPr>
      <w:r>
        <w:rPr>
          <w:rFonts w:ascii="Arial" w:cs="Arial" w:eastAsia="Arial" w:hAnsi="Arial"/>
          <w:sz w:val="17"/>
          <w:szCs w:val="17"/>
          <w:color w:val="auto"/>
        </w:rPr>
        <w:t>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14"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6,562,501, or 37.5%, of the 17,500,000 public shares sold in this offering to be voted in favor of an initial business combination (assuming all outstanding shares are voted; or 1,093,752, or 6.25%, assuming only the minimum number of shares representing a quorum are voted and assuming) in order to have our initial business combination approved (in each case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01"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0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The founder shares are identical to the shares of Class A common stock included in the units being sold in this offering, and holders of founder shares have the same stockholder rights as public stockholders, except that</w:t>
      </w:r>
    </w:p>
    <w:p>
      <w:pPr>
        <w:ind w:left="460" w:right="559" w:hanging="6"/>
        <w:spacing w:after="0" w:line="281" w:lineRule="auto"/>
        <w:tabs>
          <w:tab w:leader="none" w:pos="6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founder shares are subject to certain transfer restrictions, as described in more detail below, (ii) our sponsor, officers and directors have entered into a letter agreement with us, pursuant to which they have agreed</w:t>
      </w:r>
    </w:p>
    <w:p>
      <w:pPr>
        <w:spacing w:after="0" w:line="1" w:lineRule="exact"/>
        <w:rPr>
          <w:rFonts w:ascii="Arial" w:cs="Arial" w:eastAsia="Arial" w:hAnsi="Arial"/>
          <w:sz w:val="16"/>
          <w:szCs w:val="16"/>
          <w:color w:val="auto"/>
        </w:rPr>
      </w:pPr>
    </w:p>
    <w:p>
      <w:pPr>
        <w:ind w:left="460" w:right="679"/>
        <w:spacing w:after="0" w:line="253" w:lineRule="auto"/>
        <w:rPr>
          <w:rFonts w:ascii="Arial" w:cs="Arial" w:eastAsia="Arial" w:hAnsi="Arial"/>
          <w:sz w:val="16"/>
          <w:szCs w:val="16"/>
          <w:color w:val="auto"/>
        </w:rPr>
      </w:pPr>
      <w:r>
        <w:rPr>
          <w:rFonts w:ascii="Arial" w:cs="Arial" w:eastAsia="Arial" w:hAnsi="Arial"/>
          <w:sz w:val="18"/>
          <w:szCs w:val="18"/>
          <w:color w:val="auto"/>
        </w:rPr>
        <w:t>(A)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9" w:name="page130"/>
    <w:bookmarkEnd w:id="12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86" w:lineRule="auto"/>
        <w:rPr>
          <w:sz w:val="20"/>
          <w:szCs w:val="20"/>
          <w:color w:val="auto"/>
        </w:rPr>
      </w:pPr>
      <w:r>
        <w:rPr>
          <w:rFonts w:ascii="Arial" w:cs="Arial" w:eastAsia="Arial" w:hAnsi="Arial"/>
          <w:sz w:val="16"/>
          <w:szCs w:val="16"/>
          <w:color w:val="auto"/>
        </w:rPr>
        <w:t>and restated certificate of incorporation (x) to modify the substance or timing of our obligation to allow redemption rights in connection with any proposed initial business combination or to redeem 100% of our public shares if we do not complete our initial business combination within 24 months from the closing of this offering or certain amendments to our charter prior thereto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100"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completion of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and any private placement-equivalent warrants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 (iii) 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318"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amended and restated certificate of incorporation will provide that shares of preferred stock may be issued from time to time in one or more series. Our board of directors will be authorized to fix the voting rights, if any, designations, powers, preferences, the relative, participating, optional or other special rights and any qualifications,</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0" w:name="page131"/>
    <w:bookmarkEnd w:id="13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1" w:lineRule="auto"/>
        <w:rPr>
          <w:sz w:val="20"/>
          <w:szCs w:val="20"/>
          <w:color w:val="auto"/>
        </w:rPr>
      </w:pPr>
      <w:r>
        <w:rPr>
          <w:rFonts w:ascii="Arial" w:cs="Arial" w:eastAsia="Arial" w:hAnsi="Arial"/>
          <w:sz w:val="17"/>
          <w:szCs w:val="17"/>
          <w:color w:val="auto"/>
        </w:rPr>
        <w:t>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Redeemable Warrants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58" w:lineRule="exact"/>
        <w:rPr>
          <w:sz w:val="20"/>
          <w:szCs w:val="20"/>
          <w:color w:val="auto"/>
        </w:rPr>
      </w:pPr>
    </w:p>
    <w:p>
      <w:pPr>
        <w:ind w:left="460" w:right="459" w:firstLine="432"/>
        <w:spacing w:after="0" w:line="289" w:lineRule="auto"/>
        <w:rPr>
          <w:sz w:val="20"/>
          <w:szCs w:val="20"/>
          <w:color w:val="auto"/>
        </w:rPr>
      </w:pPr>
      <w:r>
        <w:rPr>
          <w:rFonts w:ascii="Arial" w:cs="Arial" w:eastAsia="Arial" w:hAnsi="Arial"/>
          <w:sz w:val="16"/>
          <w:szCs w:val="16"/>
          <w:color w:val="auto"/>
        </w:rPr>
        <w:t>Each whole warrant entitles the registered holder to purchase one whole share of our Class A common stock at a price of $11.50 per share, subject to adjustment as discussed below, at any time commencing on the later of 12 months from the closing of this offering or 30 days after the completion of our initial business combination. Pursuant to the warrant agreement, a warrantholder may exercise its warrants only for a whole number of shares of Class A common stock. This means that only a whole warrant may be exercised at any given time by a warrantholder.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85"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19" w:lineRule="exact"/>
        <w:rPr>
          <w:sz w:val="20"/>
          <w:szCs w:val="20"/>
          <w:color w:val="auto"/>
        </w:rPr>
      </w:pPr>
    </w:p>
    <w:p>
      <w:pPr>
        <w:ind w:left="460" w:right="539" w:firstLine="432"/>
        <w:spacing w:after="0" w:line="283" w:lineRule="auto"/>
        <w:rPr>
          <w:sz w:val="20"/>
          <w:szCs w:val="20"/>
          <w:color w:val="auto"/>
        </w:rPr>
      </w:pPr>
      <w:r>
        <w:rPr>
          <w:rFonts w:ascii="Arial" w:cs="Arial" w:eastAsia="Arial" w:hAnsi="Arial"/>
          <w:sz w:val="16"/>
          <w:szCs w:val="16"/>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business day after the closing of our initial business combination, warrantholders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44" w:lineRule="exact"/>
        <w:rPr>
          <w:sz w:val="20"/>
          <w:szCs w:val="20"/>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a price of $0.01 per warrant;</w:t>
      </w:r>
    </w:p>
    <w:p>
      <w:pPr>
        <w:sectPr>
          <w:pgSz w:w="11900" w:h="16838" w:orient="portrait"/>
          <w:cols w:equalWidth="0" w:num="1">
            <w:col w:w="9019"/>
          </w:cols>
          <w:pgMar w:left="1440" w:top="274"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1" w:name="page132"/>
    <w:bookmarkEnd w:id="13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61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warrantholder; and</w:t>
      </w:r>
    </w:p>
    <w:p>
      <w:pPr>
        <w:spacing w:after="0" w:line="102" w:lineRule="exact"/>
        <w:rPr>
          <w:rFonts w:ascii="Arial" w:cs="Arial" w:eastAsia="Arial" w:hAnsi="Arial"/>
          <w:sz w:val="18"/>
          <w:szCs w:val="18"/>
          <w:color w:val="auto"/>
        </w:rPr>
      </w:pPr>
    </w:p>
    <w:p>
      <w:pPr>
        <w:ind w:left="1320" w:right="459" w:hanging="434"/>
        <w:spacing w:after="0" w:line="25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warrantholders.</w:t>
      </w:r>
    </w:p>
    <w:p>
      <w:pPr>
        <w:spacing w:after="0" w:line="120" w:lineRule="exact"/>
        <w:rPr>
          <w:sz w:val="20"/>
          <w:szCs w:val="20"/>
          <w:color w:val="auto"/>
        </w:rPr>
      </w:pPr>
    </w:p>
    <w:p>
      <w:pPr>
        <w:ind w:left="460" w:right="699" w:firstLine="432"/>
        <w:spacing w:after="0" w:line="296" w:lineRule="auto"/>
        <w:rPr>
          <w:sz w:val="20"/>
          <w:szCs w:val="20"/>
          <w:color w:val="auto"/>
        </w:rPr>
      </w:pPr>
      <w:r>
        <w:rPr>
          <w:rFonts w:ascii="Arial" w:cs="Arial" w:eastAsia="Arial" w:hAnsi="Arial"/>
          <w:sz w:val="16"/>
          <w:szCs w:val="16"/>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this offering.</w:t>
      </w:r>
    </w:p>
    <w:p>
      <w:pPr>
        <w:spacing w:after="0" w:line="80"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27"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warrantholders would have been required to use had all warrantholders been required to exercise their warrants on a cashless basis, as described in more detail below.</w:t>
      </w:r>
    </w:p>
    <w:p>
      <w:pPr>
        <w:spacing w:after="0" w:line="112" w:lineRule="exact"/>
        <w:rPr>
          <w:sz w:val="20"/>
          <w:szCs w:val="20"/>
          <w:color w:val="auto"/>
        </w:rPr>
      </w:pPr>
    </w:p>
    <w:p>
      <w:pPr>
        <w:ind w:left="460" w:right="719" w:firstLine="432"/>
        <w:spacing w:after="0" w:line="296" w:lineRule="auto"/>
        <w:rPr>
          <w:sz w:val="20"/>
          <w:szCs w:val="20"/>
          <w:color w:val="auto"/>
        </w:rPr>
      </w:pPr>
      <w:r>
        <w:rPr>
          <w:rFonts w:ascii="Arial" w:cs="Arial" w:eastAsia="Arial" w:hAnsi="Arial"/>
          <w:sz w:val="16"/>
          <w:szCs w:val="16"/>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outstanding immediately after giving effect to such exercise.</w:t>
      </w:r>
    </w:p>
    <w:p>
      <w:pPr>
        <w:spacing w:after="0" w:line="80"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(1) minus the quotient of (x) the price per share of Class A common stock paid in such rights offering divided by (y) the fair market value. For</w:t>
      </w:r>
    </w:p>
    <w:p>
      <w:pPr>
        <w:sectPr>
          <w:pgSz w:w="11900" w:h="16838" w:orient="portrait"/>
          <w:cols w:equalWidth="0" w:num="1">
            <w:col w:w="9019"/>
          </w:cols>
          <w:pgMar w:left="1440" w:top="274" w:right="1440"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2" w:name="page133"/>
    <w:bookmarkEnd w:id="13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99"/>
        <w:spacing w:after="0" w:line="254" w:lineRule="auto"/>
        <w:rPr>
          <w:sz w:val="20"/>
          <w:szCs w:val="20"/>
          <w:color w:val="auto"/>
        </w:rPr>
      </w:pPr>
      <w:r>
        <w:rPr>
          <w:rFonts w:ascii="Arial" w:cs="Arial" w:eastAsia="Arial" w:hAnsi="Arial"/>
          <w:sz w:val="18"/>
          <w:szCs w:val="18"/>
          <w:color w:val="auto"/>
        </w:rPr>
        <w:t>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27"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(i) to modify the substance or timing of our obligation to redeem 100% of our Class A common stock if we do not complete our initial business combination within 24 months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06"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95"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25" w:lineRule="exact"/>
        <w:rPr>
          <w:sz w:val="20"/>
          <w:szCs w:val="20"/>
          <w:color w:val="auto"/>
        </w:rPr>
      </w:pPr>
    </w:p>
    <w:p>
      <w:pPr>
        <w:ind w:left="460" w:right="519" w:firstLine="432"/>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3" w:name="page134"/>
    <w:bookmarkEnd w:id="13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79"/>
        <w:spacing w:after="0" w:line="259" w:lineRule="auto"/>
        <w:rPr>
          <w:sz w:val="20"/>
          <w:szCs w:val="20"/>
          <w:color w:val="auto"/>
        </w:rPr>
      </w:pPr>
      <w:r>
        <w:rPr>
          <w:rFonts w:ascii="Arial" w:cs="Arial" w:eastAsia="Arial" w:hAnsi="Arial"/>
          <w:sz w:val="18"/>
          <w:szCs w:val="18"/>
          <w:color w:val="auto"/>
        </w:rPr>
        <w:t>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19" w:lineRule="exact"/>
        <w:rPr>
          <w:sz w:val="20"/>
          <w:szCs w:val="20"/>
          <w:color w:val="auto"/>
        </w:rPr>
      </w:pPr>
    </w:p>
    <w:p>
      <w:pPr>
        <w:ind w:left="460" w:right="659" w:firstLine="432"/>
        <w:spacing w:after="0" w:line="289"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mistake, including to conform the provisions of the warrant agreement to the description of the terms of the warrants and the warrant agreement set forth in this prospectus, or to correct any defective provision, but requires the approval by the holders of at least a majority of the then outstanding public warrants to make any change that adversely affects the interests of the registered holders of public warrants.</w:t>
      </w:r>
    </w:p>
    <w:p>
      <w:pPr>
        <w:spacing w:after="0" w:line="99"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w:t>
      </w:r>
    </w:p>
    <w:p>
      <w:pPr>
        <w:spacing w:after="0" w:line="9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warrantholder.</w:t>
      </w:r>
    </w:p>
    <w:p>
      <w:pPr>
        <w:spacing w:after="0" w:line="114" w:lineRule="exact"/>
        <w:rPr>
          <w:sz w:val="20"/>
          <w:szCs w:val="20"/>
          <w:color w:val="auto"/>
        </w:rPr>
      </w:pPr>
    </w:p>
    <w:p>
      <w:pPr>
        <w:ind w:left="460" w:right="499" w:firstLine="432"/>
        <w:spacing w:after="0" w:line="274"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w:t>
      </w:r>
    </w:p>
    <w:p>
      <w:pPr>
        <w:ind w:left="460" w:right="479"/>
        <w:spacing w:after="0" w:line="287" w:lineRule="auto"/>
        <w:rPr>
          <w:sz w:val="20"/>
          <w:szCs w:val="20"/>
          <w:color w:val="auto"/>
        </w:rPr>
      </w:pPr>
      <w:r>
        <w:rPr>
          <w:rFonts w:ascii="Arial" w:cs="Arial" w:eastAsia="Arial" w:hAnsi="Arial"/>
          <w:sz w:val="16"/>
          <w:szCs w:val="16"/>
          <w:color w:val="auto"/>
        </w:rPr>
        <w:t>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the section of this prospectus entitled “Principal Stockholders — Restrictions on Transfers of Founder Shares and Private Placement Warrants,” to our officers and directors and other persons or entities affiliated with our sponsor) and they will not be redeemable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4" w:name="page135"/>
    <w:bookmarkEnd w:id="13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2" w:lineRule="auto"/>
        <w:rPr>
          <w:sz w:val="20"/>
          <w:szCs w:val="20"/>
          <w:color w:val="auto"/>
        </w:rPr>
      </w:pPr>
      <w:r>
        <w:rPr>
          <w:rFonts w:ascii="Arial" w:cs="Arial" w:eastAsia="Arial" w:hAnsi="Arial"/>
          <w:sz w:val="17"/>
          <w:szCs w:val="17"/>
          <w:color w:val="auto"/>
        </w:rPr>
        <w:t>by us so long as they are held by our sponsor or its permitted transferees. Our sponsor, or its permitted transferees, has the option to exercise the private placement warrants on a cashless basis. Except as described below, the private placement warrants have terms and provisions that are identical to those of the warrants being sold as part of the units in this offering,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warrants included in the units being sold in this offering.</w:t>
      </w:r>
    </w:p>
    <w:p>
      <w:pPr>
        <w:spacing w:after="0" w:line="110" w:lineRule="exact"/>
        <w:rPr>
          <w:sz w:val="20"/>
          <w:szCs w:val="20"/>
          <w:color w:val="auto"/>
        </w:rPr>
      </w:pPr>
    </w:p>
    <w:p>
      <w:pPr>
        <w:ind w:left="460" w:right="519" w:firstLine="432"/>
        <w:spacing w:after="0" w:line="267"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24" w:lineRule="exact"/>
        <w:rPr>
          <w:sz w:val="20"/>
          <w:szCs w:val="20"/>
          <w:color w:val="auto"/>
        </w:rPr>
      </w:pPr>
    </w:p>
    <w:p>
      <w:pPr>
        <w:ind w:left="460" w:right="619" w:firstLine="432"/>
        <w:spacing w:after="0" w:line="272" w:lineRule="auto"/>
        <w:rPr>
          <w:sz w:val="20"/>
          <w:szCs w:val="20"/>
          <w:color w:val="auto"/>
        </w:rPr>
      </w:pPr>
      <w:r>
        <w:rPr>
          <w:rFonts w:ascii="Arial" w:cs="Arial" w:eastAsia="Arial" w:hAnsi="Arial"/>
          <w:sz w:val="17"/>
          <w:szCs w:val="17"/>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at a price of $1.00 per warrant at the option of the lender. Such warrants would be identical to the private placement warrants, including as to exercise price, exercisability and exercise period. The terms of such working capital loans by our sponsor or its affiliates, or our officers and directors, if any, have not been determined and no written agreements exist with respect to such loans.</w:t>
      </w:r>
    </w:p>
    <w:p>
      <w:pPr>
        <w:spacing w:after="0" w:line="96"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Our sponsor has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the section of this prospectus entitled “Principal Stockholders — Restrictions on Transfers of Founder Shares and Private Placement Warrants” made to our officers and directors and other persons or entities affiliated with our sponsor.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increase or decrease the size of the offering we will effect a stock dividend or a share contribution back to capital or other appropriate mechanism, as applicable, with respect to our Class B common stock immediately prior to the consummation of the offering in such amount as to maintain the ownership of our initial stockholders at 20.0% of the issued and outstanding shares of our common stock upon the consummation of this offering. Further, if we incur any indebtedness, our ability to declare dividends may be limited by restrictive covenants we may agree to in connection therewith.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5" w:name="page136"/>
    <w:bookmarkEnd w:id="13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48"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62"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99" w:lineRule="exact"/>
        <w:rPr>
          <w:sz w:val="20"/>
          <w:szCs w:val="20"/>
          <w:color w:val="auto"/>
        </w:rPr>
      </w:pPr>
    </w:p>
    <w:p>
      <w:pPr>
        <w:ind w:left="1320" w:right="539" w:hanging="434"/>
        <w:spacing w:after="0" w:line="268" w:lineRule="auto"/>
        <w:tabs>
          <w:tab w:leader="none" w:pos="1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05" w:lineRule="exact"/>
        <w:rPr>
          <w:rFonts w:ascii="Arial" w:cs="Arial" w:eastAsia="Arial" w:hAnsi="Arial"/>
          <w:sz w:val="17"/>
          <w:szCs w:val="17"/>
          <w:color w:val="auto"/>
        </w:rPr>
      </w:pPr>
    </w:p>
    <w:p>
      <w:pPr>
        <w:ind w:left="1320" w:right="519" w:hanging="434"/>
        <w:spacing w:after="0" w:line="263"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16" w:lineRule="exact"/>
        <w:rPr>
          <w:rFonts w:ascii="Arial" w:cs="Arial" w:eastAsia="Arial" w:hAnsi="Arial"/>
          <w:sz w:val="18"/>
          <w:szCs w:val="18"/>
          <w:color w:val="auto"/>
        </w:rPr>
      </w:pPr>
    </w:p>
    <w:p>
      <w:pPr>
        <w:ind w:left="1320" w:right="519" w:hanging="434"/>
        <w:spacing w:after="0" w:line="273" w:lineRule="auto"/>
        <w:tabs>
          <w:tab w:leader="none" w:pos="1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our advisors or our officers, we are not prohibited from doing so. In the event we enter into such a transaction, we, or a committee of independent directors, will obtain an opinion from an independent investment banking firm or from another independent entity that commonly renders valuation opinions that such an initial business combination is fair to our company from a financial point of view;</w:t>
      </w:r>
    </w:p>
    <w:p>
      <w:pPr>
        <w:spacing w:after="0" w:line="110" w:lineRule="exact"/>
        <w:rPr>
          <w:rFonts w:ascii="Arial" w:cs="Arial" w:eastAsia="Arial" w:hAnsi="Arial"/>
          <w:sz w:val="17"/>
          <w:szCs w:val="17"/>
          <w:color w:val="auto"/>
        </w:rPr>
      </w:pPr>
    </w:p>
    <w:p>
      <w:pPr>
        <w:ind w:left="1320" w:right="579" w:hanging="434"/>
        <w:spacing w:after="0" w:line="270" w:lineRule="auto"/>
        <w:tabs>
          <w:tab w:leader="none" w:pos="1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99" w:lineRule="exact"/>
        <w:rPr>
          <w:rFonts w:ascii="Arial" w:cs="Arial" w:eastAsia="Arial" w:hAnsi="Arial"/>
          <w:sz w:val="17"/>
          <w:szCs w:val="17"/>
          <w:color w:val="auto"/>
        </w:rPr>
      </w:pPr>
    </w:p>
    <w:p>
      <w:pPr>
        <w:ind w:left="1320" w:right="479" w:hanging="434"/>
        <w:spacing w:after="0" w:line="275" w:lineRule="auto"/>
        <w:tabs>
          <w:tab w:leader="none" w:pos="1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our stockholders approve an amendment to our amended and restated certificate of incorporation</w:t>
      </w:r>
    </w:p>
    <w:p>
      <w:pPr>
        <w:spacing w:after="0" w:line="46" w:lineRule="exact"/>
        <w:rPr>
          <w:rFonts w:ascii="Arial" w:cs="Arial" w:eastAsia="Arial" w:hAnsi="Arial"/>
          <w:sz w:val="16"/>
          <w:szCs w:val="16"/>
          <w:color w:val="auto"/>
        </w:rPr>
      </w:pPr>
    </w:p>
    <w:p>
      <w:pPr>
        <w:ind w:left="1320" w:right="479"/>
        <w:spacing w:after="0" w:line="287" w:lineRule="auto"/>
        <w:rPr>
          <w:rFonts w:ascii="Arial" w:cs="Arial" w:eastAsia="Arial" w:hAnsi="Arial"/>
          <w:sz w:val="16"/>
          <w:szCs w:val="16"/>
          <w:color w:val="auto"/>
        </w:rPr>
      </w:pPr>
      <w:r>
        <w:rPr>
          <w:rFonts w:ascii="Arial" w:cs="Arial" w:eastAsia="Arial" w:hAnsi="Arial"/>
          <w:sz w:val="16"/>
          <w:szCs w:val="16"/>
          <w:color w:val="auto"/>
        </w:rPr>
        <w:t>(i) to modify the substance or timing of our obligation to redeem 100% of our public shares if we do not complete our initial business combination within 24 months from the closing of this offering or certain amendments to our charter prior thereto or (ii) with respect to any other provision relating to stockholders’ rights or pre-business combination activity, we will provide our public stockholders with the opportunity to redeem all or a portion of their shares of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and</w:t>
      </w:r>
    </w:p>
    <w:p>
      <w:pPr>
        <w:spacing w:after="0" w:line="102"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03"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addition, our amended and restated certificate of incorporation will provide that we will only redeem our public shares so long as (after such redemption) our net tangible assets will be at least $5,000,001 either immediately prior to or upon consummation of our initial business combination and after payment of underwriters’ fees and commissions.</w:t>
      </w:r>
    </w:p>
    <w:p>
      <w:pPr>
        <w:spacing w:after="0" w:line="183" w:lineRule="exact"/>
        <w:rPr>
          <w:sz w:val="20"/>
          <w:szCs w:val="20"/>
          <w:color w:val="auto"/>
        </w:rPr>
      </w:pPr>
    </w:p>
    <w:p>
      <w:pPr>
        <w:ind w:left="460" w:right="1079"/>
        <w:spacing w:after="0" w:line="282"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85" w:lineRule="exact"/>
        <w:rPr>
          <w:sz w:val="20"/>
          <w:szCs w:val="20"/>
          <w:color w:val="auto"/>
        </w:rPr>
      </w:pPr>
    </w:p>
    <w:p>
      <w:pPr>
        <w:ind w:left="460" w:right="699" w:firstLine="432"/>
        <w:spacing w:after="0" w:line="263"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16" w:lineRule="exact"/>
        <w:rPr>
          <w:sz w:val="20"/>
          <w:szCs w:val="20"/>
          <w:color w:val="auto"/>
        </w:rPr>
      </w:pPr>
    </w:p>
    <w:p>
      <w:pPr>
        <w:ind w:left="1320" w:right="93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44" w:lineRule="exact"/>
        <w:rPr>
          <w:rFonts w:ascii="Arial" w:cs="Arial" w:eastAsia="Arial" w:hAnsi="Arial"/>
          <w:sz w:val="18"/>
          <w:szCs w:val="18"/>
          <w:color w:val="auto"/>
        </w:rPr>
      </w:pPr>
    </w:p>
    <w:p>
      <w:pPr>
        <w:ind w:left="1320" w:right="85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03"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03" w:lineRule="exact"/>
        <w:rPr>
          <w:sz w:val="20"/>
          <w:szCs w:val="20"/>
          <w:color w:val="auto"/>
        </w:rPr>
      </w:pPr>
    </w:p>
    <w:p>
      <w:pPr>
        <w:ind w:left="1320" w:right="141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89" w:lineRule="exact"/>
        <w:rPr>
          <w:rFonts w:ascii="Arial" w:cs="Arial" w:eastAsia="Arial" w:hAnsi="Arial"/>
          <w:sz w:val="18"/>
          <w:szCs w:val="18"/>
          <w:color w:val="auto"/>
        </w:rPr>
      </w:pPr>
    </w:p>
    <w:p>
      <w:pPr>
        <w:ind w:left="1320" w:right="819" w:hanging="434"/>
        <w:spacing w:after="0" w:line="311" w:lineRule="auto"/>
        <w:tabs>
          <w:tab w:leader="none" w:pos="1311" w:val="left"/>
        </w:tabs>
        <w:numPr>
          <w:ilvl w:val="0"/>
          <w:numId w:val="71"/>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81" w:lineRule="exact"/>
        <w:rPr>
          <w:rFonts w:ascii="Arial" w:cs="Arial" w:eastAsia="Arial" w:hAnsi="Arial"/>
          <w:sz w:val="16"/>
          <w:szCs w:val="16"/>
          <w:color w:val="auto"/>
        </w:rPr>
      </w:pPr>
    </w:p>
    <w:p>
      <w:pPr>
        <w:ind w:left="1320" w:right="479" w:hanging="434"/>
        <w:spacing w:after="0" w:line="259"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19" w:lineRule="exact"/>
        <w:rPr>
          <w:sz w:val="20"/>
          <w:szCs w:val="20"/>
          <w:color w:val="auto"/>
        </w:rPr>
      </w:pPr>
    </w:p>
    <w:p>
      <w:pPr>
        <w:jc w:val="both"/>
        <w:ind w:left="460" w:right="819" w:firstLine="432"/>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84" w:lineRule="exact"/>
        <w:rPr>
          <w:sz w:val="20"/>
          <w:szCs w:val="20"/>
          <w:color w:val="auto"/>
        </w:rPr>
      </w:pPr>
    </w:p>
    <w:p>
      <w:pPr>
        <w:ind w:left="460" w:right="459" w:firstLine="432"/>
        <w:spacing w:after="0" w:line="275"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7" w:name="page138"/>
    <w:bookmarkEnd w:id="13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4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Our amended and restated certificate of incorporation will require, to the fullest extent permitted by law, that derivative actions brought in our name, actions against directors, officers and employees for breach of fiduciary duty and certain other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4" w:lineRule="exact"/>
        <w:rPr>
          <w:sz w:val="20"/>
          <w:szCs w:val="20"/>
          <w:color w:val="auto"/>
        </w:rPr>
      </w:pPr>
    </w:p>
    <w:p>
      <w:pPr>
        <w:ind w:left="460" w:right="539" w:hanging="6"/>
        <w:spacing w:after="0" w:line="252" w:lineRule="auto"/>
        <w:tabs>
          <w:tab w:leader="none" w:pos="7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25" w:lineRule="exact"/>
        <w:rPr>
          <w:sz w:val="20"/>
          <w:szCs w:val="20"/>
          <w:color w:val="auto"/>
        </w:rPr>
      </w:pPr>
    </w:p>
    <w:p>
      <w:pPr>
        <w:ind w:left="460" w:right="459" w:firstLine="432"/>
        <w:spacing w:after="0" w:line="286"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nor earlier than the opening of business on the 120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8"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8"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38" w:name="page139"/>
    <w:bookmarkEnd w:id="13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99"/>
        <w:spacing w:after="0" w:line="275" w:lineRule="auto"/>
        <w:rPr>
          <w:sz w:val="20"/>
          <w:szCs w:val="20"/>
          <w:color w:val="auto"/>
        </w:rPr>
      </w:pPr>
      <w:r>
        <w:rPr>
          <w:rFonts w:ascii="Arial" w:cs="Arial" w:eastAsia="Arial" w:hAnsi="Arial"/>
          <w:sz w:val="17"/>
          <w:szCs w:val="17"/>
          <w:color w:val="auto"/>
        </w:rPr>
        <w:t>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5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6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Immediately after the consummation of this offering (assuming no exercise of the underwriters’ over-allotment option) we will have 21,875,000 (or 25,156,250 if the underwriters’ over-allotment option is exercised in full) shares of common stock outstanding. Of these shares, the 17,500,000 shares (or 20,125,000 if the underwriters’ over-allotment option is exercised in full) sold in this offering will be freely tradable without restriction or further registration under the Securities Act, except for any shares purchased by one of our affiliates within the meaning of Rule 144 under the Securities Act. All of the remaining 4,375,000 (or 5,031,250 if the underwriters’ over-allotment option is exercised in full) shares and all 6,250,000 private placement warrants (or 6,775,000 private placement warrants if the underwriters’ over-allotment option is exercised in full) are restricted securities under Rule 144, in that they were issued in private transactions not involving a public offering, and the shares of Class B common stock and private placement warrants are subject to transfer restrictions as set forth elsewhere in this prospectus. These restricted securities will be entitled to registration rights as more fully described below under “— Registration Rights.”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148"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1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20" w:right="679" w:hanging="434"/>
        <w:spacing w:after="0" w:line="263"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175,000 shares immediately after this offering (or 201,250 if the underwriters exercise their over-allotment option in full); or</w:t>
      </w:r>
    </w:p>
    <w:p>
      <w:pPr>
        <w:spacing w:after="0" w:line="102"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48"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300" w:hanging="41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89" w:lineRule="exact"/>
        <w:rPr>
          <w:rFonts w:ascii="Arial" w:cs="Arial" w:eastAsia="Arial" w:hAnsi="Arial"/>
          <w:sz w:val="18"/>
          <w:szCs w:val="18"/>
          <w:color w:val="auto"/>
        </w:rPr>
      </w:pPr>
    </w:p>
    <w:p>
      <w:pPr>
        <w:jc w:val="both"/>
        <w:ind w:left="1320" w:right="679" w:hanging="434"/>
        <w:spacing w:after="0" w:line="311" w:lineRule="auto"/>
        <w:tabs>
          <w:tab w:leader="none" w:pos="13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81" w:lineRule="exact"/>
        <w:rPr>
          <w:rFonts w:ascii="Arial" w:cs="Arial" w:eastAsia="Arial" w:hAnsi="Arial"/>
          <w:sz w:val="16"/>
          <w:szCs w:val="16"/>
          <w:color w:val="auto"/>
        </w:rPr>
      </w:pPr>
    </w:p>
    <w:p>
      <w:pPr>
        <w:ind w:left="1320" w:right="77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659" w:firstLine="432"/>
        <w:spacing w:after="0" w:line="263" w:lineRule="auto"/>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shares of Class A common stock issuable upon the exercise of the private placement warrants and warrants that may be issued upon conversion of working capital loans and upon conversion of the founder shares) will be entitled to registration rights pursuant to a registration rights agreement to be signed prior to or on the effective date of this offering, requiring us to register such securities for resale (in the case of the founder shares, only after conversion to our Class A common stock). The holders of the majority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We will bear the expenses incurred in connection with the filing of any such registration statements.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have applied to list our units, Class A common stock and warrants on Nasdaq under the symbols “VIIU,” “VII” and “VIIW,” respectively. We expect that our units will be listed on Nasdaq on or promptly after the effective date of the registration statement. Following the date the shares of our Class A common stock and warrants are eligible to trade separately, we anticipate that the shares of our Class A common stock and warrants will be listed separately and as a unit on Nasdaq. We cannot guarantee that our securities will be approved for listing on Nasdaq.</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460" w:right="539" w:firstLine="432"/>
        <w:spacing w:after="0" w:line="270" w:lineRule="auto"/>
        <w:rPr>
          <w:sz w:val="20"/>
          <w:szCs w:val="20"/>
          <w:color w:val="auto"/>
        </w:rPr>
      </w:pPr>
      <w:r>
        <w:rPr>
          <w:rFonts w:ascii="Arial" w:cs="Arial" w:eastAsia="Arial" w:hAnsi="Arial"/>
          <w:sz w:val="17"/>
          <w:szCs w:val="17"/>
          <w:color w:val="auto"/>
        </w:rPr>
        <w:t>The following discussion summarizes certain U.S. federal income tax considerations generally applicable to the acquisition, ownership and disposition of our units (each consisting of one share of our Class A common stock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share of our Class A common stock and one-half of one warrant components of the unit. As a result, the discussion below with respect to holders of shares of our Class A common stock and warrants should also apply to holders of units (as the deemed owners of the underlying share of our Class A common stock and warrants that constitute the units).</w:t>
      </w:r>
    </w:p>
    <w:p>
      <w:pPr>
        <w:spacing w:after="0" w:line="113"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This discussion is limited to certain U.S. federal income tax considerations to beneficial owners of our securities who are initial purchasers of a unit pursuant to this offering and hold the unit and each component of the unit as capital assets within the meaning of Section 1221(a) of the U.S. Internal Revenue Code of 1986, as amended (the “Code”) (generally, property held for investment). This discussion assumes that the shares of our Class A common stock and warrants will trade separately and that any distributions made (or deemed made) by us on the shares of our Class A common stock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or that is subject to special rules under the U.S. federal income tax laws, including, but not limited to:</w:t>
      </w:r>
    </w:p>
    <w:p>
      <w:pPr>
        <w:spacing w:after="0" w:line="101" w:lineRule="exact"/>
        <w:rPr>
          <w:sz w:val="20"/>
          <w:szCs w:val="20"/>
          <w:color w:val="auto"/>
        </w:rPr>
      </w:pPr>
    </w:p>
    <w:p>
      <w:pPr>
        <w:ind w:left="1320" w:right="63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sponsor, officers, directors or other holders of our Class B common stock or private placement warrants;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banks and other financial institutions or financial services entities;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S-corporations, partnerships or other flow-through entities and investors therein;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75"/>
        </w:numPr>
        <w:rPr>
          <w:rFonts w:ascii="Arial" w:cs="Arial" w:eastAsia="Arial" w:hAnsi="Arial"/>
          <w:sz w:val="16"/>
          <w:szCs w:val="16"/>
          <w:color w:val="auto"/>
        </w:rPr>
      </w:pPr>
      <w:r>
        <w:rPr>
          <w:rFonts w:ascii="Arial" w:cs="Arial" w:eastAsia="Arial" w:hAnsi="Arial"/>
          <w:sz w:val="16"/>
          <w:szCs w:val="16"/>
          <w:color w:val="auto"/>
        </w:rPr>
        <w:t>persons that acquired our securities pursuant to an exercise of employee share options, in connection with employee share incentive plans or otherwise as compensation or in connection with services;</w:t>
      </w:r>
    </w:p>
    <w:p>
      <w:pPr>
        <w:spacing w:after="0" w:line="42" w:lineRule="exact"/>
        <w:rPr>
          <w:rFonts w:ascii="Arial" w:cs="Arial" w:eastAsia="Arial" w:hAnsi="Arial"/>
          <w:sz w:val="16"/>
          <w:szCs w:val="16"/>
          <w:color w:val="auto"/>
        </w:rPr>
      </w:pPr>
    </w:p>
    <w:p>
      <w:pPr>
        <w:ind w:left="1320" w:right="619" w:hanging="434"/>
        <w:spacing w:after="0" w:line="277" w:lineRule="auto"/>
        <w:tabs>
          <w:tab w:leader="none" w:pos="13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 of the Code;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5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44"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The discussion below is based upon current provisions of the Code, applicable U.S. Treasury regulations promulgated under the Code (“Treasury Regulations”), judicial decisions and administrative rulings of the IRS, all as in effect on the date hereof, and all of which are subject to differing interpretations or change, possibly on a retroactive basis. Any such differing interpretations or change could alter the U.S. federal income tax consequences discussed below. Furthermore, this discussion does not address any aspect of U.S. federal non-income tax laws, such as gift, estate or Medicare contribution tax laws, or state, local or non-U.S. tax laws.</w:t>
      </w:r>
    </w:p>
    <w:p>
      <w:pPr>
        <w:spacing w:after="0" w:line="97" w:lineRule="exact"/>
        <w:rPr>
          <w:sz w:val="20"/>
          <w:szCs w:val="20"/>
          <w:color w:val="auto"/>
        </w:rPr>
      </w:pPr>
    </w:p>
    <w:p>
      <w:pPr>
        <w:ind w:left="460" w:right="619" w:firstLine="432"/>
        <w:spacing w:after="0" w:line="30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90"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As used herein, the term “U.S. Holder” means a beneficial owner of units, shares of our Class A common stock or warrants that is for U.S. federal income tax purposes: (i) an individual who is a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under Treasury Regulations to be treated as a United States person.</w:t>
      </w:r>
    </w:p>
    <w:p>
      <w:pPr>
        <w:spacing w:after="0" w:line="100" w:lineRule="exact"/>
        <w:rPr>
          <w:sz w:val="20"/>
          <w:szCs w:val="20"/>
          <w:color w:val="auto"/>
        </w:rPr>
      </w:pPr>
    </w:p>
    <w:p>
      <w:pPr>
        <w:ind w:left="460" w:right="519" w:firstLine="432"/>
        <w:spacing w:after="0" w:line="273" w:lineRule="auto"/>
        <w:rPr>
          <w:sz w:val="20"/>
          <w:szCs w:val="20"/>
          <w:color w:val="auto"/>
        </w:rPr>
      </w:pPr>
      <w:r>
        <w:rPr>
          <w:rFonts w:ascii="Arial" w:cs="Arial" w:eastAsia="Arial" w:hAnsi="Arial"/>
          <w:sz w:val="17"/>
          <w:szCs w:val="17"/>
          <w:color w:val="auto"/>
        </w:rPr>
        <w:t>This discussion does not consider the tax treatment of partnerships or other pass-through entities (including branches)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or a partnership holding our securities, we urge you to consult your own tax advisor.</w:t>
      </w:r>
    </w:p>
    <w:p>
      <w:pPr>
        <w:spacing w:after="0" w:line="110" w:lineRule="exact"/>
        <w:rPr>
          <w:sz w:val="20"/>
          <w:szCs w:val="20"/>
          <w:color w:val="auto"/>
        </w:rPr>
      </w:pPr>
    </w:p>
    <w:p>
      <w:pPr>
        <w:ind w:left="460" w:right="599" w:firstLine="432"/>
        <w:spacing w:after="0" w:line="273" w:lineRule="auto"/>
        <w:rPr>
          <w:sz w:val="20"/>
          <w:szCs w:val="20"/>
          <w:color w:val="auto"/>
        </w:rPr>
      </w:pPr>
      <w:r>
        <w:rPr>
          <w:rFonts w:ascii="Arial" w:cs="Arial" w:eastAsia="Arial" w:hAnsi="Arial"/>
          <w:sz w:val="17"/>
          <w:szCs w:val="17"/>
          <w:color w:val="auto"/>
        </w:rPr>
        <w:t>THIS DISCUSSION IS ONLY A SUMMARY OF CERTAIN U.S. FEDERAL INCOME TAX CONSIDERATIONS ASSOCIATED WITH THE ACQUISITION, OWNERSHIP AND DISPOSITION OF OUR UNITS. EACH PROSPECTIVE INVESTOR IN OUR UNITS IS URGED TO CONSULT ITS OWN TAX ADVISOR WITH RESPECT TO THE PARTICULAR TAX CONSEQUENCES TO SUCH INVESTOR OF THE ACQUISITION, OWNERSHIP AND DISPOSITION OF OUR UNITS, INCLUDING THE APPLICABILITY AND EFFECT OF ANY STATE, LOCAL, AND NON-UNITED STATES TAX LAWS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Personal Holding Company Status</w:t>
      </w:r>
    </w:p>
    <w:p>
      <w:pPr>
        <w:spacing w:after="0" w:line="158"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We could be subject to a second level of U.S. federal income tax on a portion of our income if we are determined to be a personal holding company (a “PHC”) for U.S. federal income tax purposes. A U.S. corporation generally will be classified as a PHC for U.S. federal income tax purposes in a given taxable year if</w:t>
      </w:r>
    </w:p>
    <w:p>
      <w:pPr>
        <w:spacing w:after="0" w:line="2" w:lineRule="exact"/>
        <w:rPr>
          <w:sz w:val="20"/>
          <w:szCs w:val="20"/>
          <w:color w:val="auto"/>
        </w:rPr>
      </w:pPr>
    </w:p>
    <w:p>
      <w:pPr>
        <w:ind w:left="460" w:right="539" w:hanging="6"/>
        <w:spacing w:after="0" w:line="269" w:lineRule="auto"/>
        <w:tabs>
          <w:tab w:leader="none" w:pos="675" w:val="left"/>
        </w:tabs>
        <w:numPr>
          <w:ilvl w:val="0"/>
          <w:numId w:val="77"/>
        </w:numPr>
        <w:rPr>
          <w:rFonts w:ascii="Arial" w:cs="Arial" w:eastAsia="Arial" w:hAnsi="Arial"/>
          <w:sz w:val="17"/>
          <w:szCs w:val="17"/>
          <w:color w:val="auto"/>
        </w:rPr>
      </w:pPr>
      <w:r>
        <w:rPr>
          <w:rFonts w:ascii="Arial" w:cs="Arial" w:eastAsia="Arial" w:hAnsi="Arial"/>
          <w:sz w:val="17"/>
          <w:szCs w:val="17"/>
          <w:color w:val="auto"/>
        </w:rPr>
        <w:t>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9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Depending on the date and size of our initial business combination, it is possible that at least 60% of our adjusted ordinary gross income may consist of PHC income as discussed above. In addition, depending on the concentration of our stock in the hands of individuals, including the members of our sponsor and certain tax-exempt organizations, pension funds and charitable trusts, it is possible that more than 50% of our stock may be owned or</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2" w:name="page143"/>
    <w:bookmarkEnd w:id="14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659"/>
        <w:spacing w:after="0" w:line="257" w:lineRule="auto"/>
        <w:rPr>
          <w:sz w:val="20"/>
          <w:szCs w:val="20"/>
          <w:color w:val="auto"/>
        </w:rPr>
      </w:pPr>
      <w:r>
        <w:rPr>
          <w:rFonts w:ascii="Arial" w:cs="Arial" w:eastAsia="Arial" w:hAnsi="Arial"/>
          <w:sz w:val="18"/>
          <w:szCs w:val="18"/>
          <w:color w:val="auto"/>
        </w:rPr>
        <w:t>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Purchase Price and Characterization of a Unit</w:t>
      </w:r>
    </w:p>
    <w:p>
      <w:pPr>
        <w:spacing w:after="0" w:line="158"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one-half of one warrant, with each whole warrant exercisable to acquire one share of our Class A common stock, and we intend to treat the acquisition of a unit in this manner. For U.S. federal income tax purposes, each holder of a unit must allocate the purchase price paid by such holder for such unit between the one share of our Class A common stock and the one-half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our Class A common stock and one-half of one warrant should constitute the holder’s initial tax basis in such share and one-half of one warrant, respectively. Any disposition of a unit should be treated for U.S. federal income tax purposes as a disposition of the share of our Class A common stock and one-half of one warrant comprising the unit, and the amount realized on the disposition should be allocated between the share of our Class A common stock and one-half of one warrant based on their respective relative fair market values at the time of disposition. Neither the separation of the share of our Class A common stock and the one-half of one warrant constituting a unit nor the combination of halves of warrants into a single warrant should be a taxable event for U.S. federal income tax purposes.</w:t>
      </w:r>
    </w:p>
    <w:p>
      <w:pPr>
        <w:spacing w:after="0" w:line="104" w:lineRule="exact"/>
        <w:rPr>
          <w:sz w:val="20"/>
          <w:szCs w:val="20"/>
          <w:color w:val="auto"/>
        </w:rPr>
      </w:pPr>
    </w:p>
    <w:p>
      <w:pPr>
        <w:ind w:left="460" w:right="539" w:firstLine="432"/>
        <w:spacing w:after="0" w:line="272" w:lineRule="auto"/>
        <w:rPr>
          <w:sz w:val="20"/>
          <w:szCs w:val="20"/>
          <w:color w:val="auto"/>
        </w:rPr>
      </w:pPr>
      <w:r>
        <w:rPr>
          <w:rFonts w:ascii="Arial" w:cs="Arial" w:eastAsia="Arial" w:hAnsi="Arial"/>
          <w:sz w:val="17"/>
          <w:szCs w:val="17"/>
          <w:color w:val="auto"/>
        </w:rPr>
        <w:t>The foregoing treatment of the shares of our Class A common stock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Holders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If we pay distributions in cash or other property (other than certain distributions of our stock or rights to acquire our stock) to U.S. Holders of our Class A common stock, such distributions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shares of our Class A common stock. Any remaining excess will be treated as gain realized on the sale or other disposition of the shares of our Class A common stock and will be treated as described under “U.S. Holders — Gain or Loss on Sale, Taxable Exchange or Other Taxable Disposition of Our Class A Common Stock and Warrants” below.</w:t>
      </w:r>
    </w:p>
    <w:p>
      <w:pPr>
        <w:spacing w:after="0" w:line="113"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Dividends we pay to a corporate U.S. Holder generally will qualify for the dividends received deduction if certain holding period requirements are met. With certain exceptions (including, but not limited to, dividends treated as investment income for purposes of investment interest deduction limitations), and provided certain holding period requirements are met, dividends we pay to a non-corporate U.S. Holder will generally be taxed as qualified dividend income at the preferential tax rate for long-term capital gains. It is unclear whether the redemption rights with respect to the shares of our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met,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3" w:name="page144"/>
    <w:bookmarkEnd w:id="14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right="91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Our Class A Common Stock and Warrants</w:t>
      </w:r>
    </w:p>
    <w:p>
      <w:pPr>
        <w:spacing w:after="0" w:line="89"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A U.S. Holder generally will recognize capital gain or loss on a sale or other taxable disposition of our shares of Class A common stock or warrants (including on our dissolution and liquidation if we do not complete an initial business combination within the required time period). Any such capital gain or loss generally will be long-term capital gain or loss if the U.S. Holder’s holding period for such shares of our Class A common stock or warrants exceeds one year. Long-term capital gains recognized by a non-corporate U.S. holder are currently eligible to be taxed preferential rates. It is unclear, however, whether certain redemption rights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The deductibility of capital losses is subject to limitations.</w:t>
      </w:r>
    </w:p>
    <w:p>
      <w:pPr>
        <w:spacing w:after="0" w:line="10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amount of gain or loss recognized on a sale or other taxable disposition generally will be equal to the difference between (i) the sum of the amount of cash and the fair market value of any property received in such disposition (or, if the shares of our Class A common stock or warrants are held as part of units at the time of the disposition, the portion of the amount realized on such disposition that is allocated to the shares of our Class A common stock or warrants based upon the then relative fair market values of the shares of our Class A common stock and the warrants included in the units) and (ii) the U.S. Holder’s adjusted tax basis in its shares of our Class A common stock or warrants so disposed of. A U.S. Holder’s adjusted tax basis in its shares of our Class A common stock and warrants generally will equal the U.S. Holder’s acquisition cost (that is, the portion of the purchase price of a unit allocated to a share of our Class A common stock or one-half of one warrant, as described above under “— Allocation of Purchase Price and Characterization of a Unit”) reduced, in the case of a share of our Class A common stock, by any prior distributions treated as a return of capital. See “U.S. Holders — Exercise, Lapse or Redemption of a Warrant” below for a discussion regarding a U.S. Holder’s tax basis in a share of our Class A common stock acquired pursuant to the exercise of a warrant.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158"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In the event that a U.S. Holder’s shares of our Class A common stock are redeemed pursuant to the redemption provisions described in this prospectus under “Description of Securities — Common Stock” or if we purchase a U.S. Holder’s shares of our Class A common stock in an open market transaction (each referred to herein as a “redemption”), the treatment of the redemption for U.S. federal income tax purposes will depend on whether it qualifies as a sale or exchange of the shares of our Class A common stock under Section 302 of the Code. If the redemption qualifies as a sale or exchange of the shares of our Class A common stock under the tests described below, the U.S. Holder will be treated as described under “U.S. Holders — Gain or Loss on Sale, Taxable Exchange or Other Taxable Disposition of Our Class A Common Stock and Warrants” above. If the redemption does not qualify as a sale or exchange of the shares of our Class A common stock, the U.S. Holder will be treated as receiving a corporate distribution with the tax consequences described above under “U.S. Holders — Taxation of Distributions.” Whether a redemption qualifies for sale or exchange treatment will depend largely on the total number of our shares treated as held by the U.S. Holder (including any shares constructively owned by the U.S. Holder as described in the following paragraph) relative to all of our shares outstanding both before and after such redemption. The redemption of our Class A common stock generally will be treated as a sale or exchange of the shares of our Class A common stock (rather than as a corporate distribution) if, within the meaning of Section 302 of the Code, such redemption (i) is “substantially disproportionate” with respect to the U.S. Holder, (ii) results in a “complete termination” of the U.S. Holder’s interest in us or (iii) is “not essentially equivalent to a dividend” with respect to the U.S. Holder.</w:t>
      </w:r>
    </w:p>
    <w:p>
      <w:pPr>
        <w:spacing w:after="0" w:line="90"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determining whether any of the foregoing tests are satisfied, a U.S. Holder must take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shares of our Class A common stock which could be acquired pursuant to the exercise of the warrants. In order to meet the “substantially disproportionate” test, the percentage of our outstanding voting shares actually and constructively owned by the U.S. Holder immediately following the redemption of shares of our Class A common</w:t>
      </w:r>
    </w:p>
    <w:p>
      <w:pPr>
        <w:sectPr>
          <w:pgSz w:w="11900" w:h="16838" w:orient="portrait"/>
          <w:cols w:equalWidth="0" w:num="1">
            <w:col w:w="9019"/>
          </w:cols>
          <w:pgMar w:left="1440" w:top="274"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4" w:name="page145"/>
    <w:bookmarkEnd w:id="14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spacing w:after="0" w:line="268" w:lineRule="auto"/>
        <w:rPr>
          <w:sz w:val="20"/>
          <w:szCs w:val="20"/>
          <w:color w:val="auto"/>
        </w:rPr>
      </w:pPr>
      <w:r>
        <w:rPr>
          <w:rFonts w:ascii="Arial" w:cs="Arial" w:eastAsia="Arial" w:hAnsi="Arial"/>
          <w:sz w:val="17"/>
          <w:szCs w:val="17"/>
          <w:color w:val="auto"/>
        </w:rPr>
        <w:t>stock must, among other requirements, be less than 80% of the percentage of our outstanding voting stock actually and constructively owned by the U.S. Holder immediately before the redemption. Prior to our initial business combination, the shares of our Class A common stock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 stock. The redemption of the shares of our Class A common stock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A U.S. Holder should consult with its own tax advisors as to the tax consequences of a redemption.</w:t>
      </w:r>
    </w:p>
    <w:p>
      <w:pPr>
        <w:spacing w:after="0" w:line="112"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If none of the foregoing tests are satisfied, then the redemption will be treated as a corporate distribution and the tax effects will be as described under “U.S. Holders — Taxation of Distributions” above. After the application of those rules, any remaining tax basis of the U.S. Holder in the redeemed shares of our Class A common stock will be added to the U.S. Holder’s adjusted tax basis in its remaining shares, or, if it has none, to the U.S. Holder’s adjusted tax basis in its warrants or possibly in other stock constructively owned by it.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Except as discussed below with respect to the cashless exercise of a warrant, a U.S. Holder generally will not recognize gain or loss upon the acquisition of a share of our Class A common stock on the exercise of a warrant for cash. A U.S. Holder’s initial tax basis in a share of our Class A common stock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of such warrant. It is unclear whether a U.S. Holder’s holding period for the share of our Class A common stock received upon exercise of the warrants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91"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shares of our Class A common stock received generally would equal the U.S. Holder’s tax basis in the warrants exercised therefor. If the cashless exercise were not a realization event, it is unclear whether a U.S. Holder’s holding period for the shares of our Class A common stock will commence on the date of exercise of the warrant or the day following the date of exercise of the warrant. If the cashless exercise were treated as a recapitalization, the holding period of the shares of our Class A common stock would include the holding period of the warrants exercised therefor.</w:t>
      </w:r>
    </w:p>
    <w:p>
      <w:pPr>
        <w:spacing w:after="0" w:line="113"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It is also possible that a cashless exercise could be treated in whole or in part as a taxable exchange in which gain or loss would be recognized. In such event, a U.S. Holder could be deemed to have surrendered a number of warrants having an aggregate value (as measured by the excess of the fair market value of our Class A common stock over the exercise price of the warrants) equal to the exercise price for the total number of warrants to be exercised (</w:t>
      </w:r>
      <w:r>
        <w:rPr>
          <w:rFonts w:ascii="Arial" w:cs="Arial" w:eastAsia="Arial" w:hAnsi="Arial"/>
          <w:sz w:val="17"/>
          <w:szCs w:val="17"/>
          <w:i w:val="1"/>
          <w:iCs w:val="1"/>
          <w:color w:val="auto"/>
        </w:rPr>
        <w:t>i.e.</w:t>
      </w:r>
      <w:r>
        <w:rPr>
          <w:rFonts w:ascii="Arial" w:cs="Arial" w:eastAsia="Arial" w:hAnsi="Arial"/>
          <w:sz w:val="17"/>
          <w:szCs w:val="17"/>
          <w:color w:val="auto"/>
        </w:rPr>
        <w:t>, the warrants underlying the number of shares of our Class A common stock actually received by the U.S. Holder pursuant to the cashless exercise). The U.S. Holder would recognize capital gain or loss in an amount equal to the difference between the value of the warrants deemed surrendered and the U.S. Holder’s tax basis in such warrants. Such gain or loss would be long-term or short-term, depending on the U.S. holder’s holding period in the warrants deemed surrendered. In this case, a U.S. Holder’s tax basis in the Class A common stock received would equal the sum of the U.S. Holder’s tax basis in the warrants exercised and the exercise price of such warrants.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ectPr>
          <w:pgSz w:w="11900" w:h="16838" w:orient="portrait"/>
          <w:cols w:equalWidth="0" w:num="1">
            <w:col w:w="9019"/>
          </w:cols>
          <w:pgMar w:left="1440" w:top="274"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5" w:name="page146"/>
    <w:bookmarkEnd w:id="14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79" w:firstLine="432"/>
        <w:spacing w:after="0" w:line="272" w:lineRule="auto"/>
        <w:rPr>
          <w:sz w:val="20"/>
          <w:szCs w:val="20"/>
          <w:color w:val="auto"/>
        </w:rPr>
      </w:pPr>
      <w:r>
        <w:rPr>
          <w:rFonts w:ascii="Arial" w:cs="Arial" w:eastAsia="Arial" w:hAnsi="Arial"/>
          <w:sz w:val="17"/>
          <w:szCs w:val="17"/>
          <w:color w:val="auto"/>
        </w:rPr>
        <w:t>Alternative characterizations are also possible (including as a taxable exchange of all of the warrants surrendered by the U.S. Holder for shares of our Class A common stock received upon exercise). 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10" w:lineRule="exact"/>
        <w:rPr>
          <w:sz w:val="20"/>
          <w:szCs w:val="20"/>
          <w:color w:val="auto"/>
        </w:rPr>
      </w:pPr>
    </w:p>
    <w:p>
      <w:pPr>
        <w:ind w:left="460" w:right="559" w:firstLine="432"/>
        <w:spacing w:after="0" w:line="275" w:lineRule="auto"/>
        <w:rPr>
          <w:sz w:val="20"/>
          <w:szCs w:val="20"/>
          <w:color w:val="auto"/>
        </w:rPr>
      </w:pPr>
      <w:r>
        <w:rPr>
          <w:rFonts w:ascii="Arial" w:cs="Arial" w:eastAsia="Arial" w:hAnsi="Arial"/>
          <w:sz w:val="17"/>
          <w:szCs w:val="17"/>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Our Class A Common Stock and Warrants.”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5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subject to tax as described under “U.S. Holders — Taxation of Distributions” above in the same manner as if the U.S. Holders of the warrants received a cash distribution from us equal to the fair market value of such increased interest resulting from the adjustment.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Non-U.S. Holders</w:t>
      </w:r>
    </w:p>
    <w:p>
      <w:pPr>
        <w:spacing w:after="0" w:line="144"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This section applies to “Non-U.S. Holders.” As used herein, the term “Non-U.S. Holder” means a beneficial owner of our units, Class A common stock or warrants that is not a U.S. Holder and is not a partnership or other entity classified as a partnership for U.S. federal income tax purposes, but such term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460" w:right="559" w:firstLine="432"/>
        <w:spacing w:after="0" w:line="284"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Provided such dividends are not effectively connected with the Non-U.S. Holder’s conduct of a trade or business within the United States (or, if required pursuant to an applicable income tax treaty, are not attributable to a permanent establishment of fixed base maintained by the Non-U.S. Holder in the</w:t>
      </w:r>
    </w:p>
    <w:p>
      <w:pPr>
        <w:spacing w:after="0" w:line="4" w:lineRule="exact"/>
        <w:rPr>
          <w:sz w:val="20"/>
          <w:szCs w:val="20"/>
          <w:color w:val="auto"/>
        </w:rPr>
      </w:pPr>
    </w:p>
    <w:p>
      <w:pPr>
        <w:ind w:left="460" w:right="499"/>
        <w:spacing w:after="0" w:line="285" w:lineRule="auto"/>
        <w:rPr>
          <w:sz w:val="20"/>
          <w:szCs w:val="20"/>
          <w:color w:val="auto"/>
        </w:rPr>
      </w:pPr>
      <w:r>
        <w:rPr>
          <w:rFonts w:ascii="Arial" w:cs="Arial" w:eastAsia="Arial" w:hAnsi="Arial"/>
          <w:sz w:val="16"/>
          <w:szCs w:val="16"/>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shares of our Class A common stock, which will be treated as described under “Non-U.S. Holders — Gain on Sale, Taxable Exchange or Other Taxable Disposition of Our Class A Common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and Warrants” below. In addition, if we determine that we are or are likely to be classified as a</w:t>
      </w:r>
    </w:p>
    <w:p>
      <w:pPr>
        <w:spacing w:after="0" w:line="23" w:lineRule="exact"/>
        <w:rPr>
          <w:sz w:val="20"/>
          <w:szCs w:val="20"/>
          <w:color w:val="auto"/>
        </w:rPr>
      </w:pPr>
    </w:p>
    <w:p>
      <w:pPr>
        <w:ind w:left="460" w:right="619"/>
        <w:spacing w:after="0" w:line="292" w:lineRule="auto"/>
        <w:rPr>
          <w:sz w:val="20"/>
          <w:szCs w:val="20"/>
          <w:color w:val="auto"/>
        </w:rPr>
      </w:pPr>
      <w:r>
        <w:rPr>
          <w:rFonts w:ascii="Arial" w:cs="Arial" w:eastAsia="Arial" w:hAnsi="Arial"/>
          <w:sz w:val="16"/>
          <w:szCs w:val="16"/>
          <w:color w:val="auto"/>
        </w:rPr>
        <w:t>“United States real property holding corporation” (see “Non-U.S. Holders — Gain on Sale, Taxable Exchange or Other Taxable Disposition of Our Class A Common Stock and Warrants” below), we will withhold 15% of any distribution that exceeds our current and accumulated earnings and profits, including a distribution in redemption of shares of our Class A common stock. See also “Non-U.S. Holders — Possible Constructive Distributions” for potential U.S. federal tax consequences with respect to constructive distributions.</w:t>
      </w:r>
    </w:p>
    <w:p>
      <w:pPr>
        <w:spacing w:after="0" w:line="95"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Dividends that we pay to a Non-U.S. Holder that are effectively connected with such Non-U.S. Holder’s conduct of a trade or business within the United States (and, if a tax treaty applies, are attributable to a permanent establishment or fixed base maintained by the Non-U.S. Holder in the United States) will not be subject to U.S. withholding tax, provided such Non-U.S. Holder complies with certain certification and disclosure requirements (usually by providing an IRS Form W-8ECI). Instead, the effectively connected dividends will be subject to regular U.S. federal income tax as if the Non-U.S. Holder were a U.S. resident, unless an applicable income tax treaty provides otherwise. A Non-U.S. Holder that is a foreign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460" w:right="499" w:firstLine="432"/>
        <w:spacing w:after="0" w:line="289" w:lineRule="auto"/>
        <w:rPr>
          <w:sz w:val="20"/>
          <w:szCs w:val="20"/>
          <w:color w:val="auto"/>
        </w:rPr>
      </w:pPr>
      <w:r>
        <w:rPr>
          <w:rFonts w:ascii="Arial" w:cs="Arial" w:eastAsia="Arial" w:hAnsi="Arial"/>
          <w:sz w:val="16"/>
          <w:szCs w:val="16"/>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below under “Non-U.S. Holders — Gain on Sale, Taxable Exchange or Other Taxable Disposition of Our Class A Common Stock and Warrants.” The U.S. federal income tax treatment for a Non-U.S. Holder of a redemption of warrants for cash (or if we purchase warrants in an open market transaction) would be similar to that described below in “Non-U.S. Holders — Gain on Sale, Taxable Exchange or Other Taxable Disposition of Our Class A Common Stock and Warrants.”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Gain on Sale, Taxable Exchange or Other Taxable Disposition of Our Class A Common Stock and Warrants</w:t>
      </w:r>
    </w:p>
    <w:p>
      <w:pPr>
        <w:spacing w:after="0" w:line="167"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Subject to the discussion of FATCA and backup withholding below, a Non-U.S. Holder generally will not be subject to U.S. federal income or withholding tax in respect of gain recognized on a sale, taxable exchange or other taxable disposition of shares of our Class A common stock (including upon a dissolution and liquidation if we do not complete an initial business combination within the required time period) or warrants (including an expiration or redemption of our warrants), in each case without regard to whether such securities were held as part of a unit, unless:</w:t>
      </w:r>
    </w:p>
    <w:p>
      <w:pPr>
        <w:spacing w:after="0" w:line="125" w:lineRule="exact"/>
        <w:rPr>
          <w:sz w:val="20"/>
          <w:szCs w:val="20"/>
          <w:color w:val="auto"/>
        </w:rPr>
      </w:pPr>
    </w:p>
    <w:p>
      <w:pPr>
        <w:ind w:left="1320" w:right="799" w:hanging="434"/>
        <w:spacing w:after="0" w:line="311" w:lineRule="auto"/>
        <w:tabs>
          <w:tab w:leader="none" w:pos="13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or</w:t>
      </w:r>
    </w:p>
    <w:p>
      <w:pPr>
        <w:spacing w:after="0" w:line="81" w:lineRule="exact"/>
        <w:rPr>
          <w:rFonts w:ascii="Arial" w:cs="Arial" w:eastAsia="Arial" w:hAnsi="Arial"/>
          <w:sz w:val="16"/>
          <w:szCs w:val="16"/>
          <w:color w:val="auto"/>
        </w:rPr>
      </w:pPr>
    </w:p>
    <w:p>
      <w:pPr>
        <w:ind w:left="1320" w:right="479" w:hanging="434"/>
        <w:spacing w:after="0" w:line="287" w:lineRule="auto"/>
        <w:tabs>
          <w:tab w:leader="none" w:pos="13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 These rules may be modified for Non-U.S. Holders of warrants. If we are or have been a “United States real property holding corporation” and you own warrants, you are urged to consult your own tax advisor regarding the application of these rules.</w:t>
      </w:r>
    </w:p>
    <w:p>
      <w:pPr>
        <w:spacing w:after="0" w:line="91"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Unless an applicable treaty provides otherwise, gain described in the first bullet point above will generally be subject to tax at the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the second bullet point above applies to a Non-U.S. Holder, gain recognized by such holder on the sale,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exchange or other disposition of our Class A common stock or warrants will generally be subject to tax at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applicable U.S. federal income tax rates as if the Non-U.S. Holder were a U.S. resident. In addition, a buyer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Class A common stock or warrants from such holder may be required to withhold U.S. federal income tax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rate of 15% of the amount realized upon such disposition. We cannot determine whether we will be a</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United States real property holding corporation in the future until we complete an initial business combination.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we would be classified as a United States real property holding corporation if the fair market value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our “United States real property interests” equals or exceeds 50% of the sum of the fair market value of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worldwide real property interests plus our other assets used or held for use in a trade or business, as determined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U.S. federal income tax purposes.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Our Class A Common Stock</w:t>
      </w:r>
    </w:p>
    <w:p>
      <w:pPr>
        <w:spacing w:after="0" w:line="158"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characterization for U.S. federal income tax purposes of the redemption of a Non-U.S. Holder’s shares of our Class A common stock pursuant to the redemption provisions described in the section of this prospectus entitled “Description of Securities — Common Stock” will generally correspond to the U.S. federal income tax characterization of such a redemption of a U.S. Holder’s shares of our Class A common stock, as described under “U.S. Holders — Redemption of Our Class A Common Stock” above, and the consequences of the redemption to the Non-U.S. Holder will be as described above under “Non-U.S. Holders — Taxation of Distributions” and “Non-U.S. Holders — Gain on Sale, Taxable Exchange or Other Taxable Disposition of Our Class A Common Stock and Warrants,” as applicable.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5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The terms of each warrant provide for an adjustment to the number of shares of our Class A common stock for which the warrant may be exercised or to the exercise price of the warrant in certain events, as discussed in the section of this prospectus entitled “Description of Securities — Warrants — Public Stockholders’ Warrants.” Depending on the circumstances, such adjustments may be treated as constructive distributions. An adjustment which has the effect of preventing dilution pursuant to a bona fide reasonable adjustment formula generally is not taxable. The Non-U.S. Holders of the warrants would, however, be treated as receiving a constructive distribution from us if, for example, the adjustment increases the warrant holders’ proportionate interest in our assets or earnings and profits (e.g., through an increase in the number of shares of our Class A common stock that would be obtained upon exercise or through a decrease to the exercise price) as a result of a taxable distribution of cash or other property to the holders of shares of our Class A common stock. Any such constructive distribution would generally be taxed as described under “Non-U.S. Holders — Taxation of Distributions” above, in the same manner as if the Non-U.S. Holders of the warrants received a cash distribution from us equal to the fair market value of such increased interest resulting from the adjustment.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Dividend payments (including constructive dividends) with respect to our Class A common stock and proceeds from the sale, exchange or redemption of shares of our Class A common stock or warrants may be subject to information reporting to the IRS and possible United States backup withholding. Backup withholding will not apply, however, to payments made to a U.S. Holder who furnishes a correct taxpayer identification number and makes other required certifications, or who is otherwise exempt from backup withholding and establishes such exempt status. Payments made to a Non-U.S. Holder generally will not be subject to backup withholding if the Non-U.S. Holder provides certification of its foreign status, under penalties of perjury, on a duly executed applicable IRS Form W-8 or by otherwise establishing an exemption.</w:t>
      </w:r>
    </w:p>
    <w:p>
      <w:pPr>
        <w:spacing w:after="0" w:line="98"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Backup withholding is not an additional tax. Amounts withheld under the backup withholding rules may be credited against a holder’s U.S. federal income tax liability, and a holder generally may obtain a refund of any excess amounts withheld by timely filing the appropriate claim for refund with the IRS and furnishing any required information. All holders should consult their tax advisors regarding the application of information reporting and backup withholding to them.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8" w:name="page149"/>
    <w:bookmarkEnd w:id="14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FATCA Withholding Taxes</w:t>
      </w:r>
    </w:p>
    <w:p>
      <w:pPr>
        <w:spacing w:after="0" w:line="148"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to as the “Foreign Account Tax Compliance Act” or “FATCA”) generally impose withholding of 30% in certain circumstances on payments of dividends (including constructive dividends) and, subject to the proposed Treasury Regulations discussed below, on proceeds from sales or other disposition of our securities paid to “foreign financial institutions” (which is broadly defined for this purpose and includes investment vehicles) and certain other non-U.S. entities unless various U.S. information reporting and due diligence requirements (relating to ownership by U.S. persons of interests in or accounts with those entities) have been satisfied or an exemption applies (typically certified as to by the delivery of a properly completed IRS Form W-8BEN-E). If FATCA withholding is imposed, a beneficial owner that is not a foreign financial institution will be entitled to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Similarly, dividends and, subject to the proposed Treasury Regulations discussed below, proceeds from sales or other disposition in respect of our units held by an investor that is a non-financial non-U.S. entity that does not qualify under certain exceptions generally will be subject to withholding at a rate of 30%, unless such entity either (i) certifies to us or the applicable withholding agent that such entity does not have any “substantial United States owners” or (ii) provides certain information regarding the entity’s “substantial United States owners,” which will in turn be provided to the U.S. Department of the Treasury. The U.S. Department of the Treasury has proposed regulations which eliminate the federal withholding tax of 30% applicable to the gross proceeds of a sale or other disposition of our securities. Withholding agents may rely on the proposed Treasury Regulations until final regulations are issued. Prospective investors should consult their tax advisors regarding the possible effects of FATCA on their investment in our securities.</w:t>
      </w:r>
    </w:p>
    <w:p>
      <w:pPr>
        <w:spacing w:after="0" w:line="107"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b w:val="1"/>
          <w:bCs w:val="1"/>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CLASS A COMMON STOCK AND WARRANTS, INCLUDING THE TAX CONSEQUENCES UNDER STATE, LOCAL, ESTATE, NON-U.S. AND OTHER TAX LAWS AND TAX TREATIES AND THE POSSIBLE EFFECTS OF CHANGES IN U.S. OR OTHER TAX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9" w:name="page150"/>
    <w:bookmarkEnd w:id="14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Subject to the terms and conditions set forth in the underwriting agreement between us and Cantor, the representative of the underwriters named below, and the sole book-running manager of this offering, we have agreed to sell to the underwriters, and each of the underwriters has agreed, severally and not jointly, to purchase from us, the respective number of units shown opposite its name below:</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Number of</w:t>
            </w:r>
          </w:p>
        </w:tc>
      </w:tr>
      <w:tr>
        <w:trPr>
          <w:trHeight w:val="210"/>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Underwriter</w:t>
            </w:r>
          </w:p>
        </w:tc>
        <w:tc>
          <w:tcPr>
            <w:tcW w:w="1260" w:type="dxa"/>
            <w:vAlign w:val="bottom"/>
          </w:tcPr>
          <w:p>
            <w:pPr>
              <w:ind w:left="440"/>
              <w:spacing w:after="0"/>
              <w:rPr>
                <w:sz w:val="20"/>
                <w:szCs w:val="20"/>
                <w:color w:val="auto"/>
              </w:rPr>
            </w:pPr>
            <w:r>
              <w:rPr>
                <w:rFonts w:ascii="Arial" w:cs="Arial" w:eastAsia="Arial" w:hAnsi="Arial"/>
                <w:sz w:val="16"/>
                <w:szCs w:val="16"/>
                <w:b w:val="1"/>
                <w:bCs w:val="1"/>
                <w:color w:val="auto"/>
              </w:rPr>
              <w:t>Units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17,500,000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11"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2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48" w:lineRule="exact"/>
        <w:rPr>
          <w:sz w:val="20"/>
          <w:szCs w:val="20"/>
          <w:color w:val="auto"/>
        </w:rPr>
      </w:pPr>
    </w:p>
    <w:p>
      <w:pPr>
        <w:ind w:left="460" w:right="859" w:firstLine="432"/>
        <w:spacing w:after="0" w:line="291" w:lineRule="auto"/>
        <w:rPr>
          <w:sz w:val="20"/>
          <w:szCs w:val="20"/>
          <w:color w:val="auto"/>
        </w:rPr>
      </w:pPr>
      <w:r>
        <w:rPr>
          <w:rFonts w:ascii="Arial" w:cs="Arial" w:eastAsia="Arial" w:hAnsi="Arial"/>
          <w:sz w:val="16"/>
          <w:szCs w:val="16"/>
          <w:color w:val="auto"/>
        </w:rPr>
        <w:t>The underwriters have advised us that they propose to offer the units to the public at the initial public offering price set forth on the cover page of this prospectus and to certain dealers, which may include the</w:t>
      </w:r>
    </w:p>
    <w:p>
      <w:pPr>
        <w:ind w:left="460" w:right="479"/>
        <w:spacing w:after="0" w:line="265" w:lineRule="auto"/>
        <w:rPr>
          <w:sz w:val="20"/>
          <w:szCs w:val="20"/>
          <w:color w:val="auto"/>
        </w:rPr>
      </w:pPr>
      <w:r>
        <w:rPr>
          <w:rFonts w:ascii="Arial" w:cs="Arial" w:eastAsia="Arial" w:hAnsi="Arial"/>
          <w:sz w:val="17"/>
          <w:szCs w:val="17"/>
          <w:color w:val="auto"/>
        </w:rPr>
        <w:t>underwriters, at that price less a concession not in excess of $ per unit. The underwriters may allow, and certain dealers may reallow, a discount from the concession not in excess of $ per unit to certain brokers</w:t>
      </w:r>
    </w:p>
    <w:p>
      <w:pPr>
        <w:ind w:left="460" w:right="519"/>
        <w:spacing w:after="0" w:line="255" w:lineRule="auto"/>
        <w:rPr>
          <w:sz w:val="20"/>
          <w:szCs w:val="20"/>
          <w:color w:val="auto"/>
        </w:rPr>
      </w:pPr>
      <w:r>
        <w:rPr>
          <w:rFonts w:ascii="Arial" w:cs="Arial" w:eastAsia="Arial" w:hAnsi="Arial"/>
          <w:sz w:val="18"/>
          <w:szCs w:val="18"/>
          <w:color w:val="auto"/>
        </w:rPr>
        <w:t>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122" w:lineRule="exact"/>
        <w:rPr>
          <w:sz w:val="20"/>
          <w:szCs w:val="20"/>
          <w:color w:val="auto"/>
        </w:rPr>
      </w:pPr>
    </w:p>
    <w:p>
      <w:pPr>
        <w:ind w:left="460" w:right="839" w:firstLine="432"/>
        <w:spacing w:after="0" w:line="263" w:lineRule="auto"/>
        <w:rPr>
          <w:sz w:val="20"/>
          <w:szCs w:val="20"/>
          <w:color w:val="auto"/>
        </w:rPr>
      </w:pPr>
      <w:r>
        <w:rPr>
          <w:rFonts w:ascii="Arial" w:cs="Arial" w:eastAsia="Arial" w:hAnsi="Arial"/>
          <w:sz w:val="18"/>
          <w:szCs w:val="18"/>
          <w:color w:val="auto"/>
        </w:rPr>
        <w:t>The following table summarizes the compensation and estimated expenses that we will pay to the underwriters in connection with this offering. These amounts are shown assuming both no exercise and full exercise of the underwriters’ over-allotment option.</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2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660"/>
              <w:spacing w:after="0"/>
              <w:rPr>
                <w:sz w:val="20"/>
                <w:szCs w:val="20"/>
                <w:color w:val="auto"/>
              </w:rPr>
            </w:pPr>
            <w:r>
              <w:rPr>
                <w:rFonts w:ascii="Arial" w:cs="Arial" w:eastAsia="Arial" w:hAnsi="Arial"/>
                <w:sz w:val="16"/>
                <w:szCs w:val="16"/>
                <w:b w:val="1"/>
                <w:bCs w:val="1"/>
                <w:color w:val="auto"/>
                <w:w w:val="94"/>
              </w:rPr>
              <w:t>Per Unit</w:t>
            </w:r>
            <w:r>
              <w:rPr>
                <w:rFonts w:ascii="Arial" w:cs="Arial" w:eastAsia="Arial" w:hAnsi="Arial"/>
                <w:sz w:val="18"/>
                <w:szCs w:val="18"/>
                <w:b w:val="1"/>
                <w:bCs w:val="1"/>
                <w:color w:val="auto"/>
                <w:w w:val="94"/>
                <w:vertAlign w:val="superscript"/>
              </w:rPr>
              <w:t>(1)</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gridSpan w:val="5"/>
          </w:tcPr>
          <w:p>
            <w:pPr>
              <w:ind w:left="820"/>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18"/>
                <w:szCs w:val="18"/>
                <w:b w:val="1"/>
                <w:bCs w:val="1"/>
                <w:color w:val="auto"/>
                <w:vertAlign w:val="superscript"/>
              </w:rPr>
              <w:t>(1)</w:t>
            </w:r>
          </w:p>
        </w:tc>
      </w:tr>
      <w:tr>
        <w:trPr>
          <w:trHeight w:val="189"/>
        </w:trPr>
        <w:tc>
          <w:tcPr>
            <w:tcW w:w="2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Without</w:t>
            </w:r>
          </w:p>
        </w:tc>
        <w:tc>
          <w:tcPr>
            <w:tcW w:w="780" w:type="dxa"/>
            <w:vAlign w:val="bottom"/>
            <w:tcBorders>
              <w:top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With</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Without</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360"/>
              <w:spacing w:after="0"/>
              <w:rPr>
                <w:sz w:val="20"/>
                <w:szCs w:val="20"/>
                <w:color w:val="auto"/>
              </w:rPr>
            </w:pPr>
            <w:r>
              <w:rPr>
                <w:rFonts w:ascii="Arial" w:cs="Arial" w:eastAsia="Arial" w:hAnsi="Arial"/>
                <w:sz w:val="16"/>
                <w:szCs w:val="16"/>
                <w:b w:val="1"/>
                <w:bCs w:val="1"/>
                <w:color w:val="auto"/>
              </w:rPr>
              <w:t>With</w:t>
            </w:r>
          </w:p>
        </w:tc>
        <w:tc>
          <w:tcPr>
            <w:tcW w:w="20" w:type="dxa"/>
            <w:vAlign w:val="bottom"/>
          </w:tcPr>
          <w:p>
            <w:pPr>
              <w:spacing w:after="0"/>
              <w:rPr>
                <w:sz w:val="16"/>
                <w:szCs w:val="16"/>
                <w:color w:val="auto"/>
              </w:rPr>
            </w:pPr>
          </w:p>
        </w:tc>
      </w:tr>
      <w:tr>
        <w:trPr>
          <w:trHeight w:val="210"/>
        </w:trPr>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6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w w:val="97"/>
              </w:rPr>
              <w:t>Over-allotment  Over-allotment</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Over-allotment</w:t>
            </w: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Over-allotment</w:t>
            </w:r>
          </w:p>
        </w:tc>
      </w:tr>
      <w:tr>
        <w:trPr>
          <w:trHeight w:val="47"/>
        </w:trPr>
        <w:tc>
          <w:tcPr>
            <w:tcW w:w="25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182"/>
        </w:trPr>
        <w:tc>
          <w:tcPr>
            <w:tcW w:w="2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Underwriting Discounts and</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paid by us</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0.55 $</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6"/>
              </w:rPr>
              <w:t>11,068,750</w:t>
            </w:r>
          </w:p>
        </w:tc>
        <w:tc>
          <w:tcPr>
            <w:tcW w:w="20" w:type="dxa"/>
            <w:vAlign w:val="bottom"/>
          </w:tcPr>
          <w:p>
            <w:pPr>
              <w:spacing w:after="0"/>
              <w:rPr>
                <w:sz w:val="20"/>
                <w:szCs w:val="20"/>
                <w:color w:val="auto"/>
              </w:rPr>
            </w:pPr>
          </w:p>
        </w:tc>
      </w:tr>
      <w:tr>
        <w:trPr>
          <w:trHeight w:val="40"/>
        </w:trPr>
        <w:tc>
          <w:tcPr>
            <w:tcW w:w="25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479" w:hanging="426"/>
        <w:spacing w:after="0" w:line="274"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Includes $0.35 per unit, or $6,125,000 (or up to $7,043,750 if the underwriters’ over-allotment option is exercised in full) in the aggregate payable to </w:t>
      </w:r>
      <w:r>
        <w:rPr>
          <w:rFonts w:ascii="Arial" w:cs="Arial" w:eastAsia="Arial" w:hAnsi="Arial"/>
          <w:sz w:val="17"/>
          <w:szCs w:val="17"/>
          <w:color w:val="auto"/>
        </w:rPr>
        <w:t>Cantor</w:t>
      </w:r>
      <w:r>
        <w:rPr>
          <w:rFonts w:ascii="Arial" w:cs="Arial" w:eastAsia="Arial" w:hAnsi="Arial"/>
          <w:sz w:val="16"/>
          <w:szCs w:val="16"/>
          <w:color w:val="auto"/>
        </w:rPr>
        <w:t xml:space="preserve"> for deferred underwriting commissions to be placed in a trust account located in the United States as described herein. The deferred commissions will be released to </w:t>
      </w:r>
      <w:r>
        <w:rPr>
          <w:rFonts w:ascii="Arial" w:cs="Arial" w:eastAsia="Arial" w:hAnsi="Arial"/>
          <w:sz w:val="17"/>
          <w:szCs w:val="17"/>
          <w:color w:val="auto"/>
        </w:rPr>
        <w:t>Cantor</w:t>
      </w:r>
      <w:r>
        <w:rPr>
          <w:rFonts w:ascii="Arial" w:cs="Arial" w:eastAsia="Arial" w:hAnsi="Arial"/>
          <w:sz w:val="16"/>
          <w:szCs w:val="16"/>
          <w:color w:val="auto"/>
        </w:rPr>
        <w:t xml:space="preserve"> only on completion of an initial business combination.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0" w:name="page151"/>
    <w:bookmarkEnd w:id="15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19" w:firstLine="432"/>
        <w:spacing w:after="0" w:line="275" w:lineRule="auto"/>
        <w:rPr>
          <w:sz w:val="20"/>
          <w:szCs w:val="20"/>
          <w:color w:val="auto"/>
        </w:rPr>
      </w:pPr>
      <w:r>
        <w:rPr>
          <w:rFonts w:ascii="Arial" w:cs="Arial" w:eastAsia="Arial" w:hAnsi="Arial"/>
          <w:sz w:val="17"/>
          <w:szCs w:val="17"/>
          <w:color w:val="auto"/>
        </w:rPr>
        <w:t>If we do not complete our initial business combination within 24 months from the closing of this offering, Cantor has agreed that (i) it will forfeit any rights or claims to the deferred underwriting discounts and commissions, including any accrued interest thereon, then in the trust account and (ii) that the deferred underwriters’ discounts and commissions will be distributed on a pro rata basis, together with any accrued interest thereon (which interest will be net of taxes payable) to the public stockholders.</w:t>
      </w:r>
    </w:p>
    <w:p>
      <w:pPr>
        <w:spacing w:after="0" w:line="109"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 approximately $950,000. We have agreed to pay for FINRA-related fees and expenses of the underwriters’ legal counsel, not to exceed $15,000, and the expenses of investigations and background checks of our officers and directors, not to exceed $3,500 per principal.</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97"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jc w:val="both"/>
        <w:ind w:left="460" w:right="579" w:firstLine="432"/>
        <w:spacing w:after="0" w:line="263" w:lineRule="auto"/>
        <w:rPr>
          <w:sz w:val="20"/>
          <w:szCs w:val="20"/>
          <w:color w:val="auto"/>
        </w:rPr>
      </w:pPr>
      <w:r>
        <w:rPr>
          <w:rFonts w:ascii="Arial" w:cs="Arial" w:eastAsia="Arial" w:hAnsi="Arial"/>
          <w:sz w:val="18"/>
          <w:szCs w:val="18"/>
          <w:color w:val="auto"/>
        </w:rPr>
        <w:t>We have applied to have our units listed on Nasdaq under the trading symbol “VIIU”. We expect that our Class A common stock and warrants will be listed under the symbols “VII” and “VIIW”, respectively, once the Class A common stock and warrants begin separate trading.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Stamp Taxes</w:t>
      </w:r>
    </w:p>
    <w:p>
      <w:pPr>
        <w:spacing w:after="0" w:line="162"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If you purchase units offered in this prospectus, you may be required to pay stamp taxes and other charges under the laws and practices of the country of purchase, in addition to the offering price listed on the cover page of this prospectus.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have granted to the underwriters an option, exercisable for 45 days from the date of this prospectus, to purchase, from time to time, in whole or in part, up to an aggregate of 2,625,000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2"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We, our sponsor and our officers and directors have agreed that, for a period of 180 days from the date of this prospectus, we and they will not, without the prior written consent of Cantor, the representative of the underwriters, offer, sell, contract to sell, pledge or otherwise dispose of, directly or indirectly, any units, warrants, shares of common stock or any other securities convertible into, or exercisable, or exchangeable for, shares of common stock, provided, however, that we may (1) issue and sell the private placement warrants,</w:t>
      </w:r>
    </w:p>
    <w:p>
      <w:pPr>
        <w:spacing w:after="0" w:line="2" w:lineRule="exact"/>
        <w:rPr>
          <w:sz w:val="20"/>
          <w:szCs w:val="20"/>
          <w:color w:val="auto"/>
        </w:rPr>
      </w:pPr>
    </w:p>
    <w:p>
      <w:pPr>
        <w:ind w:left="460" w:right="559" w:hanging="6"/>
        <w:spacing w:after="0" w:line="290" w:lineRule="auto"/>
        <w:tabs>
          <w:tab w:leader="none" w:pos="7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issue and sell the additional units to cover our underwriters’ over-allotment option (if any), (3) register with the SEC pursuant to an agreement to be entered into concurrently with the issuance and sale of the securities in this offering, the resale of the private placement warrants and shares of Class A common stock issuable upon exercise of the warrants and conversion of the founder shares and (4) issue securities in connection with an initial business combination. Cantor, the representative of the underwriters, in its sole discretion, may release any of the securities subject to these lock-up agreements at any time without notice.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1" w:name="page152"/>
    <w:bookmarkEnd w:id="15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initial stockholders have agreed not to transfer, assign or sell any of their founder shares until the earlier to occur of (A) one year after the completion of our initial business combination or (B) subsequent to our initial business combination, (x) if the last reported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(except with respect to permitted transferees as described herein under the section of this prospectus entitled “Principal Stockholders — Restrictions on Transfers of Founder Shares and Private Placement Warrants”). Any permitted transferees will be subject to the same restrictions and other agreements of our initial stockholders with respect to any founder shares.</w:t>
      </w:r>
    </w:p>
    <w:p>
      <w:pPr>
        <w:spacing w:after="0" w:line="104"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Stockholders — Restrictions on Transfers of Founder Shares and Private Placement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48"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11"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97" w:lineRule="exact"/>
        <w:rPr>
          <w:sz w:val="20"/>
          <w:szCs w:val="20"/>
          <w:color w:val="auto"/>
        </w:rPr>
      </w:pPr>
    </w:p>
    <w:p>
      <w:pPr>
        <w:ind w:left="460" w:right="519" w:firstLine="432"/>
        <w:spacing w:after="0" w:line="301" w:lineRule="auto"/>
        <w:rPr>
          <w:sz w:val="20"/>
          <w:szCs w:val="20"/>
          <w:color w:val="auto"/>
        </w:rPr>
      </w:pPr>
      <w:r>
        <w:rPr>
          <w:rFonts w:ascii="Arial" w:cs="Arial" w:eastAsia="Arial" w:hAnsi="Arial"/>
          <w:sz w:val="16"/>
          <w:szCs w:val="16"/>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76"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04" w:lineRule="exact"/>
        <w:rPr>
          <w:sz w:val="20"/>
          <w:szCs w:val="20"/>
          <w:color w:val="auto"/>
        </w:rPr>
      </w:pPr>
    </w:p>
    <w:p>
      <w:pPr>
        <w:ind w:left="460" w:right="879" w:firstLine="432"/>
        <w:spacing w:after="0" w:line="257"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 These transactions may be effected on Nasdaq, in the over-the-counter market or otherwise.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2" w:name="page153"/>
    <w:bookmarkEnd w:id="15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62"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01"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97"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Resale Restrictions</w:t>
      </w:r>
    </w:p>
    <w:p>
      <w:pPr>
        <w:spacing w:after="0" w:line="144" w:lineRule="exact"/>
        <w:rPr>
          <w:sz w:val="20"/>
          <w:szCs w:val="20"/>
          <w:color w:val="auto"/>
        </w:rPr>
      </w:pPr>
    </w:p>
    <w:p>
      <w:pPr>
        <w:ind w:left="460" w:right="659" w:firstLine="432"/>
        <w:spacing w:after="0" w:line="291" w:lineRule="auto"/>
        <w:rPr>
          <w:sz w:val="20"/>
          <w:szCs w:val="20"/>
          <w:color w:val="auto"/>
        </w:rPr>
      </w:pPr>
      <w:r>
        <w:rPr>
          <w:rFonts w:ascii="Arial" w:cs="Arial" w:eastAsia="Arial" w:hAnsi="Arial"/>
          <w:sz w:val="16"/>
          <w:szCs w:val="16"/>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3" w:name="page154"/>
    <w:bookmarkEnd w:id="15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Representations of Canadian Purchasers</w:t>
      </w:r>
    </w:p>
    <w:p>
      <w:pPr>
        <w:spacing w:after="0" w:line="144" w:lineRule="exact"/>
        <w:rPr>
          <w:sz w:val="20"/>
          <w:szCs w:val="20"/>
          <w:color w:val="auto"/>
        </w:rPr>
      </w:pPr>
    </w:p>
    <w:p>
      <w:pPr>
        <w:ind w:left="460" w:right="599" w:firstLine="432"/>
        <w:spacing w:after="0" w:line="308"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79" w:lineRule="exact"/>
        <w:rPr>
          <w:sz w:val="20"/>
          <w:szCs w:val="20"/>
          <w:color w:val="auto"/>
        </w:rPr>
      </w:pPr>
    </w:p>
    <w:p>
      <w:pPr>
        <w:ind w:left="1320" w:right="959" w:hanging="434"/>
        <w:spacing w:after="0" w:line="311" w:lineRule="auto"/>
        <w:tabs>
          <w:tab w:leader="none" w:pos="13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81" w:lineRule="exact"/>
        <w:rPr>
          <w:rFonts w:ascii="Arial" w:cs="Arial" w:eastAsia="Arial" w:hAnsi="Arial"/>
          <w:sz w:val="16"/>
          <w:szCs w:val="16"/>
          <w:color w:val="auto"/>
        </w:rPr>
      </w:pPr>
    </w:p>
    <w:p>
      <w:pPr>
        <w:ind w:left="1320" w:right="959" w:hanging="434"/>
        <w:spacing w:after="0" w:line="277"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Conflicts of Interest</w:t>
      </w:r>
    </w:p>
    <w:p>
      <w:pPr>
        <w:spacing w:after="0" w:line="158" w:lineRule="exact"/>
        <w:rPr>
          <w:sz w:val="20"/>
          <w:szCs w:val="20"/>
          <w:color w:val="auto"/>
        </w:rPr>
      </w:pPr>
    </w:p>
    <w:p>
      <w:pPr>
        <w:ind w:left="460" w:right="619" w:firstLine="432"/>
        <w:spacing w:after="0" w:line="286" w:lineRule="auto"/>
        <w:rPr>
          <w:sz w:val="20"/>
          <w:szCs w:val="20"/>
          <w:color w:val="auto"/>
        </w:rPr>
      </w:pPr>
      <w:r>
        <w:rPr>
          <w:rFonts w:ascii="Arial" w:cs="Arial" w:eastAsia="Arial" w:hAnsi="Arial"/>
          <w:sz w:val="17"/>
          <w:szCs w:val="17"/>
          <w:color w:val="auto"/>
        </w:rPr>
        <w:t xml:space="preserve">Canadian purchasers are hereby notified that Cantor, the representative of the underwriters, is relying on the exemption set out in section 3A.3 or 3A.4, if applicable, of National Instrument 33-105 — </w:t>
      </w:r>
      <w:r>
        <w:rPr>
          <w:rFonts w:ascii="Arial" w:cs="Arial" w:eastAsia="Arial" w:hAnsi="Arial"/>
          <w:sz w:val="17"/>
          <w:szCs w:val="17"/>
          <w:i w:val="1"/>
          <w:iCs w:val="1"/>
          <w:color w:val="auto"/>
        </w:rPr>
        <w:t>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Conflicts </w:t>
      </w:r>
      <w:r>
        <w:rPr>
          <w:rFonts w:ascii="Arial" w:cs="Arial" w:eastAsia="Arial" w:hAnsi="Arial"/>
          <w:sz w:val="17"/>
          <w:szCs w:val="17"/>
          <w:color w:val="auto"/>
        </w:rPr>
        <w:t>from having to provide certain conflict of interest disclosure in this document.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Statutory Rights of Action</w:t>
      </w:r>
    </w:p>
    <w:p>
      <w:pPr>
        <w:spacing w:after="0" w:line="144"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Legal Rights</w:t>
      </w:r>
    </w:p>
    <w:p>
      <w:pPr>
        <w:spacing w:after="0" w:line="15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58" w:lineRule="exact"/>
        <w:rPr>
          <w:sz w:val="20"/>
          <w:szCs w:val="20"/>
          <w:color w:val="auto"/>
        </w:rPr>
      </w:pPr>
    </w:p>
    <w:p>
      <w:pPr>
        <w:jc w:val="both"/>
        <w:ind w:left="460" w:right="579" w:firstLine="432"/>
        <w:spacing w:after="0" w:line="286"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44" w:lineRule="exact"/>
        <w:rPr>
          <w:sz w:val="20"/>
          <w:szCs w:val="20"/>
          <w:color w:val="auto"/>
        </w:rPr>
      </w:pPr>
    </w:p>
    <w:p>
      <w:pPr>
        <w:ind w:left="460" w:right="559" w:firstLine="432"/>
        <w:spacing w:after="0" w:line="250"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w:t>
      </w:r>
      <w:r>
        <w:rPr>
          <w:rFonts w:ascii="Arial" w:cs="Arial" w:eastAsia="Arial" w:hAnsi="Arial"/>
          <w:sz w:val="20"/>
          <w:szCs w:val="20"/>
          <w:color w:val="auto"/>
          <w:vertAlign w:val="superscript"/>
        </w:rPr>
        <w:t>th</w:t>
      </w:r>
      <w:r>
        <w:rPr>
          <w:rFonts w:ascii="Arial" w:cs="Arial" w:eastAsia="Arial" w:hAnsi="Arial"/>
          <w:sz w:val="18"/>
          <w:szCs w:val="18"/>
          <w:color w:val="auto"/>
        </w:rPr>
        <w:t>) of Australia, or Corporations Act, has not been lodged with the Australian Securities &amp; Investments Commission and is only directed to the categories of exempt persons set out below. Accordingly, if you receive this prospectus in Australia:</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confirm and warrant that you are either:</w:t>
      </w:r>
    </w:p>
    <w:p>
      <w:pPr>
        <w:spacing w:after="0" w:line="158" w:lineRule="exact"/>
        <w:rPr>
          <w:sz w:val="20"/>
          <w:szCs w:val="20"/>
          <w:color w:val="auto"/>
        </w:rPr>
      </w:pPr>
    </w:p>
    <w:p>
      <w:pPr>
        <w:ind w:left="4360" w:right="1879" w:hanging="3474"/>
        <w:spacing w:after="0" w:line="481"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-131445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4" w:name="page155"/>
    <w:bookmarkEnd w:id="15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579" w:hanging="434"/>
        <w:spacing w:after="0" w:line="259"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16" w:lineRule="exact"/>
        <w:rPr>
          <w:sz w:val="20"/>
          <w:szCs w:val="20"/>
          <w:color w:val="auto"/>
        </w:rPr>
      </w:pPr>
    </w:p>
    <w:p>
      <w:pPr>
        <w:ind w:left="460" w:right="559" w:firstLine="432"/>
        <w:spacing w:after="0" w:line="311" w:lineRule="auto"/>
        <w:rPr>
          <w:sz w:val="20"/>
          <w:szCs w:val="20"/>
          <w:color w:val="auto"/>
        </w:rPr>
      </w:pPr>
      <w:r>
        <w:rPr>
          <w:rFonts w:ascii="Arial" w:cs="Arial" w:eastAsia="Arial" w:hAnsi="Arial"/>
          <w:sz w:val="16"/>
          <w:szCs w:val="16"/>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44"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w:t>
      </w:r>
      <w:r>
        <w:rPr>
          <w:rFonts w:ascii="Arial" w:cs="Arial" w:eastAsia="Arial" w:hAnsi="Arial"/>
          <w:sz w:val="16"/>
          <w:szCs w:val="16"/>
          <w:b w:val="1"/>
          <w:bCs w:val="1"/>
          <w:color w:val="auto"/>
        </w:rPr>
        <w:t>SFO</w:t>
      </w:r>
      <w:r>
        <w:rPr>
          <w:rFonts w:ascii="Arial" w:cs="Arial" w:eastAsia="Arial" w:hAnsi="Arial"/>
          <w:sz w:val="16"/>
          <w:szCs w:val="16"/>
          <w:color w:val="auto"/>
        </w:rPr>
        <w:t>”) and any rules made under that Ordinance; or in other circumstances which do not result in the document being a “prospectus” as defined in the Companies Ordinance (Cap. 32) of Hong Kong (“</w:t>
      </w:r>
      <w:r>
        <w:rPr>
          <w:rFonts w:ascii="Arial" w:cs="Arial" w:eastAsia="Arial" w:hAnsi="Arial"/>
          <w:sz w:val="16"/>
          <w:szCs w:val="16"/>
          <w:b w:val="1"/>
          <w:bCs w:val="1"/>
          <w:color w:val="auto"/>
        </w:rPr>
        <w:t>CO</w:t>
      </w:r>
      <w:r>
        <w:rPr>
          <w:rFonts w:ascii="Arial" w:cs="Arial" w:eastAsia="Arial" w:hAnsi="Arial"/>
          <w:sz w:val="16"/>
          <w:szCs w:val="16"/>
          <w:color w:val="auto"/>
        </w:rPr>
        <w:t>”)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00"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58"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units is directed only at, (i) a limited number</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5" w:name="page156"/>
    <w:bookmarkEnd w:id="15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59"/>
        <w:spacing w:after="0" w:line="253" w:lineRule="auto"/>
        <w:rPr>
          <w:sz w:val="20"/>
          <w:szCs w:val="20"/>
          <w:color w:val="auto"/>
        </w:rPr>
      </w:pPr>
      <w:r>
        <w:rPr>
          <w:rFonts w:ascii="Arial" w:cs="Arial" w:eastAsia="Arial" w:hAnsi="Arial"/>
          <w:sz w:val="18"/>
          <w:szCs w:val="18"/>
          <w:color w:val="auto"/>
        </w:rPr>
        <w:t>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8" w:lineRule="exact"/>
        <w:rPr>
          <w:sz w:val="20"/>
          <w:szCs w:val="20"/>
          <w:color w:val="auto"/>
        </w:rPr>
      </w:pPr>
    </w:p>
    <w:p>
      <w:pPr>
        <w:ind w:left="460" w:right="459" w:firstLine="432"/>
        <w:spacing w:after="0" w:line="291"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8"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w:t>
      </w:r>
    </w:p>
    <w:p>
      <w:pPr>
        <w:spacing w:after="0" w:line="2" w:lineRule="exact"/>
        <w:rPr>
          <w:sz w:val="20"/>
          <w:szCs w:val="20"/>
          <w:color w:val="auto"/>
        </w:rPr>
      </w:pPr>
    </w:p>
    <w:p>
      <w:pPr>
        <w:jc w:val="both"/>
        <w:ind w:left="460" w:right="679"/>
        <w:spacing w:after="0" w:line="253" w:lineRule="auto"/>
        <w:rPr>
          <w:sz w:val="20"/>
          <w:szCs w:val="20"/>
          <w:color w:val="auto"/>
        </w:rPr>
      </w:pPr>
      <w:r>
        <w:rPr>
          <w:rFonts w:ascii="Arial" w:cs="Arial" w:eastAsia="Arial" w:hAnsi="Arial"/>
          <w:sz w:val="18"/>
          <w:szCs w:val="18"/>
          <w:color w:val="auto"/>
        </w:rPr>
        <w:t>Section 274 of the Securities and Futures Act, Chapter 289 of Singapore (the “</w:t>
      </w:r>
      <w:r>
        <w:rPr>
          <w:rFonts w:ascii="Arial" w:cs="Arial" w:eastAsia="Arial" w:hAnsi="Arial"/>
          <w:sz w:val="18"/>
          <w:szCs w:val="18"/>
          <w:b w:val="1"/>
          <w:bCs w:val="1"/>
          <w:color w:val="auto"/>
        </w:rPr>
        <w:t>SFA</w:t>
      </w:r>
      <w:r>
        <w:rPr>
          <w:rFonts w:ascii="Arial" w:cs="Arial" w:eastAsia="Arial" w:hAnsi="Arial"/>
          <w:sz w:val="18"/>
          <w:szCs w:val="18"/>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2" w:lineRule="exact"/>
        <w:rPr>
          <w:sz w:val="20"/>
          <w:szCs w:val="20"/>
          <w:color w:val="auto"/>
        </w:rPr>
      </w:pPr>
    </w:p>
    <w:p>
      <w:pPr>
        <w:ind w:left="460" w:right="939" w:firstLine="432"/>
        <w:spacing w:after="0" w:line="277"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03" w:lineRule="exact"/>
        <w:rPr>
          <w:sz w:val="20"/>
          <w:szCs w:val="20"/>
          <w:color w:val="auto"/>
        </w:rPr>
      </w:pPr>
    </w:p>
    <w:p>
      <w:pPr>
        <w:jc w:val="both"/>
        <w:ind w:left="1320" w:right="719" w:hanging="434"/>
        <w:spacing w:after="0" w:line="263"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320" w:right="739" w:hanging="434"/>
        <w:spacing w:after="0" w:line="308" w:lineRule="auto"/>
        <w:tabs>
          <w:tab w:leader="none" w:pos="1311"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5" w:lineRule="exact"/>
        <w:rPr>
          <w:sz w:val="20"/>
          <w:szCs w:val="20"/>
          <w:color w:val="auto"/>
        </w:rPr>
      </w:pPr>
    </w:p>
    <w:p>
      <w:pPr>
        <w:jc w:val="both"/>
        <w:ind w:left="460" w:right="599"/>
        <w:spacing w:after="0" w:line="286"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8" w:lineRule="exact"/>
        <w:rPr>
          <w:sz w:val="20"/>
          <w:szCs w:val="20"/>
          <w:color w:val="auto"/>
        </w:rPr>
      </w:pPr>
    </w:p>
    <w:p>
      <w:pPr>
        <w:ind w:left="1320" w:right="739" w:hanging="434"/>
        <w:spacing w:after="0" w:line="342" w:lineRule="auto"/>
        <w:tabs>
          <w:tab w:leader="none" w:pos="131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44"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w:t>
      </w:r>
      <w:r>
        <w:rPr>
          <w:rFonts w:ascii="Arial" w:cs="Arial" w:eastAsia="Arial" w:hAnsi="Arial"/>
          <w:sz w:val="18"/>
          <w:szCs w:val="18"/>
          <w:b w:val="1"/>
          <w:bCs w:val="1"/>
          <w:color w:val="auto"/>
        </w:rPr>
        <w:t>SIX</w:t>
      </w:r>
      <w:r>
        <w:rPr>
          <w:rFonts w:ascii="Arial" w:cs="Arial" w:eastAsia="Arial" w:hAnsi="Arial"/>
          <w:sz w:val="18"/>
          <w:szCs w:val="18"/>
          <w:color w:val="auto"/>
        </w:rPr>
        <w:t>”) or on any other stock exchange or regulated trading facility in Switzerland. This prospectus has been prepared without regard to the disclosure standards for issuance prospectuses under art. 652a or art. 1156 of the</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56" w:name="page157"/>
    <w:bookmarkEnd w:id="15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479"/>
        <w:spacing w:after="0" w:line="279" w:lineRule="auto"/>
        <w:rPr>
          <w:sz w:val="20"/>
          <w:szCs w:val="20"/>
          <w:color w:val="auto"/>
        </w:rPr>
      </w:pPr>
      <w:r>
        <w:rPr>
          <w:rFonts w:ascii="Arial" w:cs="Arial" w:eastAsia="Arial" w:hAnsi="Arial"/>
          <w:sz w:val="17"/>
          <w:szCs w:val="17"/>
          <w:color w:val="auto"/>
        </w:rPr>
        <w:t>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04"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8"/>
          <w:szCs w:val="18"/>
          <w:b w:val="1"/>
          <w:bCs w:val="1"/>
          <w:color w:val="auto"/>
        </w:rPr>
        <w:t>CISA</w:t>
      </w:r>
      <w:r>
        <w:rPr>
          <w:rFonts w:ascii="Arial" w:cs="Arial" w:eastAsia="Arial" w:hAnsi="Arial"/>
          <w:sz w:val="18"/>
          <w:szCs w:val="18"/>
          <w:color w:val="auto"/>
        </w:rPr>
        <w:t>”). The investor protection afforded to acquirers of interests in collective investment schemes under the CISA does not extend to acquirers of securities.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ind w:left="460" w:right="679" w:firstLine="432"/>
        <w:spacing w:after="0" w:line="274"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w:t>
      </w:r>
    </w:p>
    <w:p>
      <w:pPr>
        <w:ind w:left="460" w:right="659" w:hanging="6"/>
        <w:spacing w:after="0" w:line="253" w:lineRule="auto"/>
        <w:tabs>
          <w:tab w:leader="none" w:pos="6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investment professionals falling within Article 19(5) of the Financial Services and Markets Act 2000 (Financial Promotion) Order 2005, as amended (the “</w:t>
      </w:r>
      <w:r>
        <w:rPr>
          <w:rFonts w:ascii="Arial" w:cs="Arial" w:eastAsia="Arial" w:hAnsi="Arial"/>
          <w:sz w:val="18"/>
          <w:szCs w:val="18"/>
          <w:b w:val="1"/>
          <w:bCs w:val="1"/>
          <w:color w:val="auto"/>
        </w:rPr>
        <w:t>Order</w:t>
      </w:r>
      <w:r>
        <w:rPr>
          <w:rFonts w:ascii="Arial" w:cs="Arial" w:eastAsia="Arial" w:hAnsi="Arial"/>
          <w:sz w:val="18"/>
          <w:szCs w:val="18"/>
          <w:color w:val="auto"/>
        </w:rPr>
        <w:t>”) and/or (ii) high net worth entities falling within Article 49(2)(a) to (d) of the Order and other persons to whom it may lawfully be communicated (each such person being referred to as a “</w:t>
      </w:r>
      <w:r>
        <w:rPr>
          <w:rFonts w:ascii="Arial" w:cs="Arial" w:eastAsia="Arial" w:hAnsi="Arial"/>
          <w:sz w:val="18"/>
          <w:szCs w:val="18"/>
          <w:b w:val="1"/>
          <w:bCs w:val="1"/>
          <w:color w:val="auto"/>
        </w:rPr>
        <w:t>relevant person</w:t>
      </w:r>
      <w:r>
        <w:rPr>
          <w:rFonts w:ascii="Arial" w:cs="Arial" w:eastAsia="Arial" w:hAnsi="Arial"/>
          <w:sz w:val="18"/>
          <w:szCs w:val="18"/>
          <w:color w:val="auto"/>
        </w:rPr>
        <w:t>”).</w:t>
      </w:r>
    </w:p>
    <w:p>
      <w:pPr>
        <w:spacing w:after="0" w:line="112"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7" w:name="page158"/>
    <w:bookmarkEnd w:id="15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460" w:right="559" w:firstLine="432"/>
        <w:spacing w:after="0" w:line="263" w:lineRule="auto"/>
        <w:rPr>
          <w:sz w:val="20"/>
          <w:szCs w:val="20"/>
          <w:color w:val="auto"/>
        </w:rPr>
      </w:pPr>
      <w:r>
        <w:rPr>
          <w:rFonts w:ascii="Arial" w:cs="Arial" w:eastAsia="Arial" w:hAnsi="Arial"/>
          <w:sz w:val="18"/>
          <w:szCs w:val="18"/>
          <w:color w:val="auto"/>
        </w:rPr>
        <w:t>Ellenoff Grossman &amp; Schole LLP, New York, New York, has passed upon the validity of the securities offered hereby on behalf of us. Certain legal matters will be passed upon on behalf of the underwriters by Reed Smith LLP, New York, New York.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460" w:right="759" w:firstLine="432"/>
        <w:spacing w:after="0" w:line="275" w:lineRule="auto"/>
        <w:rPr>
          <w:sz w:val="20"/>
          <w:szCs w:val="20"/>
          <w:color w:val="auto"/>
        </w:rPr>
      </w:pPr>
      <w:r>
        <w:rPr>
          <w:rFonts w:ascii="Arial" w:cs="Arial" w:eastAsia="Arial" w:hAnsi="Arial"/>
          <w:sz w:val="17"/>
          <w:szCs w:val="17"/>
          <w:color w:val="auto"/>
        </w:rPr>
        <w:t>The financial statements of 7GC &amp; Co. Holdings Inc. as of October 13, 2020 and for the period from September 18, 2020 (inception) through October 13, 2020, have been audited by WithumSmith+Brown, PC, independent registered public accounting firm, as set forth in their report which is incorporated herein. Such financial statements have been incorporated herein in reliance on the report of such firm given upon their authority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97"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8" w:name="page159"/>
    <w:bookmarkEnd w:id="15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Report of Independent Registered Public Accounting Firm</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Balance Sheet</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Statement of Operations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Statement of Changes in Stockholder’s Equity</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Statement of Cash Flows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43"/>
        </w:trPr>
        <w:tc>
          <w:tcPr>
            <w:tcW w:w="7480" w:type="dxa"/>
            <w:vAlign w:val="bottom"/>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Notes to Financial Statements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32"/>
        </w:trPr>
        <w:tc>
          <w:tcPr>
            <w:tcW w:w="7480" w:type="dxa"/>
            <w:vAlign w:val="bottom"/>
            <w:tcBorders>
              <w:bottom w:val="single" w:sz="8" w:color="auto"/>
            </w:tcBorders>
          </w:tcPr>
          <w:p>
            <w:pPr>
              <w:ind w:left="3920"/>
              <w:spacing w:after="0"/>
              <w:rPr>
                <w:sz w:val="20"/>
                <w:szCs w:val="20"/>
                <w:color w:val="auto"/>
              </w:rPr>
            </w:pPr>
            <w:r>
              <w:rPr>
                <w:rFonts w:ascii="Arial" w:cs="Arial" w:eastAsia="Arial" w:hAnsi="Arial"/>
                <w:sz w:val="18"/>
                <w:szCs w:val="18"/>
                <w:color w:val="auto"/>
              </w:rPr>
              <w:t>F-1</w:t>
            </w: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9" w:name="page160"/>
    <w:bookmarkEnd w:id="15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7GC &amp; Co. Holdings Inc.</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We have audited the accompanying balance sheet of 7GC &amp; Co. Holdings Inc. (the “Company”) as of October 13, 2020, and the related statements of operations, changes in stockholder’s equity and cash flows for the period from September 18, 2020 (inception) through October 13, 2020, and the related notes (collectively referred to as the “financial statements”). In our opinion, the financial statements present fairly, in all material respects, the financial position of the Company as of October 13, 2020, and the results of its operations and its cash flows for the period from September 18, 2020 (inception) through October 13, 2020,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0" w:name="page161"/>
    <w:bookmarkEnd w:id="160"/>
    <w:tbl>
      <w:tblPr>
        <w:tblLayout w:type="fixed"/>
        <w:tblInd w:w="46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rPr>
              <w:t>7GC &amp; CO. HOLDINGS INC.</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October 13,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6"/>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62,500</w:t>
            </w:r>
          </w:p>
        </w:tc>
        <w:tc>
          <w:tcPr>
            <w:tcW w:w="140" w:type="dxa"/>
            <w:vAlign w:val="bottom"/>
            <w:tcBorders>
              <w:bottom w:val="single" w:sz="8" w:color="CCEEFF"/>
            </w:tcBorders>
          </w:tcPr>
          <w:p>
            <w:pPr>
              <w:spacing w:after="0"/>
              <w:rPr>
                <w:sz w:val="24"/>
                <w:szCs w:val="24"/>
                <w:color w:val="auto"/>
              </w:rPr>
            </w:pPr>
          </w:p>
        </w:tc>
      </w:tr>
      <w:tr>
        <w:trPr>
          <w:trHeight w:val="270"/>
        </w:trPr>
        <w:tc>
          <w:tcPr>
            <w:tcW w:w="6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38,261</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77"/>
        </w:trPr>
        <w:tc>
          <w:tcPr>
            <w:tcW w:w="6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B common stock, $0.0001 par value; 10,000,000 shares authorized; 5,031,250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24,497</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r>
      <w:tr>
        <w:trPr>
          <w:trHeight w:val="237"/>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62,500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93" w:lineRule="auto"/>
        <w:tabs>
          <w:tab w:leader="none" w:pos="88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656,250 shares of Class B common stock subject to forfeiture if the over-allotment option is not exercised in full or in part by the underwriters (see Notes 3 and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1" w:name="page162"/>
    <w:bookmarkEnd w:id="16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18, 2020 (inception) through October 13,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1"/>
        </w:trPr>
        <w:tc>
          <w:tcPr>
            <w:tcW w:w="6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8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240" w:type="dxa"/>
            <w:vAlign w:val="bottom"/>
          </w:tcPr>
          <w:p>
            <w:pPr>
              <w:spacing w:after="0"/>
              <w:rPr>
                <w:sz w:val="24"/>
                <w:szCs w:val="24"/>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4,375,000</w:t>
            </w:r>
          </w:p>
        </w:tc>
        <w:tc>
          <w:tcPr>
            <w:tcW w:w="0" w:type="dxa"/>
            <w:vAlign w:val="bottom"/>
          </w:tcPr>
          <w:p>
            <w:pPr>
              <w:spacing w:after="0"/>
              <w:rPr>
                <w:sz w:val="1"/>
                <w:szCs w:val="1"/>
                <w:color w:val="auto"/>
              </w:rPr>
            </w:pPr>
          </w:p>
        </w:tc>
      </w:tr>
      <w:tr>
        <w:trPr>
          <w:trHeight w:val="264"/>
        </w:trPr>
        <w:tc>
          <w:tcPr>
            <w:tcW w:w="68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880" w:right="539" w:hanging="426"/>
        <w:spacing w:after="0" w:line="293" w:lineRule="auto"/>
        <w:tabs>
          <w:tab w:leader="none" w:pos="88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excludes an aggregate of up to 656,250 shares of Class B common stock subject to forfeiture if the over-allotment option is not exercised in full or in part by the underwriters (see Notes 3 and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2" w:name="page163"/>
    <w:bookmarkEnd w:id="16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18, 2020 (inception) through October 13, 2020</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4"/>
          </w:tcPr>
          <w:p>
            <w:pPr>
              <w:ind w:left="20"/>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w w:val="91"/>
              </w:rPr>
              <w:t>Additional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46"/>
        </w:trPr>
        <w:tc>
          <w:tcPr>
            <w:tcW w:w="21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160" w:type="dxa"/>
            <w:vAlign w:val="bottom"/>
          </w:tcPr>
          <w:p>
            <w:pPr>
              <w:spacing w:after="0"/>
              <w:rPr>
                <w:sz w:val="9"/>
                <w:szCs w:val="9"/>
                <w:color w:val="auto"/>
              </w:rPr>
            </w:pPr>
          </w:p>
        </w:tc>
        <w:tc>
          <w:tcPr>
            <w:tcW w:w="90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w w:val="85"/>
              </w:rPr>
              <w:t>Class A</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vMerge w:val="restart"/>
          </w:tcPr>
          <w:p>
            <w:pPr>
              <w:jc w:val="right"/>
              <w:ind w:right="35"/>
              <w:spacing w:after="0"/>
              <w:rPr>
                <w:sz w:val="20"/>
                <w:szCs w:val="20"/>
                <w:color w:val="auto"/>
              </w:rPr>
            </w:pPr>
            <w:r>
              <w:rPr>
                <w:rFonts w:ascii="Arial" w:cs="Arial" w:eastAsia="Arial" w:hAnsi="Arial"/>
                <w:sz w:val="16"/>
                <w:szCs w:val="16"/>
                <w:b w:val="1"/>
                <w:bCs w:val="1"/>
                <w:color w:val="auto"/>
              </w:rPr>
              <w:t>Class B</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60" w:type="dxa"/>
            <w:vAlign w:val="bottom"/>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160"/>
              <w:spacing w:after="0" w:line="142" w:lineRule="exact"/>
              <w:rPr>
                <w:sz w:val="20"/>
                <w:szCs w:val="20"/>
                <w:color w:val="auto"/>
              </w:rPr>
            </w:pPr>
            <w:r>
              <w:rPr>
                <w:rFonts w:ascii="Arial" w:cs="Arial" w:eastAsia="Arial" w:hAnsi="Arial"/>
                <w:sz w:val="16"/>
                <w:szCs w:val="16"/>
                <w:b w:val="1"/>
                <w:bCs w:val="1"/>
                <w:color w:val="auto"/>
                <w:w w:val="97"/>
              </w:rPr>
              <w:t>Paid-In</w:t>
            </w:r>
          </w:p>
        </w:tc>
        <w:tc>
          <w:tcPr>
            <w:tcW w:w="1060" w:type="dxa"/>
            <w:vAlign w:val="bottom"/>
            <w:gridSpan w:val="5"/>
            <w:vMerge w:val="restart"/>
          </w:tcPr>
          <w:p>
            <w:pPr>
              <w:jc w:val="center"/>
              <w:ind w:right="6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080" w:type="dxa"/>
            <w:vAlign w:val="bottom"/>
            <w:gridSpan w:val="3"/>
            <w:vMerge w:val="restart"/>
          </w:tcPr>
          <w:p>
            <w:pPr>
              <w:jc w:val="center"/>
              <w:ind w:right="20"/>
              <w:spacing w:after="0" w:line="142"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46"/>
        </w:trPr>
        <w:tc>
          <w:tcPr>
            <w:tcW w:w="21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060" w:type="dxa"/>
            <w:vAlign w:val="bottom"/>
            <w:gridSpan w:val="5"/>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16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20"/>
                <w:szCs w:val="20"/>
                <w:color w:val="auto"/>
              </w:rPr>
            </w:pP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Capital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7"/>
        </w:trPr>
        <w:tc>
          <w:tcPr>
            <w:tcW w:w="21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September 18,</w:t>
            </w: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w:t>
            </w:r>
          </w:p>
        </w:tc>
        <w:tc>
          <w:tcPr>
            <w:tcW w:w="90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3"/>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 $</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w:t>
            </w: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common stock to</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16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20"/>
                <w:szCs w:val="20"/>
                <w:color w:val="auto"/>
                <w:vertAlign w:val="superscript"/>
              </w:rPr>
              <w:t>(1)</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5,031,250</w:t>
            </w:r>
          </w:p>
        </w:tc>
        <w:tc>
          <w:tcPr>
            <w:tcW w:w="26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24,497</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178"/>
        </w:trPr>
        <w:tc>
          <w:tcPr>
            <w:tcW w:w="216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October 13,</w:t>
            </w: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1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60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79"/>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5,031,250</w:t>
            </w:r>
          </w:p>
        </w:tc>
        <w:tc>
          <w:tcPr>
            <w:tcW w:w="260" w:type="dxa"/>
            <w:vAlign w:val="bottom"/>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24,497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(761)</w:t>
            </w:r>
          </w:p>
        </w:tc>
        <w:tc>
          <w:tcPr>
            <w:tcW w:w="100" w:type="dxa"/>
            <w:vAlign w:val="bottom"/>
          </w:tcPr>
          <w:p>
            <w:pPr>
              <w:spacing w:after="0"/>
              <w:rPr>
                <w:sz w:val="22"/>
                <w:szCs w:val="22"/>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24,239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39" w:hanging="426"/>
        <w:spacing w:after="0" w:line="293" w:lineRule="auto"/>
        <w:tabs>
          <w:tab w:leader="none" w:pos="880"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656,250 shares of Class B common stock subject to forfeiture if the over-allotment option is not exercised in full or in part by the underwriters (see Notes 3 and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3" w:name="page164"/>
    <w:bookmarkEnd w:id="163"/>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September 18, 2020 (inception) through October 13,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r>
      <w:tr>
        <w:trPr>
          <w:trHeight w:val="27"/>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274" w:right="1440" w:bottom="1440" w:gutter="0" w:footer="0" w:header="0"/>
        </w:sectPr>
      </w:pP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from issuance of Class B common stock to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55245</wp:posOffset>
            </wp:positionV>
            <wp:extent cx="514350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231775</wp:posOffset>
            </wp:positionV>
            <wp:extent cx="514350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803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968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40"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25,000</w:t>
      </w:r>
    </w:p>
    <w:p>
      <w:pPr>
        <w:spacing w:after="0" w:line="374"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02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3" w:lineRule="exact"/>
        <w:rPr>
          <w:sz w:val="20"/>
          <w:szCs w:val="20"/>
          <w:color w:val="auto"/>
        </w:rPr>
      </w:pPr>
    </w:p>
    <w:p>
      <w:pPr>
        <w:ind w:left="608" w:hanging="608"/>
        <w:spacing w:after="0"/>
        <w:tabs>
          <w:tab w:leader="none" w:pos="608"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29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6592" w:space="720"/>
            <w:col w:w="1707"/>
          </w:cols>
          <w:pgMar w:left="1440" w:top="274"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Arial" w:cs="Arial" w:eastAsia="Arial" w:hAnsi="Arial"/>
          <w:sz w:val="18"/>
          <w:szCs w:val="18"/>
          <w:color w:val="auto"/>
        </w:rPr>
        <w:t>Deferred offering costs included in accrued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37,500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64" w:name="page165"/>
    <w:bookmarkEnd w:id="16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7GC &amp; Co. Holdings Inc. (the “Company”) is a blank check company incorporated in Delaware on September 18, 2020 (inception). The Company was formed for the purpose of effectuating a merger, capital stock exchange, asset acquisition, stock purchase, reorganization or other similar business combination with one or more businesses (the “Business Combination”). The Company is an early stage and emerging growth company and, as such, the Company is subject to all of the risks associated with early stage and emerging growth companies.</w:t>
      </w:r>
    </w:p>
    <w:p>
      <w:pPr>
        <w:spacing w:after="0" w:line="125" w:lineRule="exact"/>
        <w:rPr>
          <w:sz w:val="20"/>
          <w:szCs w:val="20"/>
          <w:color w:val="auto"/>
        </w:rPr>
      </w:pPr>
    </w:p>
    <w:p>
      <w:pPr>
        <w:ind w:left="460" w:right="599" w:firstLine="432"/>
        <w:spacing w:after="0" w:line="311" w:lineRule="auto"/>
        <w:rPr>
          <w:sz w:val="20"/>
          <w:szCs w:val="20"/>
          <w:color w:val="auto"/>
        </w:rPr>
      </w:pPr>
      <w:r>
        <w:rPr>
          <w:rFonts w:ascii="Arial" w:cs="Arial" w:eastAsia="Arial" w:hAnsi="Arial"/>
          <w:sz w:val="16"/>
          <w:szCs w:val="16"/>
          <w:color w:val="auto"/>
        </w:rPr>
        <w:t>As of October 13, 2020, the Company had not yet commenced any operations. All activity for the period from September 18, 2020 (inception) through October 13, 2020 relates to the Company’s formation and the Proposed Public Offering (as defined below). The Company has selected December 31 as its fiscal year end.</w:t>
      </w:r>
    </w:p>
    <w:p>
      <w:pPr>
        <w:spacing w:after="0" w:line="8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initial public offering of 17,500,000 units at $10.00 per unit (or 20,125,000 units if the underwriters’ over-allotment option is exercised in full) (the “Units” and, with respect to the shares of Class A common stock included in the Units being offered, the “Public Shares”) which is discussed in Note 3 (the “Proposed Public Offering”) and the sale of 6,250,000 warrants (or 6,775,000 if the underwriters’ over-allotment option is exercised in full, each, a “Private Placement Warrant” and collectively, the “Private Placement Warrants”) at a price of $1.00 per Private Placement Warrant that will close in a private placement to the Company’s sponsor, 7GC &amp; Co. Holdings LLC</w:t>
      </w:r>
      <w:r>
        <w:rPr>
          <w:rFonts w:ascii="Arial" w:cs="Arial" w:eastAsia="Arial" w:hAnsi="Arial"/>
          <w:sz w:val="17"/>
          <w:szCs w:val="17"/>
          <w:i w:val="1"/>
          <w:iCs w:val="1"/>
          <w:color w:val="auto"/>
        </w:rPr>
        <w:t>,</w:t>
      </w:r>
      <w:r>
        <w:rPr>
          <w:rFonts w:ascii="Arial" w:cs="Arial" w:eastAsia="Arial" w:hAnsi="Arial"/>
          <w:sz w:val="17"/>
          <w:szCs w:val="17"/>
          <w:color w:val="auto"/>
        </w:rPr>
        <w:t xml:space="preserve"> a Delaware limited liability company (the “Sponsor”), simultaneously with the closing of the Proposed Public Offering (as described in Note 3). The Company intends to list the Units on the Nasdaq Capital Market (“Nasdaq”).</w:t>
      </w:r>
    </w:p>
    <w:p>
      <w:pPr>
        <w:spacing w:after="0" w:line="104"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 fair market value equal to at least 80% of the balance in the Trust Account (as defined below) (excluding the deferred underwriting commissions and taxes payable on income earned on the Trust Account) at the time of the signing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the certain proceeds from the sale of the Private Placement Warrants, will be held in a trust account (the “Trust Account”) in the United States, with Continental Stock Transfer &amp; Trust Company acting as trustee, and invested in U.S. government securities, within the meaning set forth in Section 2(a)(16) of the Investment Company Act, with a maturity of 185 days or less, or in any money market funds meeting certain conditions of Rule 2a-7 of the Investment Company Act, which invest only in direct U.S, government treasury obligations until the earlier of: (i) the consummation of a Business Combination or (ii) the distribution of the funds in the Trust Account to the Company’s stockholders, as described below.</w:t>
      </w:r>
    </w:p>
    <w:p>
      <w:pPr>
        <w:spacing w:after="0" w:line="119"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Company will provide its holders of the outstanding Public Shares (the “Public Stockholders”) with the opportunity to redeem all or a portion of their Public Shares upon the completion of a Business Combination either (i) in connection with a stockholders meeting called to approve the Business Combination or (ii) by means of a tender offer. In connection with a proposed Business Combination, the Company may seek stockholder approval of a Business Combination at a meeting called for such purpose at which public stockholders may seek to redeem their shares, regardless of whether they vote for or against a Business Combination. The Company will proceed with a Business Combination only if the Company has net tangible assets of at least $5,000,001 either immediately prior to or upon such consummation of a Business Combination and, if the Company seeks stockholder approval, a majority of the outstanding shares voted are voted in favor of the Business Combination.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5" w:name="page166"/>
    <w:bookmarkEnd w:id="16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699" w:firstLine="432"/>
        <w:spacing w:after="0" w:line="254"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Company’s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seeking redemption rights with respect to 15% or more of the Public Shares without the Company’s prior written consent.</w:t>
      </w:r>
    </w:p>
    <w:p>
      <w:pPr>
        <w:spacing w:after="0" w:line="127"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Public Stockholders will be entitled to redeem their shares for a pro rata portion of the amount then in the Trust Account (initially $10.00 per share, plus any pro rata interest earned on the funds held in the Trust Account and not previously released to the Company to pay its tax obligations). The per-share amount to be distributed to Public Stockholders who redeem their shares will not be reduced by the deferred underwriting commissions the Company will pay to the representative of the underwriters (as discussed in Note 5). There will be no redemption rights upon the completion of a Business Combination with respect to the Company’s warrants. These shares of Class A common stock will be recorded at a redemption value and classified as temporary equity upon the completion of the Proposed Public Offering, in accordance with Accounting Standards Codification (“ASC”) Topic 480 “Distinguishing Liabilities from Equity.”</w:t>
      </w:r>
    </w:p>
    <w:p>
      <w:pPr>
        <w:spacing w:after="0" w:line="85" w:lineRule="exact"/>
        <w:rPr>
          <w:sz w:val="20"/>
          <w:szCs w:val="20"/>
          <w:color w:val="auto"/>
        </w:rPr>
      </w:pPr>
    </w:p>
    <w:p>
      <w:pPr>
        <w:ind w:left="460" w:right="859" w:firstLine="432"/>
        <w:spacing w:after="0" w:line="296" w:lineRule="auto"/>
        <w:rPr>
          <w:sz w:val="20"/>
          <w:szCs w:val="20"/>
          <w:color w:val="auto"/>
        </w:rPr>
      </w:pPr>
      <w:r>
        <w:rPr>
          <w:rFonts w:ascii="Arial" w:cs="Arial" w:eastAsia="Arial" w:hAnsi="Arial"/>
          <w:sz w:val="16"/>
          <w:szCs w:val="16"/>
          <w:color w:val="auto"/>
        </w:rPr>
        <w:t>If a stockholder vote is not required and the Company does not decide to hold a stockholder vote for business or other legal reasons, the Company will, pursuant to its Amended and Restated Certificate of Incorporation, offer such redemption pursuant to the tender offer rules of the Securities and Exchange Commission (the “SEC”), and file tender offer documents containing substantially the same information as would be included in a proxy statement with the SEC prior to completing a Business Combination.</w:t>
      </w:r>
    </w:p>
    <w:p>
      <w:pPr>
        <w:spacing w:after="0" w:line="94"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Company’s Sponsor has agreed (a) to vote its Founder Shares (as defined in Note 4) and any Public Shares purchased during or after the Proposed Public Offering in favor of a Business Combination, (b) not to propose an amendment to the Company’s amended and restated certificate of incorporation with respect to the Company’s pre-Business Combination activities prior to the consummation of a Business Combination unless the Company provides dissenting Public Stockholders with the opportunity to redeem their Public Shares in conjunction with any such amendment; (c) not to redeem any shares (including the Founder Shares) and Private Placement Warrants (including underlying securities) into the right to receive cash from the Trust Account in connection with a stockholder vote to approve a Business Combination (or to sell any shares in a tender offer in connection with a Business Combination if the Company does not seek stockholder approval in connection therewith) or a vote to amend the provisions of the amended and restated certificate of incorporation relating to stockholders’ rights of pre-Business Combination activity and (d) that the Founder Shares and Private Placement Warrants (including underlying securities) shall not participate in any liquidating distributions upon winding up if a Business Combination is not consummated. However, the Sponsor will be entitled to liquidating distributions from the Trust Account with respect to any Public Shares purchased during or after the Proposed Public Offering if the Company fails to complete its Business Combination.</w:t>
      </w:r>
    </w:p>
    <w:p>
      <w:pPr>
        <w:spacing w:after="0" w:line="100"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taxes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 of applicable law. The representative of the underwriters has agreed to waive its rights to the deferred underwriting commission held in the Trust Account in the event the Company does not complete a Business Combination within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6" w:name="page167"/>
    <w:bookmarkEnd w:id="16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DESCRIPTION OF ORGANIZATION AND BUSINESS OPERATIONS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59" w:lineRule="auto"/>
        <w:rPr>
          <w:sz w:val="20"/>
          <w:szCs w:val="20"/>
          <w:color w:val="auto"/>
        </w:rPr>
      </w:pPr>
      <w:r>
        <w:rPr>
          <w:rFonts w:ascii="Arial" w:cs="Arial" w:eastAsia="Arial" w:hAnsi="Arial"/>
          <w:sz w:val="18"/>
          <w:szCs w:val="18"/>
          <w:color w:val="auto"/>
        </w:rPr>
        <w:t>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day of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However, we have not asked the Sponsor to reserve for such indemnification obligations, nor have we independently verified whether the Sponsor has sufficient funds to satisfy its indemnity obligations. None of the Company’s officers or directors will indemnify the Company for claims by third parties including, without limitation, claims by vendors and prospective target businesses.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left="460" w:right="579" w:firstLine="432"/>
        <w:spacing w:after="0" w:line="342" w:lineRule="auto"/>
        <w:rPr>
          <w:sz w:val="20"/>
          <w:szCs w:val="20"/>
          <w:color w:val="auto"/>
        </w:rPr>
      </w:pPr>
      <w:r>
        <w:rPr>
          <w:rFonts w:ascii="Arial" w:cs="Arial" w:eastAsia="Arial" w:hAnsi="Arial"/>
          <w:sz w:val="16"/>
          <w:szCs w:val="16"/>
          <w:color w:val="auto"/>
        </w:rPr>
        <w:t>The accompanying financial statements are presented in conformity with accounting principles generally accepted in the United States of America (“GAAP”) and pursuant to the rules and regulations of the SEC.</w:t>
      </w:r>
    </w:p>
    <w:p>
      <w:pPr>
        <w:spacing w:after="0" w:line="56"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460" w:right="659" w:firstLine="432"/>
        <w:spacing w:after="0" w:line="290"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 of Section 404 of the Sarbanes-Oxley Act, reduced disclosure obligations regarding executive compensation in its periodic reports and proxy statements, and exemptions from the requirement of holding a nonbinding advisory vote on executive compensation and stockholder approval of any golden parachute payments not previously approved.</w:t>
      </w:r>
    </w:p>
    <w:p>
      <w:pPr>
        <w:spacing w:after="0" w:line="84"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7" w:name="page168"/>
    <w:bookmarkEnd w:id="16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619"/>
        <w:spacing w:after="0" w:line="255" w:lineRule="auto"/>
        <w:rPr>
          <w:sz w:val="20"/>
          <w:szCs w:val="20"/>
          <w:color w:val="auto"/>
        </w:rPr>
      </w:pPr>
      <w:r>
        <w:rPr>
          <w:rFonts w:ascii="Arial" w:cs="Arial" w:eastAsia="Arial" w:hAnsi="Arial"/>
          <w:sz w:val="18"/>
          <w:szCs w:val="18"/>
          <w:color w:val="auto"/>
        </w:rPr>
        <w:t>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460" w:right="479" w:firstLine="432"/>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460" w:right="499" w:firstLine="432"/>
        <w:spacing w:after="0" w:line="342"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did not have any cash equivalents as of October 13, 2020.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Deferred offering costs consist of legal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incurred, will be charged to operations.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460" w:right="619" w:firstLine="432"/>
        <w:spacing w:after="0" w:line="290"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84" w:lineRule="exact"/>
        <w:rPr>
          <w:sz w:val="20"/>
          <w:szCs w:val="20"/>
          <w:color w:val="auto"/>
        </w:rPr>
      </w:pPr>
    </w:p>
    <w:p>
      <w:pPr>
        <w:ind w:left="460" w:right="619" w:firstLine="432"/>
        <w:spacing w:after="0" w:line="290" w:lineRule="auto"/>
        <w:rPr>
          <w:sz w:val="20"/>
          <w:szCs w:val="20"/>
          <w:color w:val="auto"/>
        </w:rPr>
      </w:pPr>
      <w:r>
        <w:rPr>
          <w:rFonts w:ascii="Arial" w:cs="Arial" w:eastAsia="Arial" w:hAnsi="Arial"/>
          <w:sz w:val="16"/>
          <w:szCs w:val="16"/>
          <w:color w:val="auto"/>
        </w:rPr>
        <w:t>The Company follows the asset and liability method of accounting for income taxes under FASB ASC, 740, “Income Taxes.” 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October 13, 2020. The Company is currently not aware of any issues under review that could result in significant payments, accruals or material deviation from its position.</w:t>
      </w:r>
    </w:p>
    <w:p>
      <w:pPr>
        <w:spacing w:after="0" w:line="98" w:lineRule="exact"/>
        <w:rPr>
          <w:sz w:val="20"/>
          <w:szCs w:val="20"/>
          <w:color w:val="auto"/>
        </w:rPr>
      </w:pPr>
    </w:p>
    <w:p>
      <w:pPr>
        <w:ind w:left="460" w:right="759" w:firstLine="432"/>
        <w:spacing w:after="0" w:line="277" w:lineRule="auto"/>
        <w:rPr>
          <w:sz w:val="20"/>
          <w:szCs w:val="20"/>
          <w:color w:val="auto"/>
        </w:rPr>
      </w:pPr>
      <w:r>
        <w:rPr>
          <w:rFonts w:ascii="Arial" w:cs="Arial" w:eastAsia="Arial" w:hAnsi="Arial"/>
          <w:sz w:val="18"/>
          <w:szCs w:val="18"/>
          <w:color w:val="auto"/>
        </w:rPr>
        <w:t>The Company’s tax provision for the period from September 18, 2020 (inception) through October 13, 2020 and deferred taxes at October 13, 2020 were de minimus.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common share</w:t>
      </w:r>
    </w:p>
    <w:p>
      <w:pPr>
        <w:spacing w:after="0" w:line="162"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Net loss per common share is computed by dividing net loss applicable to common stockholders by the weighted average number of common shares outstanding during the period (after deducting 656,250 shares subject to forfeiture by the Sponsor in connection with a Proposed Public Offering, as described in Notes 4 and 6), plus, to the extent dilutive, the incremental number of shares of common stock to settle warrants, as calculated using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8" w:name="page169"/>
    <w:bookmarkEnd w:id="16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59"/>
        <w:spacing w:after="0" w:line="311" w:lineRule="auto"/>
        <w:rPr>
          <w:sz w:val="20"/>
          <w:szCs w:val="20"/>
          <w:color w:val="auto"/>
        </w:rPr>
      </w:pPr>
      <w:r>
        <w:rPr>
          <w:rFonts w:ascii="Arial" w:cs="Arial" w:eastAsia="Arial" w:hAnsi="Arial"/>
          <w:sz w:val="16"/>
          <w:szCs w:val="16"/>
          <w:color w:val="auto"/>
        </w:rPr>
        <w:t>treasury stock method. At October 13, 2020,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Corporation coverage limit of $250,000. At October 13, 2020, the Company had not experienced losses on this account and management believes the Company is not exposed to significant risks on such account.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left="460" w:right="559" w:firstLine="432"/>
        <w:spacing w:after="0" w:line="342"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On October 13, 2020, the Sponsor purchased 5,031,250 shares of the Company’s Class B common stock, par value $0.0001 per share, (the “Founder Shares”) for an aggregate purchase price of $25,000, or approximately $0.005 per share. Of these, up to 656,250 shares are subject to forfeiture by the Sponsor to the extent that the underwriters’ over-allotment is not exercised in full. The forfeiture will be adjusted to the extent that the over-allotment option is not exercised in full by the underwriters so that the initial stockholders will own 20.0% of the Company’s issued and outstanding shares after the Proposed Public Offering (assuming the Sponsor does not purchase any Public Shares in the Proposed Public Offering and excluding the Private Placement Warrants and underlying securities). On December 1, 2020, the Sponsor transferred 25,000 Founder Shares to each of Messrs. Jones, Schofield and Eggen, and Ms. Robinson, four of the Company’s director nominees.</w:t>
      </w:r>
    </w:p>
    <w:p>
      <w:pPr>
        <w:spacing w:after="0" w:line="104"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Company’s initial stockholders have agreed not to transfer, assign or sell any of their Founder Shares until the earlier to occur of: (A) one year after the completion of a Business Combination or (B) subsequent to the initial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on which the Company completes a liquidation, merger, capital stock exchange, reorganization or other similar transaction that results in all of the stockholders having the right to exchange their shares of common stock for cash, securities or other property.</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Private Placement Warrants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connection with the Proposed Public Offering, the Sponsor has agreed to purchase an aggregate of 6,250,000 Private Placement Warrants (or 6,775,000 if the underwriters’ overallotment option is exercised) at a price of $1.00 per warrant (approximately $6.3 million in the aggregate, or approximately $6.8 million if the underwriters’ overallotment option is exercised), in a private placement that will close simultaneously with the closing of the Proposed Public Offering. Each warrant is exercisable to purchase one share of the Company’s Class A common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79"/>
        <w:spacing w:after="0" w:line="275" w:lineRule="auto"/>
        <w:rPr>
          <w:sz w:val="20"/>
          <w:szCs w:val="20"/>
          <w:color w:val="auto"/>
        </w:rPr>
      </w:pPr>
      <w:r>
        <w:rPr>
          <w:rFonts w:ascii="Arial" w:cs="Arial" w:eastAsia="Arial" w:hAnsi="Arial"/>
          <w:sz w:val="17"/>
          <w:szCs w:val="17"/>
          <w:color w:val="auto"/>
        </w:rPr>
        <w:t>stock at a price of $11.50 per share. Certain proceeds from the sale of the Private Placement Warrants will be added to the net proceeds from the Proposed Public Offering held in the Trust Account. If the Company does not complete a Business Combination within the Combination Period, the proceeds from the sale of the Private Placement Warrants will be used to fund the redemption of the Public Shares (subject to the requirement of applicable law) and the Private Placement Warrants will expire worthless.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On September 18, 2020, the Sponsor agreed to loan the Company an aggregate of up to $300,000 to cover expenses related to the Proposed Public Offering pursuant to a promissory note (the “Note”). This loan is non-interest bearing and is due on the earlier of March 31, 2021 or the completion of the Proposed Public Offering. As of October 13, 2020, the Company had not drawn down any amount under the terms of the Note. Subsequent to October 13, 2020, the Company borrowed $150,000 under the Note.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Loans</w:t>
      </w:r>
    </w:p>
    <w:p>
      <w:pPr>
        <w:spacing w:after="0" w:line="14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In order to finance transaction costs in connection with a Business Combination, the Company’s Sponsor, an affiliate of the Sponsor, or the Company’s officers and directors may, but are not obligated to, loan the Company funds as may be required (the “Working Capital Loans”). Such Working Capital Loans would be evidenced by promissory notes. The notes would either be repaid upon consummation of a Business Combination, without interest, or, at the lender’s discretion, up to $1.5 million of notes may be converted upon consummation of a Business Combination into additional Private Placement Warrants at a price of $1.00 per Warrant. In the event that a Business Combination does not close, the Company may use a portion of proceeds held outside the Trust Account to repay the Working Capital Loans but no proceeds held in the Trust Account would be used to repay the Working Capital Loans. As of December 2, 2020, the Company had no borrowings under the Working Capital Loans.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Administrative Support Agreement</w:t>
      </w:r>
    </w:p>
    <w:p>
      <w:pPr>
        <w:spacing w:after="0" w:line="162"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Company will agree to pay $10,000 a month for office space, utilities, and secretarial and administrative support to the Sponsor. Services will commence on the date the securities are first listed on the Nasdaq and will terminate upon the earlier of the consummation by the Company of a Business Combination or the liquidation of the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COMMITMENTS AND CONTINGENCIES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2"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Management is currently evaluating the impact of the COVID-19 global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The holders of the Founder Shares, Private Placement Warrants and any warrants that may be issued upon conversion of the Working Capital Loans (and any shares of Class A common stock issuable upon the exercise of the Private Placement Warrants and warrants that may be issued upon conversion of Working Capital Loans and upon conversion of the Founder Shares) will be entitled to registration rights pursuant to a registration rights agreement to be signed prior to or on the effective date of the Proposed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0" w:name="page171"/>
    <w:bookmarkEnd w:id="17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COMMITMENTS AND CONTINGENCIES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579"/>
        <w:spacing w:after="0" w:line="311" w:lineRule="auto"/>
        <w:rPr>
          <w:sz w:val="20"/>
          <w:szCs w:val="20"/>
          <w:color w:val="auto"/>
        </w:rPr>
      </w:pPr>
      <w:r>
        <w:rPr>
          <w:rFonts w:ascii="Arial" w:cs="Arial" w:eastAsia="Arial" w:hAnsi="Arial"/>
          <w:sz w:val="16"/>
          <w:szCs w:val="16"/>
          <w:color w:val="auto"/>
        </w:rPr>
        <w:t>to the consummation of a Business Combination. The registration rights agreement will not contain liquidating damages or other cash settlement provisions resulting from delays in registering the Company’s securities. The Company will bear the expenses incurred in connection with the filing of any such registration statements.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Underwriting Agreement</w:t>
      </w:r>
    </w:p>
    <w:p>
      <w:pPr>
        <w:spacing w:after="0" w:line="162" w:lineRule="exact"/>
        <w:rPr>
          <w:sz w:val="20"/>
          <w:szCs w:val="20"/>
          <w:color w:val="auto"/>
        </w:rPr>
      </w:pPr>
    </w:p>
    <w:p>
      <w:pPr>
        <w:jc w:val="both"/>
        <w:ind w:left="460" w:right="539" w:firstLine="432"/>
        <w:spacing w:after="0" w:line="342" w:lineRule="auto"/>
        <w:rPr>
          <w:sz w:val="20"/>
          <w:szCs w:val="20"/>
          <w:color w:val="auto"/>
        </w:rPr>
      </w:pPr>
      <w:r>
        <w:rPr>
          <w:rFonts w:ascii="Arial" w:cs="Arial" w:eastAsia="Arial" w:hAnsi="Arial"/>
          <w:sz w:val="16"/>
          <w:szCs w:val="16"/>
          <w:color w:val="auto"/>
        </w:rPr>
        <w:t>The Company will grant the underwriters a 45-day option to purchase up to 2,625,000 additional Units to cover over-allotments at the Proposed Public Offering price, less the underwriting discounts and commissions.</w:t>
      </w:r>
    </w:p>
    <w:p>
      <w:pPr>
        <w:spacing w:after="0" w:line="43"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underwriters will be entitled to a cash underwriting discount of 2.0% of the gross proceeds of the Proposed Public Offering, or $3.5 million in the aggregate (or approximately $4.0 million if the underwriters’ overallotment option is exercised in full). In addition, the representative of the underwriters will be entitled to a deferred fee of 3.5% of the Proposed Public Offering, or approximately $6.1 million in the aggregate (or approximately $7.0 million if the underwriters’ overallotment option is exercised in full). The deferred fee will become payable to the representative of the underwriters from the amounts held in the Trust Account solely in the event that the Company completes a Business Combination, subject to the terms of the underwriting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STOCKHOLDER’S EQUITY</w:t>
      </w:r>
    </w:p>
    <w:p>
      <w:pPr>
        <w:spacing w:after="0" w:line="162"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$0.0001 par value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At October 13, 2020, there were no preferred shares issued or outstanding.</w:t>
      </w:r>
    </w:p>
    <w:p>
      <w:pPr>
        <w:spacing w:after="0" w:line="103" w:lineRule="exact"/>
        <w:rPr>
          <w:sz w:val="20"/>
          <w:szCs w:val="20"/>
          <w:color w:val="auto"/>
        </w:rPr>
      </w:pPr>
    </w:p>
    <w:p>
      <w:pPr>
        <w:ind w:left="460" w:right="539" w:firstLine="432"/>
        <w:spacing w:after="0" w:line="31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up to 100,000,000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par value common stock. Holders of the Company’s Class A common stock are entitled to one vote for each share. At October 13, 2020, there were no shares of Class A common stock issued or outstanding.</w:t>
      </w:r>
    </w:p>
    <w:p>
      <w:pPr>
        <w:spacing w:after="0" w:line="68" w:lineRule="exact"/>
        <w:rPr>
          <w:sz w:val="20"/>
          <w:szCs w:val="20"/>
          <w:color w:val="auto"/>
        </w:rPr>
      </w:pPr>
    </w:p>
    <w:p>
      <w:pPr>
        <w:ind w:left="460" w:right="579" w:firstLine="432"/>
        <w:spacing w:after="0" w:line="273"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The Company is authorized to issue up to 10,000,000 shares of Class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$0.0001 par value common stock. At October 13, 2020, there were 5,031,250 shares of Class B common stock issued and outstanding, of which up to 656,250 shares were subject to forfeiture by the Sponsor to the extent that the underwriters’ over-allotment option is not exercised in full, so that the Sponsor will own 20% of the issued and outstanding shares after the Proposed Public Offering (assuming the Sponsor does not purchase any Units in the Proposed Public Offering).</w:t>
      </w:r>
    </w:p>
    <w:p>
      <w:pPr>
        <w:spacing w:after="0" w:line="110"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Holders of the Company’s Class B common stock are entitled to one vote for each share. The shares of Class B common stock will automatically convert into shares of Class A common stock at the time of the Business Combination on a one-for-one basis, subject to adjustment for stock splits, stock dividends, reorganizations, recapitalizations and the like. In the case that additional shares of Class A common stock, or equity-linked securities, are issued or deemed issued in excess of the amounts offered in the Proposed Public Offering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Proposed Public Offering plus all shares of Class A common stock and equity-linked securities issued or deemed issued in connection with the initial Business Combination (excluding any shares or equity-linked securities issued, or to be issued, to any seller in the initial Business Combination and any private placement-equivalent warrants issued to the Sponsor or its affiliates upon conversion of loans made to the Company).</w:t>
      </w:r>
    </w:p>
    <w:p>
      <w:pPr>
        <w:spacing w:after="0" w:line="10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The Public Warrants will become exercisable on the later of (a) 30 days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consummation of a Business Combination or (b) 12 months from the closing of the Proposed Public Offering, provided in each case that the Company has an effective registration statement under the Securities Act covering the shares of Class A common stock issuable upon exercise of the warrants and a current prospectus relating to them is available (or the Company permits holders to exercise their warrants on a cashless basis under certain circumstances).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1" w:name="page172"/>
    <w:bookmarkEnd w:id="17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STOCKHOLDER’S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99"/>
        <w:spacing w:after="0" w:line="266" w:lineRule="auto"/>
        <w:rPr>
          <w:sz w:val="20"/>
          <w:szCs w:val="20"/>
          <w:color w:val="auto"/>
        </w:rPr>
      </w:pPr>
      <w:r>
        <w:rPr>
          <w:rFonts w:ascii="Arial" w:cs="Arial" w:eastAsia="Arial" w:hAnsi="Arial"/>
          <w:sz w:val="17"/>
          <w:szCs w:val="17"/>
          <w:color w:val="auto"/>
        </w:rPr>
        <w:t>Company has agreed that as soon as practicable, but in no event later than 15 business days after the closing of the initial Business Combination, it will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If a registration statement covering the shares of Class A common stock issuable upon exercise of the warrants is not effective by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after the closing of the initial Business Combination, the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If that exemption, or another exemption, is not available, holders will not be able to exercise their warrants on a cashless basis.</w:t>
      </w:r>
    </w:p>
    <w:p>
      <w:pPr>
        <w:spacing w:after="0" w:line="116"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from the consummation of a Business Combination or earlier upon redemption or liquidation. The exercise price and number of shares of Class A common stock issuable upon exercise of the warrants may be adjusted in certain circumstances including in the event of a share dividend, or recapitalization, reorganization, merger or consolidation. In addition, if (x) the Company issues additional shares of Class A common stock or equity-linked securities for capital raising purposes in connection with the closing of its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common stock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will be adjusted (to the nearest cent) to be equal to 180% of the higher of the Market Value and the Newly Issued Price.</w:t>
      </w:r>
    </w:p>
    <w:p>
      <w:pPr>
        <w:spacing w:after="0" w:line="88"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Additionally, in no event will the Company be required to net cash settle the Public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If the Company calls the Public Warrants for redemption, management will have the option to require all holders that wish to exercise the Public Warrants to do so on a “cashless basis,” as described in the warrant agreement. The exercise price and number of common shares issuable upon exercise of the Public Warrants may be adjusted in certain circumstances including in the event of a stock dividend, extraordinary dividend or recapitalization, reorganization, merger or consolidation.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Once the warrants become exercisable, the Company may redeem the outstanding warrants (excluding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Private Placement Warrants):</w:t>
      </w:r>
    </w:p>
    <w:p>
      <w:pPr>
        <w:spacing w:after="0" w:line="143" w:lineRule="exact"/>
        <w:rPr>
          <w:sz w:val="20"/>
          <w:szCs w:val="20"/>
          <w:color w:val="auto"/>
        </w:rPr>
      </w:pPr>
    </w:p>
    <w:p>
      <w:pPr>
        <w:ind w:left="1300" w:hanging="41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2" w:name="page173"/>
    <w:bookmarkEnd w:id="172"/>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5. STOCKHOLDER’S EQUITY </w:t>
      </w:r>
      <w:r>
        <w:rPr>
          <w:rFonts w:ascii="Arial" w:cs="Arial" w:eastAsia="Arial" w:hAnsi="Arial"/>
          <w:sz w:val="18"/>
          <w:szCs w:val="18"/>
          <w:color w:val="auto"/>
        </w:rPr>
        <w:t>(cont.)</w:t>
      </w:r>
    </w:p>
    <w:p>
      <w:pPr>
        <w:spacing w:after="0" w:line="189" w:lineRule="exact"/>
        <w:rPr>
          <w:sz w:val="20"/>
          <w:szCs w:val="20"/>
          <w:color w:val="auto"/>
        </w:rPr>
      </w:pPr>
    </w:p>
    <w:p>
      <w:pPr>
        <w:ind w:left="1320" w:right="619" w:hanging="434"/>
        <w:spacing w:after="0" w:line="277" w:lineRule="auto"/>
        <w:tabs>
          <w:tab w:leader="none" w:pos="13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and</w:t>
      </w:r>
    </w:p>
    <w:p>
      <w:pPr>
        <w:spacing w:after="0" w:line="102" w:lineRule="exact"/>
        <w:rPr>
          <w:rFonts w:ascii="Arial" w:cs="Arial" w:eastAsia="Arial" w:hAnsi="Arial"/>
          <w:sz w:val="18"/>
          <w:szCs w:val="18"/>
          <w:color w:val="auto"/>
        </w:rPr>
      </w:pPr>
    </w:p>
    <w:p>
      <w:pPr>
        <w:ind w:left="1320" w:right="699" w:hanging="434"/>
        <w:spacing w:after="0" w:line="291" w:lineRule="auto"/>
        <w:tabs>
          <w:tab w:leader="none" w:pos="1311"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and only if, the last sale price of Class A common stock equals or exceeds $18.00 per share (as adjusted for stock splits, stock dividends, reorganizations, recapitalizations and the like) for any</w:t>
      </w:r>
    </w:p>
    <w:p>
      <w:pPr>
        <w:ind w:left="1320" w:right="619"/>
        <w:spacing w:after="0" w:line="255" w:lineRule="auto"/>
        <w:rPr>
          <w:rFonts w:ascii="Arial" w:cs="Arial" w:eastAsia="Arial" w:hAnsi="Arial"/>
          <w:sz w:val="16"/>
          <w:szCs w:val="16"/>
          <w:color w:val="auto"/>
        </w:rPr>
      </w:pPr>
      <w:r>
        <w:rPr>
          <w:rFonts w:ascii="Arial" w:cs="Arial" w:eastAsia="Arial" w:hAnsi="Arial"/>
          <w:sz w:val="18"/>
          <w:szCs w:val="18"/>
          <w:color w:val="auto"/>
        </w:rPr>
        <w:t>20 trading days within a 30-trading day period commencing once the warrants become exercisable ending on the third trading day prior to the date on which the Company sends the notice of redemption to the warrant holders.</w:t>
      </w:r>
    </w:p>
    <w:p>
      <w:pPr>
        <w:spacing w:after="0" w:line="109"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The Company will not redeem the warrants unless a registration statement under the Securities Act covering the shares of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the Company, it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11"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Private Placement Warrants will be identical to the Public Warrants underlying the Units being sold in the Proposed Public Offering, except that the Private Placement Warrants will, and the common shares issuable upon the exercise of the Private Placement Warrants will not, be transferable, assignable or salable until after the completion of a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SUBSEQUENT EVENTS</w:t>
      </w:r>
    </w:p>
    <w:p>
      <w:pPr>
        <w:spacing w:after="0" w:line="162" w:lineRule="exact"/>
        <w:rPr>
          <w:sz w:val="20"/>
          <w:szCs w:val="20"/>
          <w:color w:val="auto"/>
        </w:rPr>
      </w:pPr>
    </w:p>
    <w:p>
      <w:pPr>
        <w:ind w:left="460" w:right="1099" w:firstLine="432"/>
        <w:spacing w:after="0" w:line="342" w:lineRule="auto"/>
        <w:rPr>
          <w:sz w:val="20"/>
          <w:szCs w:val="20"/>
          <w:color w:val="auto"/>
        </w:rPr>
      </w:pPr>
      <w:r>
        <w:rPr>
          <w:rFonts w:ascii="Arial" w:cs="Arial" w:eastAsia="Arial" w:hAnsi="Arial"/>
          <w:sz w:val="16"/>
          <w:szCs w:val="16"/>
          <w:color w:val="auto"/>
        </w:rPr>
        <w:t>On December 1, 2020, the Sponsor transferred 25,000 shares of Class B common stock to each of Messrs. Jones, Schofield and Eggen, and Ms. Robinson, four of the Company’s director nominees.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Subsequent to October 13, 2020, the Company borrowed $150,000 under the Note.</w:t>
      </w:r>
    </w:p>
    <w:p>
      <w:pPr>
        <w:spacing w:after="0" w:line="158"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Management has evaluated subsequent events to determine if events or transactions occurring after the balance sheet date up to December 3, 2020, the date of the financial statements were issued require potential adjustment to or disclosure in the financial statements and has concluded that all such events that would require adjustment or disclosure, except as noted above, have been recognized or disclosed.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3" w:name="page174"/>
    <w:bookmarkEnd w:id="173"/>
    <w:p>
      <w:pPr>
        <w:ind w:left="46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346710</wp:posOffset>
            </wp:positionV>
            <wp:extent cx="514350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389255</wp:posOffset>
            </wp:positionV>
            <wp:extent cx="514350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17,500,000 Units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7GC &amp; Co.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2020</w:t>
      </w:r>
    </w:p>
    <w:p>
      <w:pPr>
        <w:spacing w:after="0" w:line="6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Sole Book-Running Manager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Cantor</w:t>
      </w:r>
    </w:p>
    <w:p>
      <w:pPr>
        <w:spacing w:after="0" w:line="200" w:lineRule="exact"/>
        <w:rPr>
          <w:sz w:val="20"/>
          <w:szCs w:val="20"/>
          <w:color w:val="auto"/>
        </w:rPr>
      </w:pPr>
    </w:p>
    <w:p>
      <w:pPr>
        <w:spacing w:after="0" w:line="250" w:lineRule="exact"/>
        <w:rPr>
          <w:sz w:val="20"/>
          <w:szCs w:val="20"/>
          <w:color w:val="auto"/>
        </w:rPr>
      </w:pPr>
    </w:p>
    <w:p>
      <w:pPr>
        <w:ind w:left="880"/>
        <w:spacing w:after="0"/>
        <w:tabs>
          <w:tab w:leader="none" w:pos="1960" w:val="left"/>
        </w:tabs>
        <w:rPr>
          <w:sz w:val="20"/>
          <w:szCs w:val="20"/>
          <w:color w:val="auto"/>
        </w:rPr>
      </w:pPr>
      <w:r>
        <w:rPr>
          <w:rFonts w:ascii="Arial" w:cs="Arial" w:eastAsia="Arial" w:hAnsi="Arial"/>
          <w:sz w:val="17"/>
          <w:szCs w:val="17"/>
          <w:color w:val="auto"/>
        </w:rPr>
        <w:t>Until</w:t>
      </w:r>
      <w:r>
        <w:rPr>
          <w:sz w:val="20"/>
          <w:szCs w:val="20"/>
          <w:color w:val="auto"/>
        </w:rPr>
        <w:tab/>
      </w:r>
      <w:r>
        <w:rPr>
          <w:rFonts w:ascii="Arial" w:cs="Arial" w:eastAsia="Arial" w:hAnsi="Arial"/>
          <w:sz w:val="17"/>
          <w:szCs w:val="17"/>
          <w:color w:val="auto"/>
        </w:rPr>
        <w:t>, 2021 (25 days after the date of this prospectus), all dealers that buy, sell or trade our</w:t>
      </w:r>
    </w:p>
    <w:p>
      <w:pPr>
        <w:spacing w:after="0" w:line="35" w:lineRule="exact"/>
        <w:rPr>
          <w:sz w:val="20"/>
          <w:szCs w:val="20"/>
          <w:color w:val="auto"/>
        </w:rPr>
      </w:pPr>
    </w:p>
    <w:p>
      <w:pPr>
        <w:ind w:left="460" w:right="739"/>
        <w:spacing w:after="0" w:line="255" w:lineRule="auto"/>
        <w:rPr>
          <w:sz w:val="20"/>
          <w:szCs w:val="20"/>
          <w:color w:val="auto"/>
        </w:rPr>
      </w:pPr>
      <w:r>
        <w:rPr>
          <w:rFonts w:ascii="Arial" w:cs="Arial" w:eastAsia="Arial" w:hAnsi="Arial"/>
          <w:sz w:val="18"/>
          <w:szCs w:val="18"/>
          <w:color w:val="auto"/>
        </w:rPr>
        <w:t>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5" w:lineRule="exact"/>
        <w:rPr>
          <w:sz w:val="20"/>
          <w:szCs w:val="20"/>
          <w:color w:val="auto"/>
        </w:rPr>
      </w:pPr>
    </w:p>
    <w:p>
      <w:pPr>
        <w:ind w:left="460" w:right="579" w:firstLine="432"/>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06" w:lineRule="exact"/>
        <w:rPr>
          <w:sz w:val="20"/>
          <w:szCs w:val="20"/>
          <w:color w:val="auto"/>
        </w:rPr>
      </w:pPr>
    </w:p>
    <w:p>
      <w:pPr>
        <w:ind w:left="460" w:right="479" w:firstLine="432"/>
        <w:spacing w:after="0" w:line="317" w:lineRule="auto"/>
        <w:rPr>
          <w:sz w:val="20"/>
          <w:szCs w:val="20"/>
          <w:color w:val="auto"/>
        </w:rPr>
      </w:pPr>
      <w:r>
        <w:rPr>
          <w:rFonts w:ascii="Arial" w:cs="Arial" w:eastAsia="Arial" w:hAnsi="Arial"/>
          <w:sz w:val="15"/>
          <w:szCs w:val="15"/>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240665</wp:posOffset>
            </wp:positionV>
            <wp:extent cx="514350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283845</wp:posOffset>
            </wp:positionV>
            <wp:extent cx="514350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558165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74" w:name="page175"/>
    <w:bookmarkEnd w:id="174"/>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460" w:right="1039" w:firstLine="432"/>
        <w:spacing w:after="0" w:line="308"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52,644</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Travel and road show</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860" w:type="dxa"/>
            <w:vAlign w:val="bottom"/>
          </w:tcPr>
          <w:p>
            <w:pPr>
              <w:spacing w:after="0"/>
              <w:rPr>
                <w:sz w:val="20"/>
                <w:szCs w:val="20"/>
                <w:color w:val="auto"/>
              </w:rPr>
            </w:pPr>
            <w:r>
              <w:rPr>
                <w:rFonts w:ascii="Arial" w:cs="Arial" w:eastAsia="Arial" w:hAnsi="Arial"/>
                <w:sz w:val="18"/>
                <w:szCs w:val="18"/>
                <w:color w:val="auto"/>
              </w:rPr>
              <w:t>Director and Officer liability insurance premiums</w:t>
            </w:r>
            <w:r>
              <w:rPr>
                <w:rFonts w:ascii="Arial" w:cs="Arial" w:eastAsia="Arial" w:hAnsi="Arial"/>
                <w:sz w:val="20"/>
                <w:szCs w:val="20"/>
                <w:color w:val="auto"/>
                <w:vertAlign w:val="superscript"/>
              </w:rPr>
              <w:t>(1)</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119,856</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offering expenses</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sz w:val="20"/>
          <w:szCs w:val="20"/>
          <w:color w:val="auto"/>
        </w:rPr>
      </w:pPr>
    </w:p>
    <w:p>
      <w:pPr>
        <w:ind w:left="880" w:right="779" w:hanging="426"/>
        <w:spacing w:after="0" w:line="276" w:lineRule="auto"/>
        <w:tabs>
          <w:tab w:leader="none" w:pos="87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48"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DGCL. Section 145 of the Delaware General Corporation Law concerning indemnification of officers, directors, employees and agents is set forth below.</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58" w:lineRule="exact"/>
        <w:rPr>
          <w:sz w:val="20"/>
          <w:szCs w:val="20"/>
          <w:color w:val="auto"/>
        </w:rPr>
      </w:pPr>
    </w:p>
    <w:p>
      <w:pPr>
        <w:ind w:left="1320" w:right="499" w:hanging="434"/>
        <w:spacing w:after="0" w:line="268" w:lineRule="auto"/>
        <w:tabs>
          <w:tab w:leader="none" w:pos="1303"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98" w:lineRule="exact"/>
        <w:rPr>
          <w:rFonts w:ascii="Arial" w:cs="Arial" w:eastAsia="Arial" w:hAnsi="Arial"/>
          <w:sz w:val="17"/>
          <w:szCs w:val="17"/>
          <w:color w:val="auto"/>
        </w:rPr>
      </w:pPr>
    </w:p>
    <w:p>
      <w:pPr>
        <w:ind w:left="1320" w:right="479" w:hanging="434"/>
        <w:spacing w:after="0" w:line="269" w:lineRule="auto"/>
        <w:tabs>
          <w:tab w:leader="none" w:pos="126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5" w:name="page176"/>
    <w:bookmarkEnd w:id="175"/>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479"/>
        <w:spacing w:after="0" w:line="257" w:lineRule="auto"/>
        <w:rPr>
          <w:sz w:val="20"/>
          <w:szCs w:val="20"/>
          <w:color w:val="auto"/>
        </w:rPr>
      </w:pPr>
      <w:r>
        <w:rPr>
          <w:rFonts w:ascii="Arial" w:cs="Arial" w:eastAsia="Arial" w:hAnsi="Arial"/>
          <w:sz w:val="18"/>
          <w:szCs w:val="18"/>
          <w:color w:val="auto"/>
        </w:rPr>
        <w:t>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0" w:lineRule="exact"/>
        <w:rPr>
          <w:sz w:val="20"/>
          <w:szCs w:val="20"/>
          <w:color w:val="auto"/>
        </w:rPr>
      </w:pPr>
    </w:p>
    <w:p>
      <w:pPr>
        <w:ind w:left="1320" w:right="579" w:hanging="434"/>
        <w:spacing w:after="0" w:line="291" w:lineRule="auto"/>
        <w:tabs>
          <w:tab w:leader="none" w:pos="130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w:t>
      </w:r>
    </w:p>
    <w:p>
      <w:pPr>
        <w:ind w:left="1320" w:right="659" w:hanging="2"/>
        <w:spacing w:after="0" w:line="255" w:lineRule="auto"/>
        <w:tabs>
          <w:tab w:leader="none" w:pos="1575" w:val="left"/>
        </w:tabs>
        <w:numPr>
          <w:ilvl w:val="1"/>
          <w:numId w:val="95"/>
        </w:numPr>
        <w:rPr>
          <w:rFonts w:ascii="Arial" w:cs="Arial" w:eastAsia="Arial" w:hAnsi="Arial"/>
          <w:sz w:val="18"/>
          <w:szCs w:val="18"/>
          <w:color w:val="auto"/>
        </w:rPr>
      </w:pPr>
      <w:r>
        <w:rPr>
          <w:rFonts w:ascii="Arial" w:cs="Arial" w:eastAsia="Arial" w:hAnsi="Arial"/>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22" w:lineRule="exact"/>
        <w:rPr>
          <w:rFonts w:ascii="Arial" w:cs="Arial" w:eastAsia="Arial" w:hAnsi="Arial"/>
          <w:sz w:val="18"/>
          <w:szCs w:val="18"/>
          <w:color w:val="auto"/>
        </w:rPr>
      </w:pPr>
    </w:p>
    <w:p>
      <w:pPr>
        <w:ind w:left="1320" w:right="459" w:hanging="434"/>
        <w:spacing w:after="0" w:line="305" w:lineRule="auto"/>
        <w:tabs>
          <w:tab w:leader="none" w:pos="1268"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5"/>
          <w:szCs w:val="15"/>
          <w:color w:val="auto"/>
        </w:rPr>
      </w:pPr>
    </w:p>
    <w:p>
      <w:pPr>
        <w:ind w:left="1320" w:right="499" w:hanging="2"/>
        <w:spacing w:after="0" w:line="281" w:lineRule="auto"/>
        <w:tabs>
          <w:tab w:leader="none" w:pos="1565"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2" w:lineRule="exact"/>
        <w:rPr>
          <w:rFonts w:ascii="Arial" w:cs="Arial" w:eastAsia="Arial" w:hAnsi="Arial"/>
          <w:sz w:val="16"/>
          <w:szCs w:val="16"/>
          <w:color w:val="auto"/>
        </w:rPr>
      </w:pPr>
    </w:p>
    <w:p>
      <w:pPr>
        <w:ind w:left="1320" w:right="799"/>
        <w:spacing w:after="0" w:line="260" w:lineRule="auto"/>
        <w:rPr>
          <w:rFonts w:ascii="Arial" w:cs="Arial" w:eastAsia="Arial" w:hAnsi="Arial"/>
          <w:sz w:val="16"/>
          <w:szCs w:val="16"/>
          <w:color w:val="auto"/>
        </w:rPr>
      </w:pPr>
      <w:r>
        <w:rPr>
          <w:rFonts w:ascii="Arial" w:cs="Arial" w:eastAsia="Arial" w:hAnsi="Arial"/>
          <w:sz w:val="18"/>
          <w:szCs w:val="18"/>
          <w:color w:val="auto"/>
        </w:rPr>
        <w:t>(3) if there are no such directors, or if such directors so direct, by independent legal counsel in a written opinion, or (4) by the stockholders.</w:t>
      </w:r>
    </w:p>
    <w:p>
      <w:pPr>
        <w:spacing w:after="0" w:line="104" w:lineRule="exact"/>
        <w:rPr>
          <w:rFonts w:ascii="Arial" w:cs="Arial" w:eastAsia="Arial" w:hAnsi="Arial"/>
          <w:sz w:val="16"/>
          <w:szCs w:val="16"/>
          <w:color w:val="auto"/>
        </w:rPr>
      </w:pPr>
    </w:p>
    <w:p>
      <w:pPr>
        <w:ind w:left="1320" w:right="479" w:hanging="434"/>
        <w:spacing w:after="0" w:line="254" w:lineRule="auto"/>
        <w:tabs>
          <w:tab w:leader="none" w:pos="1313"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Arial" w:cs="Arial" w:eastAsia="Arial" w:hAnsi="Arial"/>
          <w:sz w:val="18"/>
          <w:szCs w:val="18"/>
          <w:color w:val="auto"/>
        </w:rPr>
      </w:pPr>
    </w:p>
    <w:p>
      <w:pPr>
        <w:ind w:left="1320" w:right="479" w:hanging="434"/>
        <w:spacing w:after="0" w:line="287" w:lineRule="auto"/>
        <w:tabs>
          <w:tab w:leader="none" w:pos="128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04" w:lineRule="exact"/>
        <w:rPr>
          <w:rFonts w:ascii="Arial" w:cs="Arial" w:eastAsia="Arial" w:hAnsi="Arial"/>
          <w:sz w:val="16"/>
          <w:szCs w:val="16"/>
          <w:color w:val="auto"/>
        </w:rPr>
      </w:pPr>
    </w:p>
    <w:p>
      <w:pPr>
        <w:ind w:left="1320" w:right="479" w:hanging="434"/>
        <w:spacing w:after="0" w:line="293" w:lineRule="auto"/>
        <w:tabs>
          <w:tab w:leader="none" w:pos="1268"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3" w:lineRule="exact"/>
        <w:rPr>
          <w:rFonts w:ascii="Arial" w:cs="Arial" w:eastAsia="Arial" w:hAnsi="Arial"/>
          <w:sz w:val="16"/>
          <w:szCs w:val="16"/>
          <w:color w:val="auto"/>
        </w:rPr>
      </w:pPr>
    </w:p>
    <w:p>
      <w:pPr>
        <w:ind w:left="1320" w:right="499" w:hanging="434"/>
        <w:spacing w:after="0" w:line="272" w:lineRule="auto"/>
        <w:tabs>
          <w:tab w:leader="none" w:pos="12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6" w:name="page177"/>
    <w:bookmarkEnd w:id="176"/>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320" w:right="819"/>
        <w:spacing w:after="0" w:line="286" w:lineRule="auto"/>
        <w:rPr>
          <w:sz w:val="20"/>
          <w:szCs w:val="20"/>
          <w:color w:val="auto"/>
        </w:rPr>
      </w:pPr>
      <w:r>
        <w:rPr>
          <w:rFonts w:ascii="Arial" w:cs="Arial" w:eastAsia="Arial" w:hAnsi="Arial"/>
          <w:sz w:val="17"/>
          <w:szCs w:val="17"/>
          <w:color w:val="auto"/>
        </w:rPr>
        <w:t>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98" w:lineRule="exact"/>
        <w:rPr>
          <w:sz w:val="20"/>
          <w:szCs w:val="20"/>
          <w:color w:val="auto"/>
        </w:rPr>
      </w:pPr>
    </w:p>
    <w:p>
      <w:pPr>
        <w:ind w:left="1320" w:right="559" w:hanging="434"/>
        <w:spacing w:after="0" w:line="270" w:lineRule="auto"/>
        <w:tabs>
          <w:tab w:leader="none" w:pos="1283"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13" w:lineRule="exact"/>
        <w:rPr>
          <w:rFonts w:ascii="Arial" w:cs="Arial" w:eastAsia="Arial" w:hAnsi="Arial"/>
          <w:sz w:val="17"/>
          <w:szCs w:val="17"/>
          <w:color w:val="auto"/>
        </w:rPr>
      </w:pPr>
    </w:p>
    <w:p>
      <w:pPr>
        <w:ind w:left="1320" w:right="499" w:hanging="434"/>
        <w:spacing w:after="0" w:line="259" w:lineRule="auto"/>
        <w:tabs>
          <w:tab w:leader="none" w:pos="12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05" w:lineRule="exact"/>
        <w:rPr>
          <w:rFonts w:ascii="Arial" w:cs="Arial" w:eastAsia="Arial" w:hAnsi="Arial"/>
          <w:sz w:val="18"/>
          <w:szCs w:val="18"/>
          <w:color w:val="auto"/>
        </w:rPr>
      </w:pPr>
    </w:p>
    <w:p>
      <w:pPr>
        <w:ind w:left="1320" w:right="479" w:hanging="434"/>
        <w:spacing w:after="0" w:line="301" w:lineRule="auto"/>
        <w:tabs>
          <w:tab w:leader="none" w:pos="1274"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90" w:lineRule="exact"/>
        <w:rPr>
          <w:sz w:val="20"/>
          <w:szCs w:val="20"/>
          <w:color w:val="auto"/>
        </w:rPr>
      </w:pPr>
    </w:p>
    <w:p>
      <w:pPr>
        <w:ind w:left="460" w:right="459" w:firstLine="432"/>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0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24"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7" w:name="page178"/>
    <w:bookmarkEnd w:id="177"/>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60" w:right="539"/>
        <w:spacing w:after="0" w:line="263" w:lineRule="auto"/>
        <w:rPr>
          <w:sz w:val="20"/>
          <w:szCs w:val="20"/>
          <w:color w:val="auto"/>
        </w:rPr>
      </w:pPr>
      <w:r>
        <w:rPr>
          <w:rFonts w:ascii="Arial" w:cs="Arial" w:eastAsia="Arial" w:hAnsi="Arial"/>
          <w:sz w:val="18"/>
          <w:szCs w:val="18"/>
          <w:color w:val="auto"/>
        </w:rPr>
        <w:t>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16"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19"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1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19"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18"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97"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20"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Pursuant to the Underwriting Agreement to be filed as an exhibit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8" w:name="page179"/>
    <w:bookmarkEnd w:id="178"/>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4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In September 2020, our sponsor purchased 5,031,250 founder shares for an aggregate purchase price of $25,000, or approximately $0.005 per share. The number of founder shares issued was determined based on the expectation that the founder shares would represent 20% of the outstanding shares of common stock upon completion of this offering. Such securities were issued in connection with our organization pursuant to the exemption from registration contained in Section 4(a)(2) of the Securities Act. Our sponsor is an accredited investor for purposes of Rule 501 of Regulation D.</w:t>
      </w:r>
    </w:p>
    <w:p>
      <w:pPr>
        <w:spacing w:after="0" w:line="110"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In addition, our sponsor has committed, pursuant to a written agreement, to purchase from us an aggregate of 6,250,000 warrants (or 6,775,000 warrants if the underwriters’ over-allotment option is exercised in full), at a price of $1.00 per warrant, for an aggregate purchase price of $6,250,000 (or $6,775,000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320" w:right="1159" w:hanging="434"/>
        <w:spacing w:after="0" w:line="277" w:lineRule="auto"/>
        <w:tabs>
          <w:tab w:leader="none" w:pos="1312"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list of exhibits preceding the signature page of this registration statement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89" w:lineRule="exact"/>
        <w:rPr>
          <w:rFonts w:ascii="Arial" w:cs="Arial" w:eastAsia="Arial" w:hAnsi="Arial"/>
          <w:sz w:val="18"/>
          <w:szCs w:val="18"/>
          <w:color w:val="auto"/>
        </w:rPr>
      </w:pPr>
    </w:p>
    <w:p>
      <w:pPr>
        <w:ind w:left="1320" w:right="499" w:hanging="434"/>
        <w:spacing w:after="0" w:line="277" w:lineRule="auto"/>
        <w:tabs>
          <w:tab w:leader="none" w:pos="1278"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jc w:val="both"/>
        <w:ind w:left="1320" w:right="539" w:hanging="434"/>
        <w:spacing w:after="0" w:line="286" w:lineRule="auto"/>
        <w:tabs>
          <w:tab w:leader="none" w:pos="130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97" w:lineRule="exact"/>
        <w:rPr>
          <w:rFonts w:ascii="Arial" w:cs="Arial" w:eastAsia="Arial" w:hAnsi="Arial"/>
          <w:sz w:val="17"/>
          <w:szCs w:val="17"/>
          <w:color w:val="auto"/>
        </w:rPr>
      </w:pPr>
    </w:p>
    <w:p>
      <w:pPr>
        <w:ind w:left="1320" w:right="479" w:hanging="434"/>
        <w:spacing w:after="0" w:line="269" w:lineRule="auto"/>
        <w:tabs>
          <w:tab w:leader="none" w:pos="127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Arial" w:cs="Arial" w:eastAsia="Arial" w:hAnsi="Arial"/>
          <w:sz w:val="17"/>
          <w:szCs w:val="17"/>
          <w:color w:val="auto"/>
        </w:rPr>
      </w:pPr>
    </w:p>
    <w:p>
      <w:pPr>
        <w:ind w:left="1300" w:hanging="41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1760" w:right="779" w:hanging="442"/>
        <w:spacing w:after="0" w:line="296" w:lineRule="auto"/>
        <w:tabs>
          <w:tab w:leader="none" w:pos="171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3" w:lineRule="exact"/>
        <w:rPr>
          <w:rFonts w:ascii="Arial" w:cs="Arial" w:eastAsia="Arial" w:hAnsi="Arial"/>
          <w:sz w:val="16"/>
          <w:szCs w:val="16"/>
          <w:color w:val="auto"/>
        </w:rPr>
      </w:pPr>
    </w:p>
    <w:p>
      <w:pPr>
        <w:ind w:left="1760" w:right="959" w:hanging="442"/>
        <w:spacing w:after="0" w:line="301" w:lineRule="auto"/>
        <w:tabs>
          <w:tab w:leader="none" w:pos="171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Arial" w:cs="Arial" w:eastAsia="Arial" w:hAnsi="Arial"/>
          <w:sz w:val="16"/>
          <w:szCs w:val="16"/>
          <w:color w:val="auto"/>
        </w:rPr>
      </w:pPr>
    </w:p>
    <w:p>
      <w:pPr>
        <w:ind w:left="1760" w:right="519" w:hanging="442"/>
        <w:spacing w:after="0" w:line="311" w:lineRule="auto"/>
        <w:tabs>
          <w:tab w:leader="none" w:pos="171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79" w:name="page180"/>
    <w:bookmarkEnd w:id="179"/>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1760" w:right="619"/>
        <w:spacing w:after="0" w:line="270" w:lineRule="auto"/>
        <w:rPr>
          <w:sz w:val="20"/>
          <w:szCs w:val="20"/>
          <w:color w:val="auto"/>
        </w:rPr>
      </w:pPr>
      <w:r>
        <w:rPr>
          <w:rFonts w:ascii="Arial" w:cs="Arial" w:eastAsia="Arial" w:hAnsi="Arial"/>
          <w:sz w:val="17"/>
          <w:szCs w:val="17"/>
          <w:color w:val="auto"/>
        </w:rPr>
        <w:t>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3" w:lineRule="exact"/>
        <w:rPr>
          <w:sz w:val="20"/>
          <w:szCs w:val="20"/>
          <w:color w:val="auto"/>
        </w:rPr>
      </w:pPr>
    </w:p>
    <w:p>
      <w:pPr>
        <w:ind w:left="1760" w:right="499" w:hanging="442"/>
        <w:spacing w:after="0" w:line="272" w:lineRule="auto"/>
        <w:tabs>
          <w:tab w:leader="none" w:pos="171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rFonts w:ascii="Arial" w:cs="Arial" w:eastAsia="Arial" w:hAnsi="Arial"/>
          <w:sz w:val="17"/>
          <w:szCs w:val="17"/>
          <w:color w:val="auto"/>
        </w:rPr>
      </w:pPr>
    </w:p>
    <w:p>
      <w:pPr>
        <w:ind w:left="2180" w:right="719" w:hanging="430"/>
        <w:spacing w:after="0" w:line="277" w:lineRule="auto"/>
        <w:tabs>
          <w:tab w:leader="none" w:pos="213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2180" w:right="919" w:hanging="430"/>
        <w:spacing w:after="0" w:line="308" w:lineRule="auto"/>
        <w:tabs>
          <w:tab w:leader="none" w:pos="213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an undersigned registrant;</w:t>
      </w:r>
    </w:p>
    <w:p>
      <w:pPr>
        <w:spacing w:after="0" w:line="78" w:lineRule="exact"/>
        <w:rPr>
          <w:rFonts w:ascii="Arial" w:cs="Arial" w:eastAsia="Arial" w:hAnsi="Arial"/>
          <w:sz w:val="17"/>
          <w:szCs w:val="17"/>
          <w:color w:val="auto"/>
        </w:rPr>
      </w:pPr>
    </w:p>
    <w:p>
      <w:pPr>
        <w:ind w:left="2180" w:right="539" w:hanging="430"/>
        <w:spacing w:after="0" w:line="263" w:lineRule="auto"/>
        <w:tabs>
          <w:tab w:leader="none" w:pos="215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2180" w:right="999" w:hanging="430"/>
        <w:spacing w:after="0" w:line="277" w:lineRule="auto"/>
        <w:tabs>
          <w:tab w:leader="none" w:pos="213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0" w:name="page181"/>
    <w:bookmarkEnd w:id="180"/>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EXHIBIT INDEX</w:t>
      </w:r>
    </w:p>
    <w:p>
      <w:pPr>
        <w:spacing w:after="0" w:line="230"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Description</w:t>
      </w:r>
    </w:p>
    <w:p>
      <w:pPr>
        <w:spacing w:after="0" w:line="7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3" w:lineRule="exact"/>
        <w:rPr>
          <w:sz w:val="20"/>
          <w:szCs w:val="20"/>
          <w:color w:val="auto"/>
        </w:rPr>
      </w:pPr>
    </w:p>
    <w:p>
      <w:pPr>
        <w:ind w:left="4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183">
        <w:r>
          <w:rPr>
            <w:rFonts w:ascii="Arial" w:cs="Arial" w:eastAsia="Arial" w:hAnsi="Arial"/>
            <w:sz w:val="16"/>
            <w:szCs w:val="16"/>
            <w:u w:val="single" w:color="auto"/>
            <w:color w:val="0000EE"/>
          </w:rPr>
          <w:t>Certificate of Incorporation*</w:t>
        </w:r>
      </w:hyperlink>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3.3</w:t>
      </w:r>
      <w:r>
        <w:rPr>
          <w:sz w:val="20"/>
          <w:szCs w:val="20"/>
          <w:color w:val="auto"/>
        </w:rPr>
        <w:tab/>
      </w:r>
      <w:hyperlink w:anchor="page188">
        <w:r>
          <w:rPr>
            <w:rFonts w:ascii="Arial" w:cs="Arial" w:eastAsia="Arial" w:hAnsi="Arial"/>
            <w:sz w:val="17"/>
            <w:szCs w:val="17"/>
            <w:u w:val="single" w:color="auto"/>
            <w:color w:val="0000EE"/>
          </w:rPr>
          <w:t>By Laws*</w:t>
        </w:r>
      </w:hyperlink>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Class A Common Stock Certificate**</w:t>
      </w:r>
    </w:p>
    <w:p>
      <w:pPr>
        <w:spacing w:after="0" w:line="7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Specimen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120" w:right="879" w:hanging="660"/>
        <w:spacing w:after="0" w:line="273" w:lineRule="auto"/>
        <w:tabs>
          <w:tab w:leader="none" w:pos="11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LLC and the Registrant**</w:t>
      </w:r>
    </w:p>
    <w:p>
      <w:pPr>
        <w:spacing w:after="0" w:line="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right="639" w:hanging="660"/>
        <w:spacing w:after="0" w:line="273" w:lineRule="auto"/>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Letter Agreement among the Registrant and our officers, directors and 7GC &amp; Co. Holdings LLC**</w:t>
      </w:r>
    </w:p>
    <w:p>
      <w:pPr>
        <w:spacing w:after="0" w:line="2" w:lineRule="exact"/>
        <w:rPr>
          <w:sz w:val="20"/>
          <w:szCs w:val="20"/>
          <w:color w:val="auto"/>
        </w:rPr>
      </w:pPr>
    </w:p>
    <w:p>
      <w:pPr>
        <w:ind w:left="4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206">
        <w:r>
          <w:rPr>
            <w:rFonts w:ascii="Arial" w:cs="Arial" w:eastAsia="Arial" w:hAnsi="Arial"/>
            <w:sz w:val="16"/>
            <w:szCs w:val="16"/>
            <w:u w:val="single" w:color="auto"/>
            <w:color w:val="0000EE"/>
          </w:rPr>
          <w:t>Promissory Note, dated September 18, 2020, issued to 7GC &amp; Co.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right="999" w:hanging="660"/>
        <w:spacing w:after="0" w:line="273" w:lineRule="auto"/>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Investment Management Trust Agreement between Continental Stock Transfer &amp; Trust Company, LLC and the Registrant**</w:t>
      </w:r>
    </w:p>
    <w:p>
      <w:pPr>
        <w:spacing w:after="0" w:line="2"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Registration Rights Agreement between the Registrant and certain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right="519" w:hanging="660"/>
        <w:spacing w:after="0" w:line="27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210">
        <w:r>
          <w:rPr>
            <w:rFonts w:ascii="Arial" w:cs="Arial" w:eastAsia="Arial" w:hAnsi="Arial"/>
            <w:sz w:val="18"/>
            <w:szCs w:val="18"/>
            <w:u w:val="single" w:color="auto"/>
            <w:color w:val="0000EE"/>
          </w:rPr>
          <w:t>Securities Subscription Agreement, dated September 18, 2020, between the Registrant and 7GC &amp; Co.</w:t>
        </w:r>
      </w:hyperlink>
      <w:r>
        <w:rPr>
          <w:rFonts w:ascii="Arial" w:cs="Arial" w:eastAsia="Arial" w:hAnsi="Arial"/>
          <w:sz w:val="18"/>
          <w:szCs w:val="18"/>
          <w:u w:val="single" w:color="auto"/>
          <w:color w:val="0000EE"/>
        </w:rPr>
        <w:t xml:space="preserve"> </w:t>
      </w:r>
      <w:hyperlink w:anchor="page210">
        <w:r>
          <w:rPr>
            <w:rFonts w:ascii="Arial" w:cs="Arial" w:eastAsia="Arial" w:hAnsi="Arial"/>
            <w:sz w:val="18"/>
            <w:szCs w:val="18"/>
            <w:u w:val="single" w:color="auto"/>
            <w:color w:val="0000EE"/>
          </w:rPr>
          <w:t>Holdings LLC*</w:t>
        </w:r>
      </w:hyperlink>
    </w:p>
    <w:p>
      <w:pPr>
        <w:spacing w:after="0" w:line="2" w:lineRule="exact"/>
        <w:rPr>
          <w:sz w:val="20"/>
          <w:szCs w:val="20"/>
          <w:color w:val="auto"/>
        </w:rPr>
      </w:pPr>
    </w:p>
    <w:p>
      <w:pPr>
        <w:ind w:left="1120" w:right="879" w:hanging="660"/>
        <w:spacing w:after="0" w:line="273" w:lineRule="auto"/>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Private Placement Warrants Purchase Agreement between the Registrant and 7GC &amp; 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Indemnity Agreement**</w:t>
      </w:r>
    </w:p>
    <w:p>
      <w:pPr>
        <w:spacing w:after="0" w:line="77" w:lineRule="exact"/>
        <w:rPr>
          <w:sz w:val="20"/>
          <w:szCs w:val="20"/>
          <w:color w:val="auto"/>
        </w:rPr>
      </w:pPr>
    </w:p>
    <w:p>
      <w:pPr>
        <w:ind w:left="1120" w:right="639" w:hanging="660"/>
        <w:spacing w:after="0" w:line="273" w:lineRule="auto"/>
        <w:tabs>
          <w:tab w:leader="none" w:pos="1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Administrative Support Agreement by and between the Registrant and 7GC &amp; 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1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Form of Code of Ethics**</w:t>
      </w:r>
    </w:p>
    <w:p>
      <w:pPr>
        <w:spacing w:after="0" w:line="77" w:lineRule="exact"/>
        <w:rPr>
          <w:sz w:val="20"/>
          <w:szCs w:val="20"/>
          <w:color w:val="auto"/>
        </w:rPr>
      </w:pPr>
    </w:p>
    <w:p>
      <w:pPr>
        <w:ind w:left="46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17">
        <w:r>
          <w:rPr>
            <w:rFonts w:ascii="Arial" w:cs="Arial" w:eastAsia="Arial" w:hAnsi="Arial"/>
            <w:sz w:val="16"/>
            <w:szCs w:val="16"/>
            <w:u w:val="single" w:color="auto"/>
            <w:color w:val="0000EE"/>
          </w:rPr>
          <w:t>Consent of WithumSmith+Brown, PC*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Ellenoff Grossman &amp; Schole LLP (included in Exhibit 5.1)**</w:t>
      </w:r>
    </w:p>
    <w:p>
      <w:pPr>
        <w:spacing w:after="0" w:line="77" w:lineRule="exact"/>
        <w:rPr>
          <w:sz w:val="20"/>
          <w:szCs w:val="20"/>
          <w:color w:val="auto"/>
        </w:rPr>
      </w:pPr>
    </w:p>
    <w:p>
      <w:pPr>
        <w:ind w:left="460" w:right="4379" w:hanging="6"/>
        <w:spacing w:after="0" w:line="328" w:lineRule="auto"/>
        <w:tabs>
          <w:tab w:leader="none" w:pos="1121" w:val="left"/>
        </w:tabs>
        <w:numPr>
          <w:ilvl w:val="0"/>
          <w:numId w:val="102"/>
        </w:numPr>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99.1 Form of Audit Committee Charter**</w:t>
      </w:r>
    </w:p>
    <w:p>
      <w:pPr>
        <w:spacing w:after="0" w:line="1" w:lineRule="exact"/>
        <w:rPr>
          <w:rFonts w:ascii="Arial" w:cs="Arial" w:eastAsia="Arial" w:hAnsi="Arial"/>
          <w:sz w:val="18"/>
          <w:szCs w:val="18"/>
          <w:u w:val="single" w:color="auto"/>
          <w:color w:val="0000EE"/>
        </w:rPr>
      </w:pPr>
    </w:p>
    <w:p>
      <w:pPr>
        <w:ind w:left="460"/>
        <w:spacing w:after="0"/>
        <w:rPr>
          <w:rFonts w:ascii="Arial" w:cs="Arial" w:eastAsia="Arial" w:hAnsi="Arial"/>
          <w:sz w:val="18"/>
          <w:szCs w:val="18"/>
          <w:u w:val="single" w:color="auto"/>
          <w:color w:val="0000EE"/>
        </w:rPr>
      </w:pPr>
      <w:r>
        <w:rPr>
          <w:rFonts w:ascii="Arial" w:cs="Arial" w:eastAsia="Arial" w:hAnsi="Arial"/>
          <w:sz w:val="18"/>
          <w:szCs w:val="18"/>
          <w:color w:val="auto"/>
        </w:rPr>
        <w:t>99.2</w:t>
      </w:r>
      <w:r>
        <w:rPr>
          <w:rFonts w:ascii="Arial" w:cs="Arial" w:eastAsia="Arial" w:hAnsi="Arial"/>
          <w:sz w:val="16"/>
          <w:szCs w:val="16"/>
          <w:color w:val="auto"/>
        </w:rPr>
        <w:t>Form of Compensation Committee Charter**</w:t>
      </w:r>
    </w:p>
    <w:p>
      <w:pPr>
        <w:spacing w:after="0" w:line="76" w:lineRule="exact"/>
        <w:rPr>
          <w:rFonts w:ascii="Arial" w:cs="Arial" w:eastAsia="Arial" w:hAnsi="Arial"/>
          <w:sz w:val="18"/>
          <w:szCs w:val="18"/>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99.3</w:t>
      </w:r>
      <w:hyperlink w:anchor="page218">
        <w:r>
          <w:rPr>
            <w:rFonts w:ascii="Arial" w:cs="Arial" w:eastAsia="Arial" w:hAnsi="Arial"/>
            <w:sz w:val="16"/>
            <w:szCs w:val="16"/>
            <w:u w:val="single" w:color="auto"/>
            <w:color w:val="0000EE"/>
          </w:rPr>
          <w:t>Consent of Thomas D. Hennessy*</w:t>
        </w:r>
      </w:hyperlink>
    </w:p>
    <w:p>
      <w:pPr>
        <w:spacing w:after="0" w:line="76"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99.4</w:t>
      </w:r>
      <w:hyperlink w:anchor="page219">
        <w:r>
          <w:rPr>
            <w:rFonts w:ascii="Arial" w:cs="Arial" w:eastAsia="Arial" w:hAnsi="Arial"/>
            <w:sz w:val="16"/>
            <w:szCs w:val="16"/>
            <w:u w:val="single" w:color="auto"/>
            <w:color w:val="0000EE"/>
          </w:rPr>
          <w:t>Consent of M. Joseph Beck*</w:t>
        </w:r>
      </w:hyperlink>
    </w:p>
    <w:p>
      <w:pPr>
        <w:spacing w:after="0" w:line="76"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99.5</w:t>
      </w:r>
      <w:hyperlink w:anchor="page220">
        <w:r>
          <w:rPr>
            <w:rFonts w:ascii="Arial" w:cs="Arial" w:eastAsia="Arial" w:hAnsi="Arial"/>
            <w:sz w:val="16"/>
            <w:szCs w:val="16"/>
            <w:u w:val="single" w:color="auto"/>
            <w:color w:val="0000EE"/>
          </w:rPr>
          <w:t>Consent of Courtney Robinson *</w:t>
        </w:r>
      </w:hyperlink>
    </w:p>
    <w:p>
      <w:pPr>
        <w:spacing w:after="0" w:line="76"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99.6</w:t>
      </w:r>
      <w:hyperlink w:anchor="page221">
        <w:r>
          <w:rPr>
            <w:rFonts w:ascii="Arial" w:cs="Arial" w:eastAsia="Arial" w:hAnsi="Arial"/>
            <w:sz w:val="16"/>
            <w:szCs w:val="16"/>
            <w:u w:val="single" w:color="auto"/>
            <w:color w:val="0000EE"/>
          </w:rPr>
          <w:t>Consent of Tripp Jones*</w:t>
        </w:r>
      </w:hyperlink>
    </w:p>
    <w:p>
      <w:pPr>
        <w:spacing w:after="0" w:line="76"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99.7</w:t>
      </w:r>
      <w:hyperlink w:anchor="page222">
        <w:r>
          <w:rPr>
            <w:rFonts w:ascii="Arial" w:cs="Arial" w:eastAsia="Arial" w:hAnsi="Arial"/>
            <w:sz w:val="16"/>
            <w:szCs w:val="16"/>
            <w:u w:val="single" w:color="auto"/>
            <w:color w:val="0000EE"/>
          </w:rPr>
          <w:t>Consent of Kent Schofield*</w:t>
        </w:r>
      </w:hyperlink>
    </w:p>
    <w:p>
      <w:pPr>
        <w:spacing w:after="0" w:line="76"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99.8</w:t>
      </w:r>
      <w:hyperlink w:anchor="page223">
        <w:r>
          <w:rPr>
            <w:rFonts w:ascii="Arial" w:cs="Arial" w:eastAsia="Arial" w:hAnsi="Arial"/>
            <w:sz w:val="16"/>
            <w:szCs w:val="16"/>
            <w:u w:val="single" w:color="auto"/>
            <w:color w:val="0000EE"/>
          </w:rPr>
          <w:t>Consent of Patrick Eggen*</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-1562100</wp:posOffset>
            </wp:positionV>
            <wp:extent cx="5143500" cy="179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-1202055</wp:posOffset>
            </wp:positionV>
            <wp:extent cx="5143500"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-842010</wp:posOffset>
            </wp:positionV>
            <wp:extent cx="5143500" cy="180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-481965</wp:posOffset>
            </wp:positionV>
            <wp:extent cx="5143500" cy="180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rFonts w:ascii="Arial" w:cs="Arial" w:eastAsia="Arial" w:hAnsi="Arial"/>
          <w:sz w:val="16"/>
          <w:szCs w:val="16"/>
          <w:u w:val="single" w:color="auto"/>
          <w:color w:val="0000EE"/>
        </w:rPr>
      </w:pPr>
    </w:p>
    <w:p>
      <w:pPr>
        <w:ind w:left="460"/>
        <w:spacing w:after="0"/>
        <w:rPr>
          <w:sz w:val="20"/>
          <w:szCs w:val="20"/>
          <w:color w:val="auto"/>
        </w:rPr>
      </w:pPr>
      <w:r>
        <w:rPr>
          <w:rFonts w:ascii="Arial" w:cs="Arial" w:eastAsia="Arial" w:hAnsi="Arial"/>
          <w:sz w:val="16"/>
          <w:szCs w:val="16"/>
          <w:color w:val="auto"/>
        </w:rPr>
        <w:t>____________</w:t>
      </w:r>
    </w:p>
    <w:p>
      <w:pPr>
        <w:spacing w:after="0" w:line="22" w:lineRule="exact"/>
        <w:rPr>
          <w:rFonts w:ascii="Arial" w:cs="Arial" w:eastAsia="Arial" w:hAnsi="Arial"/>
          <w:sz w:val="16"/>
          <w:szCs w:val="16"/>
          <w:u w:val="single" w:color="auto"/>
          <w:color w:val="0000EE"/>
        </w:rPr>
      </w:pPr>
    </w:p>
    <w:p>
      <w:pPr>
        <w:ind w:left="860" w:hanging="406"/>
        <w:spacing w:after="0"/>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 w:lineRule="exact"/>
        <w:rPr>
          <w:rFonts w:ascii="Arial" w:cs="Arial" w:eastAsia="Arial" w:hAnsi="Arial"/>
          <w:sz w:val="16"/>
          <w:szCs w:val="16"/>
          <w:u w:val="single" w:color="auto"/>
          <w:color w:val="0000EE"/>
        </w:rPr>
      </w:pPr>
    </w:p>
    <w:p>
      <w:pPr>
        <w:ind w:left="860" w:hanging="406"/>
        <w:spacing w:after="0"/>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86"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1" w:name="page182"/>
    <w:bookmarkEnd w:id="181"/>
    <w:p>
      <w:pPr>
        <w:ind w:left="4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San Francisco, State of California, on the 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December, 2020.</w:t>
      </w:r>
    </w:p>
    <w:p>
      <w:pPr>
        <w:spacing w:after="0" w:line="11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7GC &amp; Co. Holdings Inc.</w:t>
      </w:r>
    </w:p>
    <w:p>
      <w:pPr>
        <w:spacing w:after="0" w:line="189" w:lineRule="exact"/>
        <w:rPr>
          <w:sz w:val="20"/>
          <w:szCs w:val="20"/>
          <w:color w:val="auto"/>
        </w:rPr>
      </w:pPr>
    </w:p>
    <w:p>
      <w:pPr>
        <w:ind w:left="440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Leeney</w:t>
      </w:r>
    </w:p>
    <w:p>
      <w:pPr>
        <w:spacing w:after="0" w:line="7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Jack Leeney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-130175</wp:posOffset>
            </wp:positionV>
            <wp:extent cx="22371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Jack Leeney and Christopher Walsh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7" w:lineRule="exact"/>
        <w:rPr>
          <w:sz w:val="20"/>
          <w:szCs w:val="20"/>
          <w:color w:val="auto"/>
        </w:rPr>
      </w:pPr>
    </w:p>
    <w:p>
      <w:pPr>
        <w:ind w:left="460" w:right="699" w:firstLine="432"/>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3940" w:type="dxa"/>
            <w:vAlign w:val="bottom"/>
            <w:gridSpan w:val="2"/>
          </w:tcPr>
          <w:p>
            <w:pPr>
              <w:ind w:left="1640"/>
              <w:spacing w:after="0"/>
              <w:rPr>
                <w:sz w:val="20"/>
                <w:szCs w:val="20"/>
                <w:color w:val="auto"/>
              </w:rPr>
            </w:pPr>
            <w:r>
              <w:rPr>
                <w:rFonts w:ascii="Arial" w:cs="Arial" w:eastAsia="Arial" w:hAnsi="Arial"/>
                <w:sz w:val="16"/>
                <w:szCs w:val="16"/>
                <w:b w:val="1"/>
                <w:bCs w:val="1"/>
                <w:color w:val="auto"/>
              </w:rPr>
              <w:t>Position</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6"/>
        </w:trPr>
        <w:tc>
          <w:tcPr>
            <w:tcW w:w="2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380" w:type="dxa"/>
            <w:vAlign w:val="bottom"/>
          </w:tcPr>
          <w:p>
            <w:pPr>
              <w:spacing w:after="0"/>
              <w:rPr>
                <w:sz w:val="20"/>
                <w:szCs w:val="20"/>
                <w:color w:val="auto"/>
              </w:rPr>
            </w:pPr>
            <w:r>
              <w:rPr>
                <w:rFonts w:ascii="Arial" w:cs="Arial" w:eastAsia="Arial" w:hAnsi="Arial"/>
                <w:sz w:val="18"/>
                <w:szCs w:val="18"/>
                <w:color w:val="auto"/>
              </w:rPr>
              <w:t>/s/ Jack Leeney</w:t>
            </w: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w w:val="94"/>
              </w:rPr>
              <w:t>Chairman of the Board, Chief Executive Officer, and</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December 7, 2020</w:t>
            </w:r>
          </w:p>
        </w:tc>
        <w:tc>
          <w:tcPr>
            <w:tcW w:w="0" w:type="dxa"/>
            <w:vAlign w:val="bottom"/>
          </w:tcPr>
          <w:p>
            <w:pPr>
              <w:spacing w:after="0"/>
              <w:rPr>
                <w:sz w:val="1"/>
                <w:szCs w:val="1"/>
                <w:color w:val="auto"/>
              </w:rPr>
            </w:pPr>
          </w:p>
        </w:tc>
      </w:tr>
      <w:tr>
        <w:trPr>
          <w:trHeight w:val="41"/>
        </w:trPr>
        <w:tc>
          <w:tcPr>
            <w:tcW w:w="2380" w:type="dxa"/>
            <w:vAlign w:val="bottom"/>
            <w:tcBorders>
              <w:bottom w:val="single" w:sz="8" w:color="auto"/>
            </w:tcBorders>
          </w:tcPr>
          <w:p>
            <w:pPr>
              <w:spacing w:after="0"/>
              <w:rPr>
                <w:sz w:val="3"/>
                <w:szCs w:val="3"/>
                <w:color w:val="auto"/>
              </w:rPr>
            </w:pPr>
          </w:p>
        </w:tc>
        <w:tc>
          <w:tcPr>
            <w:tcW w:w="4060" w:type="dxa"/>
            <w:vAlign w:val="bottom"/>
            <w:gridSpan w:val="3"/>
            <w:vMerge w:val="restart"/>
          </w:tcPr>
          <w:p>
            <w:pPr>
              <w:ind w:left="1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Jack Leeney</w:t>
            </w:r>
          </w:p>
        </w:tc>
        <w:tc>
          <w:tcPr>
            <w:tcW w:w="4060" w:type="dxa"/>
            <w:vAlign w:val="bottom"/>
            <w:gridSpan w:val="3"/>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380" w:type="dxa"/>
            <w:vAlign w:val="bottom"/>
          </w:tcPr>
          <w:p>
            <w:pPr>
              <w:spacing w:after="0"/>
              <w:rPr>
                <w:sz w:val="20"/>
                <w:szCs w:val="20"/>
                <w:color w:val="auto"/>
              </w:rPr>
            </w:pPr>
            <w:r>
              <w:rPr>
                <w:rFonts w:ascii="Arial" w:cs="Arial" w:eastAsia="Arial" w:hAnsi="Arial"/>
                <w:sz w:val="18"/>
                <w:szCs w:val="18"/>
                <w:color w:val="auto"/>
              </w:rPr>
              <w:t>/s/ Christopher Walsh</w:t>
            </w:r>
          </w:p>
        </w:tc>
        <w:tc>
          <w:tcPr>
            <w:tcW w:w="4060" w:type="dxa"/>
            <w:vAlign w:val="bottom"/>
            <w:gridSpan w:val="3"/>
          </w:tcPr>
          <w:p>
            <w:pPr>
              <w:ind w:left="120"/>
              <w:spacing w:after="0"/>
              <w:rPr>
                <w:sz w:val="20"/>
                <w:szCs w:val="20"/>
                <w:color w:val="auto"/>
              </w:rPr>
            </w:pPr>
            <w:r>
              <w:rPr>
                <w:rFonts w:ascii="Arial" w:cs="Arial" w:eastAsia="Arial" w:hAnsi="Arial"/>
                <w:sz w:val="18"/>
                <w:szCs w:val="18"/>
                <w:color w:val="auto"/>
                <w:w w:val="97"/>
              </w:rPr>
              <w:t>Chief Financial Officer and Chief Operating Officer</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December 7, 2020</w:t>
            </w:r>
          </w:p>
        </w:tc>
        <w:tc>
          <w:tcPr>
            <w:tcW w:w="0" w:type="dxa"/>
            <w:vAlign w:val="bottom"/>
          </w:tcPr>
          <w:p>
            <w:pPr>
              <w:spacing w:after="0"/>
              <w:rPr>
                <w:sz w:val="1"/>
                <w:szCs w:val="1"/>
                <w:color w:val="auto"/>
              </w:rPr>
            </w:pPr>
          </w:p>
        </w:tc>
      </w:tr>
      <w:tr>
        <w:trPr>
          <w:trHeight w:val="40"/>
        </w:trPr>
        <w:tc>
          <w:tcPr>
            <w:tcW w:w="2380" w:type="dxa"/>
            <w:vAlign w:val="bottom"/>
            <w:tcBorders>
              <w:bottom w:val="single" w:sz="8" w:color="auto"/>
            </w:tcBorders>
          </w:tcPr>
          <w:p>
            <w:pPr>
              <w:spacing w:after="0"/>
              <w:rPr>
                <w:sz w:val="3"/>
                <w:szCs w:val="3"/>
                <w:color w:val="auto"/>
              </w:rPr>
            </w:pPr>
          </w:p>
        </w:tc>
        <w:tc>
          <w:tcPr>
            <w:tcW w:w="406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Christopher Walsh</w:t>
            </w:r>
          </w:p>
        </w:tc>
        <w:tc>
          <w:tcPr>
            <w:tcW w:w="4060" w:type="dxa"/>
            <w:vAlign w:val="bottom"/>
            <w:gridSpan w:val="3"/>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color w:val="auto"/>
              </w:rPr>
              <w:t>II-8</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18,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for the purposes of forming a corporation under the laws of the State of Delaware, does make, file, and record this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and does hereby certify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7GC &amp; Co. Holdings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 per share, which the Corporation is authorized to issue is 111,000,000 shares, consisting of (a) 110,000,000 shares of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including</w:t>
      </w:r>
    </w:p>
    <w:p>
      <w:pPr>
        <w:ind w:right="380" w:firstLine="8"/>
        <w:spacing w:after="0" w:line="260" w:lineRule="auto"/>
        <w:tabs>
          <w:tab w:leader="none" w:pos="2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10,000,000 shares of Class B Common Stock (the “</w:t>
      </w:r>
      <w:r>
        <w:rPr>
          <w:rFonts w:ascii="Arial" w:cs="Arial" w:eastAsia="Arial" w:hAnsi="Arial"/>
          <w:sz w:val="18"/>
          <w:szCs w:val="18"/>
          <w:b w:val="1"/>
          <w:bCs w:val="1"/>
          <w:i w:val="1"/>
          <w:i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rFonts w:ascii="Arial" w:cs="Arial" w:eastAsia="Arial" w:hAnsi="Arial"/>
          <w:sz w:val="18"/>
          <w:szCs w:val="18"/>
          <w:color w:val="auto"/>
        </w:rPr>
      </w:pPr>
    </w:p>
    <w:p>
      <w:pPr>
        <w:ind w:left="640" w:right="580" w:firstLine="652"/>
        <w:spacing w:after="0" w:line="277" w:lineRule="auto"/>
        <w:tabs>
          <w:tab w:leader="none" w:pos="150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ind w:left="640" w:right="100" w:firstLine="652"/>
        <w:spacing w:after="0" w:line="263" w:lineRule="auto"/>
        <w:tabs>
          <w:tab w:leader="none" w:pos="155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Except as otherwise required by law or this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ind w:left="640" w:firstLine="652"/>
        <w:spacing w:after="0" w:line="270" w:lineRule="auto"/>
        <w:tabs>
          <w:tab w:leader="none" w:pos="16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Except as otherwise required by law or this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Certificate (including any Preferred Stock Designation), holders of shares of any series of Common Stock shall not be entitled to vote on any amendment to this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either separately or together with the holders of one or more other such series, to vote thereon pursuant to this Certificate (including any Preferred Stock Designation) or the DGCL.</w:t>
      </w:r>
    </w:p>
    <w:p>
      <w:pPr>
        <w:spacing w:after="0" w:line="180" w:lineRule="exact"/>
        <w:rPr>
          <w:rFonts w:ascii="Arial" w:cs="Arial" w:eastAsia="Arial" w:hAnsi="Arial"/>
          <w:sz w:val="17"/>
          <w:szCs w:val="17"/>
          <w:color w:val="auto"/>
        </w:rPr>
      </w:pPr>
    </w:p>
    <w:p>
      <w:pPr>
        <w:ind w:left="900" w:hanging="25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rFonts w:ascii="Arial" w:cs="Arial" w:eastAsia="Arial" w:hAnsi="Arial"/>
          <w:sz w:val="18"/>
          <w:szCs w:val="18"/>
          <w:color w:val="auto"/>
        </w:rPr>
      </w:pPr>
    </w:p>
    <w:p>
      <w:pPr>
        <w:ind w:left="1500" w:hanging="208"/>
        <w:spacing w:after="0"/>
        <w:tabs>
          <w:tab w:leader="none" w:pos="150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Shares of Class B Common Stock shall be convertible into shares of Class A Common Stock on a one-for-one basis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upon the consummation of the Business Combination (as defined below).</w:t>
      </w:r>
    </w:p>
    <w:p>
      <w:pPr>
        <w:spacing w:after="0" w:line="211" w:lineRule="exact"/>
        <w:rPr>
          <w:sz w:val="20"/>
          <w:szCs w:val="20"/>
          <w:color w:val="auto"/>
        </w:rPr>
      </w:pPr>
    </w:p>
    <w:p>
      <w:pPr>
        <w:ind w:left="640" w:firstLine="652"/>
        <w:spacing w:after="0" w:line="255" w:lineRule="auto"/>
        <w:tabs>
          <w:tab w:leader="none" w:pos="155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Notwithstanding the Initial Conversion Ratio, in the case that additional shares of Class A Common Stock, or equity-linked securities, are issued or deemed issued in excess of the amounts sold in the Corporation’s initial public offering of securities and related to the closing of the initial Business Combination, all issued and outstanding shares of Class B Common Stock shall automatically convert into shares of Class A Common Stock at the time of the closing of the Corporation’s initial merger, capital stock exchange, asset acquisition, stock purchase, reorganization or similar business combination with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at a ratio for which:</w:t>
      </w:r>
    </w:p>
    <w:p>
      <w:pPr>
        <w:spacing w:after="0" w:line="192" w:lineRule="exact"/>
        <w:rPr>
          <w:sz w:val="20"/>
          <w:szCs w:val="20"/>
          <w:color w:val="auto"/>
        </w:rPr>
      </w:pPr>
    </w:p>
    <w:p>
      <w:pPr>
        <w:ind w:left="1720" w:right="40" w:hanging="428"/>
        <w:spacing w:after="0" w:line="257" w:lineRule="auto"/>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plus (B) the number of shares of Class B Common Stock issued and outstanding prior to the closing of the initial Business Combination; and</w:t>
      </w:r>
    </w:p>
    <w:p>
      <w:pPr>
        <w:spacing w:after="0" w:line="187" w:lineRule="exact"/>
        <w:rPr>
          <w:rFonts w:ascii="Arial" w:cs="Arial" w:eastAsia="Arial" w:hAnsi="Arial"/>
          <w:sz w:val="18"/>
          <w:szCs w:val="18"/>
          <w:color w:val="auto"/>
        </w:rPr>
      </w:pPr>
    </w:p>
    <w:p>
      <w:pPr>
        <w:ind w:left="1720" w:hanging="428"/>
        <w:spacing w:after="0" w:line="277" w:lineRule="auto"/>
        <w:tabs>
          <w:tab w:leader="none" w:pos="1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denominator shall be the number of shares of Class B Common Stock issued and outstanding prior to the closing of the initial Business Combination.</w:t>
      </w:r>
    </w:p>
    <w:p>
      <w:pPr>
        <w:spacing w:after="0" w:line="170" w:lineRule="exact"/>
        <w:rPr>
          <w:sz w:val="20"/>
          <w:szCs w:val="20"/>
          <w:color w:val="auto"/>
        </w:rPr>
      </w:pPr>
    </w:p>
    <w:p>
      <w:pPr>
        <w:ind w:left="640" w:right="6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4" w:name="page185"/>
    <w:bookmarkEnd w:id="184"/>
    <w:p>
      <w:pPr>
        <w:ind w:left="1280" w:firstLine="648"/>
        <w:spacing w:after="0" w:line="275" w:lineRule="auto"/>
        <w:rPr>
          <w:sz w:val="20"/>
          <w:szCs w:val="20"/>
          <w:color w:val="auto"/>
        </w:rPr>
      </w:pPr>
      <w:r>
        <w:rPr>
          <w:rFonts w:ascii="Arial" w:cs="Arial" w:eastAsia="Arial" w:hAnsi="Arial"/>
          <w:sz w:val="17"/>
          <w:szCs w:val="17"/>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Certificate without a proportionate and corresponding subdivision, combination or similar reclassification or recapitalization of the outstanding shares of Class B Common Stock.</w:t>
      </w:r>
    </w:p>
    <w:p>
      <w:pPr>
        <w:spacing w:after="0" w:line="176" w:lineRule="exact"/>
        <w:rPr>
          <w:sz w:val="20"/>
          <w:szCs w:val="20"/>
          <w:color w:val="auto"/>
        </w:rPr>
      </w:pPr>
    </w:p>
    <w:p>
      <w:pPr>
        <w:ind w:left="1280" w:right="180" w:firstLine="648"/>
        <w:spacing w:after="0" w:line="293" w:lineRule="auto"/>
        <w:rPr>
          <w:sz w:val="20"/>
          <w:szCs w:val="20"/>
          <w:color w:val="auto"/>
        </w:rPr>
      </w:pPr>
      <w:r>
        <w:rPr>
          <w:rFonts w:ascii="Arial" w:cs="Arial" w:eastAsia="Arial" w:hAnsi="Arial"/>
          <w:sz w:val="16"/>
          <w:szCs w:val="16"/>
          <w:color w:val="auto"/>
        </w:rPr>
        <w:t xml:space="preserve">Each share of Class B Common Stock shall convert into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Class A Common Stock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and the denominator of which shall be the total number of issued and outstanding shares of Class B Common Stock at the time of conversion.</w:t>
      </w:r>
    </w:p>
    <w:p>
      <w:pPr>
        <w:spacing w:after="0" w:line="164" w:lineRule="exact"/>
        <w:rPr>
          <w:sz w:val="20"/>
          <w:szCs w:val="20"/>
          <w:color w:val="auto"/>
        </w:rPr>
      </w:pPr>
    </w:p>
    <w:p>
      <w:pPr>
        <w:ind w:left="1280" w:right="40" w:firstLine="652"/>
        <w:spacing w:after="0" w:line="285" w:lineRule="auto"/>
        <w:tabs>
          <w:tab w:leader="none" w:pos="2243" w:val="left"/>
        </w:tabs>
        <w:numPr>
          <w:ilvl w:val="1"/>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Voting. </w:t>
      </w:r>
      <w:r>
        <w:rPr>
          <w:rFonts w:ascii="Arial" w:cs="Arial" w:eastAsia="Arial" w:hAnsi="Arial"/>
          <w:sz w:val="16"/>
          <w:szCs w:val="16"/>
          <w:color w:val="auto"/>
        </w:rPr>
        <w:t>Except as otherwise required by law or this Certificate (including any Preferred Stock Designation), for so long as</w:t>
      </w:r>
      <w:r>
        <w:rPr>
          <w:rFonts w:ascii="Arial" w:cs="Arial" w:eastAsia="Arial" w:hAnsi="Arial"/>
          <w:sz w:val="16"/>
          <w:szCs w:val="16"/>
          <w:i w:val="1"/>
          <w:iCs w:val="1"/>
          <w:color w:val="auto"/>
        </w:rPr>
        <w:t xml:space="preserve"> </w:t>
      </w:r>
      <w:r>
        <w:rPr>
          <w:rFonts w:ascii="Arial" w:cs="Arial" w:eastAsia="Arial" w:hAnsi="Arial"/>
          <w:sz w:val="16"/>
          <w:szCs w:val="16"/>
          <w:color w:val="auto"/>
        </w:rPr>
        <w:t>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6" w:lineRule="exact"/>
        <w:rPr>
          <w:rFonts w:ascii="Arial" w:cs="Arial" w:eastAsia="Arial" w:hAnsi="Arial"/>
          <w:sz w:val="16"/>
          <w:szCs w:val="16"/>
          <w:color w:val="auto"/>
        </w:rPr>
      </w:pPr>
    </w:p>
    <w:p>
      <w:pPr>
        <w:ind w:left="-20" w:right="140" w:firstLine="1304"/>
        <w:spacing w:after="0" w:line="259" w:lineRule="auto"/>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85" w:name="page186"/>
    <w:bookmarkEnd w:id="185"/>
    <w:p>
      <w:pPr>
        <w:ind w:right="120" w:firstLine="1304"/>
        <w:spacing w:after="0" w:line="275" w:lineRule="auto"/>
        <w:tabs>
          <w:tab w:leader="none" w:pos="1551"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mailing address of the sole incorporator of the Corporation are as follows:</w:t>
      </w:r>
    </w:p>
    <w:p>
      <w:pPr>
        <w:sectPr>
          <w:pgSz w:w="11900" w:h="16838" w:orient="portrait"/>
          <w:cols w:equalWidth="0" w:num="1">
            <w:col w:w="11180"/>
          </w:cols>
          <w:pgMar w:left="320" w:top="908" w:right="39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Stuart Neuhauser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Address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Ellenoff Grossman &amp; Schole LLP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1345 Avenue of the Americas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 10105</w:t>
      </w:r>
    </w:p>
    <w:p>
      <w:pPr>
        <w:spacing w:after="0" w:line="200" w:lineRule="exact"/>
        <w:rPr>
          <w:sz w:val="20"/>
          <w:szCs w:val="20"/>
          <w:color w:val="auto"/>
        </w:rPr>
      </w:pPr>
    </w:p>
    <w:p>
      <w:pPr>
        <w:sectPr>
          <w:pgSz w:w="11900" w:h="16838" w:orient="portrait"/>
          <w:cols w:equalWidth="0" w:num="2">
            <w:col w:w="2100" w:space="720"/>
            <w:col w:w="8360"/>
          </w:cols>
          <w:pgMar w:left="320" w:top="908" w:right="399" w:bottom="1440" w:gutter="0" w:footer="0" w:header="0"/>
          <w:type w:val="continuous"/>
        </w:sectPr>
      </w:pPr>
    </w:p>
    <w:p>
      <w:pPr>
        <w:spacing w:after="0" w:line="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DIRECTORS</w:t>
      </w:r>
    </w:p>
    <w:p>
      <w:pPr>
        <w:sectPr>
          <w:pgSz w:w="11900" w:h="16838" w:orient="portrait"/>
          <w:cols w:equalWidth="0" w:num="1">
            <w:col w:w="11180"/>
          </w:cols>
          <w:pgMar w:left="320" w:top="908" w:right="399" w:bottom="1440" w:gutter="0" w:footer="0" w:header="0"/>
          <w:type w:val="continuous"/>
        </w:sectPr>
      </w:pPr>
    </w:p>
    <w:p>
      <w:pPr>
        <w:spacing w:after="0" w:line="22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Board Powers.</w:t>
      </w:r>
      <w:r>
        <w:rPr>
          <w:rFonts w:ascii="Arial" w:cs="Arial" w:eastAsia="Arial" w:hAnsi="Arial"/>
          <w:sz w:val="16"/>
          <w:szCs w:val="16"/>
          <w:color w:val="auto"/>
        </w:rPr>
        <w:t xml:space="preserve"> The business and affairs of the Corporation shall be managed by, or under the direction of, the Board. In addition to the powers and authority expressly conferred upon the Board by statute, this Certificate or the Bylaws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of the Corporation, the Board is hereby empowered to exercise all such powers and do all such acts and things as may be exercised or done by the Corporation, subject, nevertheless, to the provisions of the DGCL, this Certificate and any Bylaws adopted by the stockholders; provided, however, that no Bylaws hereafter adopted by the stockholders shall invalidate any prior act of the Board that would have been valid if such Bylaws had not been adopted.</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Election.</w:t>
      </w:r>
      <w:r>
        <w:rPr>
          <w:rFonts w:ascii="Arial" w:cs="Arial" w:eastAsia="Arial" w:hAnsi="Arial"/>
          <w:sz w:val="17"/>
          <w:szCs w:val="17"/>
          <w:color w:val="auto"/>
        </w:rPr>
        <w:t xml:space="preserve"> Unless and except to the extent that the Bylaws shall so require, the election of directors need not be by written ballot.</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change, add or repeal the Bylaws. The Bylaws also may be adopted, amended, altered or repealed by the stockholders.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Limitation of Director Liability</w:t>
      </w:r>
      <w:r>
        <w:rPr>
          <w:rFonts w:ascii="Arial" w:cs="Arial" w:eastAsia="Arial" w:hAnsi="Arial"/>
          <w:sz w:val="16"/>
          <w:szCs w:val="16"/>
          <w:color w:val="auto"/>
        </w:rPr>
        <w:t>. A director of the Corporation shall not be personally liable to the Corporation or its stockholders for monetary damages for any breach of fiduciary duty by such director as a director, except for liability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right="40" w:firstLine="8"/>
        <w:spacing w:after="0" w:line="253" w:lineRule="auto"/>
        <w:tabs>
          <w:tab w:leader="none" w:pos="31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by the stockholders of the Corporation shall not adversely affect any right or protection of a director of the Corporation with respect to events occurring prior to the time of such repeal or modification.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type w:val="continuous"/>
        </w:sectPr>
      </w:pPr>
    </w:p>
    <w:bookmarkStart w:id="186" w:name="page187"/>
    <w:bookmarkEnd w:id="186"/>
    <w:p>
      <w:pPr>
        <w:ind w:firstLine="648"/>
        <w:spacing w:after="0" w:line="255"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INSOLVENCY; SALE, LEASE OR EXCHANGE OF ASSETS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CERTIFICATE OF INCORPORATION</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The Corporation reserves the right to amend, alter, change, add or repeal any provision contained in this Certificate (including any Preferred Stock Designation), in the manner now or hereafter prescribed by this Certificate and the DGCL; and except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all rights, preferences and privileges herein conferred upon stockholders, directors or any other persons by and pursuant to this Certificate in its present form or as hereafter amended are granted subject to the right reserved in this Article.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incorporator has executed this Certificate as of the date first set forth above.</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Stuart Neuhauser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Stuart Neuhauser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Sole Incorporator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7GC &amp; CO.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 place</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100" w:firstLine="441"/>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shall be held at such place, either within or without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ind w:right="20" w:firstLine="441"/>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16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b w:val="1"/>
          <w:bCs w:val="1"/>
          <w:color w:val="auto"/>
        </w:rPr>
        <w:t xml:space="preserve">Section 2.3. Notices. </w:t>
      </w:r>
      <w:r>
        <w:rPr>
          <w:rFonts w:ascii="Arial" w:cs="Arial" w:eastAsia="Arial" w:hAnsi="Arial"/>
          <w:sz w:val="17"/>
          <w:szCs w:val="17"/>
          <w:color w:val="auto"/>
        </w:rPr>
        <w:t>Written notice of each stockholders meeting stating the place, if any, date, and time of the meeting, and the means of remote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Section 2.7(c)) given before the date previously scheduled for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ind w:firstLine="441"/>
        <w:spacing w:after="0" w:line="287" w:lineRule="auto"/>
        <w:rPr>
          <w:sz w:val="20"/>
          <w:szCs w:val="20"/>
          <w:color w:val="auto"/>
        </w:rPr>
      </w:pPr>
      <w:r>
        <w:rPr>
          <w:rFonts w:ascii="Arial" w:cs="Arial" w:eastAsia="Arial" w:hAnsi="Arial"/>
          <w:sz w:val="16"/>
          <w:szCs w:val="16"/>
          <w:b w:val="1"/>
          <w:bCs w:val="1"/>
          <w:color w:val="auto"/>
        </w:rPr>
        <w:t>Section 2.4. Quorum</w:t>
      </w:r>
      <w:r>
        <w:rPr>
          <w:rFonts w:ascii="Arial" w:cs="Arial" w:eastAsia="Arial" w:hAnsi="Arial"/>
          <w:sz w:val="16"/>
          <w:szCs w:val="16"/>
          <w:color w:val="auto"/>
        </w:rPr>
        <w:t>. Except as otherwise provided by applicable law, the Corporation’s Certificate of Incorporation, as the same may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xml:space="preserve">”) or these By 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2.5. Voting of Shares</w:t>
      </w:r>
      <w:r>
        <w:rPr>
          <w:rFonts w:ascii="Arial" w:cs="Arial" w:eastAsia="Arial" w:hAnsi="Arial"/>
          <w:sz w:val="18"/>
          <w:szCs w:val="18"/>
          <w:color w:val="auto"/>
        </w:rPr>
        <w:t>.</w:t>
      </w:r>
    </w:p>
    <w:p>
      <w:pPr>
        <w:spacing w:after="0" w:line="229" w:lineRule="exact"/>
        <w:rPr>
          <w:sz w:val="20"/>
          <w:szCs w:val="20"/>
          <w:color w:val="auto"/>
        </w:rPr>
      </w:pPr>
    </w:p>
    <w:p>
      <w:pPr>
        <w:ind w:right="140" w:firstLine="449"/>
        <w:spacing w:after="0" w:line="284" w:lineRule="auto"/>
        <w:tabs>
          <w:tab w:leader="none" w:pos="685"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ind w:right="240" w:firstLine="8"/>
        <w:spacing w:after="0" w:line="251" w:lineRule="auto"/>
        <w:tabs>
          <w:tab w:leader="none" w:pos="2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spacing w:after="0" w:line="197" w:lineRule="exact"/>
        <w:rPr>
          <w:rFonts w:ascii="Arial" w:cs="Arial" w:eastAsia="Arial" w:hAnsi="Arial"/>
          <w:sz w:val="18"/>
          <w:szCs w:val="18"/>
          <w:color w:val="auto"/>
        </w:rPr>
      </w:pPr>
    </w:p>
    <w:p>
      <w:pPr>
        <w:ind w:right="20" w:firstLine="449"/>
        <w:spacing w:after="0" w:line="296" w:lineRule="auto"/>
        <w:tabs>
          <w:tab w:leader="none" w:pos="69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449"/>
        <w:spacing w:after="0" w:line="255" w:lineRule="auto"/>
        <w:tabs>
          <w:tab w:leader="none" w:pos="68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ind w:right="580" w:firstLine="889"/>
        <w:spacing w:after="0" w:line="286" w:lineRule="auto"/>
        <w:tabs>
          <w:tab w:leader="none" w:pos="108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65" w:lineRule="exact"/>
        <w:rPr>
          <w:rFonts w:ascii="Arial" w:cs="Arial" w:eastAsia="Arial" w:hAnsi="Arial"/>
          <w:sz w:val="17"/>
          <w:szCs w:val="17"/>
          <w:color w:val="auto"/>
        </w:rPr>
      </w:pPr>
    </w:p>
    <w:p>
      <w:pPr>
        <w:ind w:right="20" w:firstLine="889"/>
        <w:spacing w:after="0" w:line="254" w:lineRule="auto"/>
        <w:tabs>
          <w:tab w:leader="none" w:pos="113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91" w:lineRule="exact"/>
        <w:rPr>
          <w:rFonts w:ascii="Arial" w:cs="Arial" w:eastAsia="Arial" w:hAnsi="Arial"/>
          <w:sz w:val="18"/>
          <w:szCs w:val="18"/>
          <w:color w:val="auto"/>
        </w:rPr>
      </w:pPr>
    </w:p>
    <w:p>
      <w:pPr>
        <w:ind w:right="120" w:firstLine="449"/>
        <w:spacing w:after="0" w:line="272" w:lineRule="auto"/>
        <w:tabs>
          <w:tab w:leader="none" w:pos="69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 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ind w:right="40" w:firstLine="449"/>
        <w:spacing w:after="0" w:line="269" w:lineRule="auto"/>
        <w:tabs>
          <w:tab w:leader="none" w:pos="685"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b w:val="1"/>
          <w:bCs w:val="1"/>
          <w:color w:val="auto"/>
        </w:rPr>
        <w:t>Section 2.6. Adjournments</w:t>
      </w:r>
      <w:r>
        <w:rPr>
          <w:rFonts w:ascii="Arial" w:cs="Arial" w:eastAsia="Arial" w:hAnsi="Arial"/>
          <w:sz w:val="16"/>
          <w:szCs w:val="16"/>
          <w:color w:val="auto"/>
        </w:rPr>
        <w:t>. Any meeting of stockholders, annual or special, may be adjourned by the chairman of the meeting,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and shall give notice of the adjourned meeting to each stockholder of record entitled to vote at such adjourned meeting as of the record date fixed for notice of such adjourned meeting.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left="440"/>
        <w:spacing w:after="0"/>
        <w:rPr>
          <w:sz w:val="20"/>
          <w:szCs w:val="20"/>
          <w:color w:val="auto"/>
        </w:rPr>
      </w:pPr>
      <w:r>
        <w:rPr>
          <w:rFonts w:ascii="Arial" w:cs="Arial" w:eastAsia="Arial" w:hAnsi="Arial"/>
          <w:sz w:val="18"/>
          <w:szCs w:val="18"/>
          <w:b w:val="1"/>
          <w:bCs w:val="1"/>
          <w:color w:val="auto"/>
        </w:rPr>
        <w:t>Section 2.7. Advance Notice for Business</w:t>
      </w:r>
      <w:r>
        <w:rPr>
          <w:rFonts w:ascii="Arial" w:cs="Arial" w:eastAsia="Arial" w:hAnsi="Arial"/>
          <w:sz w:val="18"/>
          <w:szCs w:val="18"/>
          <w:color w:val="auto"/>
        </w:rPr>
        <w:t>.</w:t>
      </w:r>
    </w:p>
    <w:p>
      <w:pPr>
        <w:spacing w:after="0" w:line="229" w:lineRule="exact"/>
        <w:rPr>
          <w:sz w:val="20"/>
          <w:szCs w:val="20"/>
          <w:color w:val="auto"/>
        </w:rPr>
      </w:pPr>
    </w:p>
    <w:p>
      <w:pPr>
        <w:ind w:left="700" w:hanging="251"/>
        <w:spacing w:after="0"/>
        <w:tabs>
          <w:tab w:leader="none" w:pos="700"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No business may be transacted at an annual meeting of stockholders, other than business that is either</w:t>
      </w:r>
    </w:p>
    <w:p>
      <w:pPr>
        <w:spacing w:after="0" w:line="34" w:lineRule="exact"/>
        <w:rPr>
          <w:rFonts w:ascii="Arial" w:cs="Arial" w:eastAsia="Arial" w:hAnsi="Arial"/>
          <w:sz w:val="17"/>
          <w:szCs w:val="17"/>
          <w:color w:val="auto"/>
        </w:rPr>
      </w:pPr>
    </w:p>
    <w:p>
      <w:pPr>
        <w:ind w:right="300" w:firstLine="8"/>
        <w:spacing w:after="0" w:line="281" w:lineRule="auto"/>
        <w:tabs>
          <w:tab w:leader="none" w:pos="21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w:t>
      </w:r>
    </w:p>
    <w:p>
      <w:pPr>
        <w:spacing w:after="0" w:line="1" w:lineRule="exact"/>
        <w:rPr>
          <w:rFonts w:ascii="Arial" w:cs="Arial" w:eastAsia="Arial" w:hAnsi="Arial"/>
          <w:sz w:val="16"/>
          <w:szCs w:val="16"/>
          <w:color w:val="auto"/>
        </w:rPr>
      </w:pPr>
    </w:p>
    <w:p>
      <w:pPr>
        <w:jc w:val="both"/>
        <w:ind w:right="2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Notwithstanding anything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will be considered for election at such meeting.</w:t>
      </w:r>
    </w:p>
    <w:p>
      <w:pPr>
        <w:spacing w:after="0" w:line="155" w:lineRule="exact"/>
        <w:rPr>
          <w:rFonts w:ascii="Arial" w:cs="Arial" w:eastAsia="Arial" w:hAnsi="Arial"/>
          <w:sz w:val="16"/>
          <w:szCs w:val="16"/>
          <w:color w:val="auto"/>
        </w:rPr>
      </w:pPr>
    </w:p>
    <w:p>
      <w:pPr>
        <w:ind w:right="20" w:firstLine="889"/>
        <w:spacing w:after="0" w:line="288" w:lineRule="auto"/>
        <w:tabs>
          <w:tab w:leader="none" w:pos="1096" w:val="left"/>
        </w:tabs>
        <w:numPr>
          <w:ilvl w:val="2"/>
          <w:numId w:val="117"/>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6"/>
          <w:szCs w:val="16"/>
          <w:u w:val="single" w:color="auto"/>
          <w:color w:val="auto"/>
        </w:rPr>
        <w:t>Section 2.7(a)(iii)</w:t>
      </w:r>
      <w:r>
        <w:rPr>
          <w:rFonts w:ascii="Arial" w:cs="Arial" w:eastAsia="Arial" w:hAnsi="Arial"/>
          <w:sz w:val="16"/>
          <w:szCs w:val="16"/>
          <w:color w:val="auto"/>
        </w:rPr>
        <w:t>,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delivered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spacing w:after="0" w:line="168" w:lineRule="exact"/>
        <w:rPr>
          <w:rFonts w:ascii="Arial" w:cs="Arial" w:eastAsia="Arial" w:hAnsi="Arial"/>
          <w:sz w:val="16"/>
          <w:szCs w:val="16"/>
          <w:color w:val="auto"/>
        </w:rPr>
      </w:pPr>
    </w:p>
    <w:p>
      <w:pPr>
        <w:ind w:firstLine="889"/>
        <w:spacing w:after="0" w:line="269" w:lineRule="auto"/>
        <w:tabs>
          <w:tab w:leader="none" w:pos="1143"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 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181" w:lineRule="exact"/>
        <w:rPr>
          <w:rFonts w:ascii="Arial" w:cs="Arial" w:eastAsia="Arial" w:hAnsi="Arial"/>
          <w:sz w:val="17"/>
          <w:szCs w:val="17"/>
          <w:color w:val="auto"/>
        </w:rPr>
      </w:pPr>
    </w:p>
    <w:p>
      <w:pPr>
        <w:ind w:right="20" w:firstLine="889"/>
        <w:spacing w:after="0" w:line="287" w:lineRule="auto"/>
        <w:tabs>
          <w:tab w:leader="none" w:pos="1193" w:val="left"/>
        </w:tabs>
        <w:numPr>
          <w:ilvl w:val="2"/>
          <w:numId w:val="117"/>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provided, however,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right="200" w:firstLine="889"/>
        <w:spacing w:after="0" w:line="286" w:lineRule="auto"/>
        <w:tabs>
          <w:tab w:leader="none" w:pos="118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In addition to the provisions of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shall be deemed to affect any rights of stockholders to request inclusion of proposals in the Corporation’s proxy statement pursuant to Rule 14a-8 under the Exchange Act.</w:t>
      </w:r>
    </w:p>
    <w:p>
      <w:pPr>
        <w:spacing w:after="0" w:line="165" w:lineRule="exact"/>
        <w:rPr>
          <w:rFonts w:ascii="Arial" w:cs="Arial" w:eastAsia="Arial" w:hAnsi="Arial"/>
          <w:sz w:val="17"/>
          <w:szCs w:val="17"/>
          <w:color w:val="auto"/>
        </w:rPr>
      </w:pPr>
    </w:p>
    <w:p>
      <w:pPr>
        <w:ind w:right="160" w:firstLine="449"/>
        <w:spacing w:after="0" w:line="286" w:lineRule="auto"/>
        <w:tabs>
          <w:tab w:leader="none" w:pos="69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360" w:firstLine="449"/>
        <w:spacing w:after="0" w:line="286" w:lineRule="auto"/>
        <w:tabs>
          <w:tab w:leader="none" w:pos="685"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For purposes of these By Laws, “</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61"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b w:val="1"/>
          <w:bCs w:val="1"/>
          <w:color w:val="auto"/>
        </w:rPr>
        <w:t>Section 2.8. Conduct of Meetings</w:t>
      </w:r>
      <w:r>
        <w:rPr>
          <w:rFonts w:ascii="Arial" w:cs="Arial" w:eastAsia="Arial" w:hAnsi="Arial"/>
          <w:sz w:val="16"/>
          <w:szCs w:val="16"/>
          <w:color w:val="auto"/>
        </w:rPr>
        <w:t>. The chairman of each annual and special meeting of stockholders shall be the Chairman of the Board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 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39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Section 2.9. Consents in Lieu of Meeting</w:t>
      </w:r>
      <w:r>
        <w:rPr>
          <w:rFonts w:ascii="Arial" w:cs="Arial" w:eastAsia="Arial" w:hAnsi="Arial"/>
          <w:sz w:val="17"/>
          <w:szCs w:val="17"/>
          <w:color w:val="auto"/>
        </w:rPr>
        <w:t>. Unless otherwise provided by the Certificate of Incorporation, until the Corporation consummates an</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public offering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2" w:name="page193"/>
    <w:bookmarkEnd w:id="192"/>
    <w:p>
      <w:pPr>
        <w:ind w:right="100" w:firstLine="441"/>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b w:val="1"/>
          <w:bCs w:val="1"/>
          <w:color w:val="auto"/>
        </w:rPr>
        <w:t>Section 3.1. Powers; Number</w:t>
      </w:r>
      <w:r>
        <w:rPr>
          <w:rFonts w:ascii="Arial" w:cs="Arial" w:eastAsia="Arial" w:hAnsi="Arial"/>
          <w:sz w:val="17"/>
          <w:szCs w:val="17"/>
          <w:color w:val="auto"/>
        </w:rPr>
        <w:t>. The business and affairs of the Corporation shall be managed by or under the direction of the Board,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all such powers of the Corporation and do all such lawful acts and things as are not by statute or by the Certificate of Incorporation or by these By 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229" w:lineRule="exact"/>
        <w:rPr>
          <w:sz w:val="20"/>
          <w:szCs w:val="20"/>
          <w:color w:val="auto"/>
        </w:rPr>
      </w:pPr>
    </w:p>
    <w:p>
      <w:pPr>
        <w:ind w:firstLine="449"/>
        <w:spacing w:after="0" w:line="272" w:lineRule="auto"/>
        <w:tabs>
          <w:tab w:leader="none" w:pos="68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449"/>
        <w:spacing w:after="0" w:line="287" w:lineRule="auto"/>
        <w:tabs>
          <w:tab w:leader="none" w:pos="69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right="160" w:firstLine="449"/>
        <w:spacing w:after="0" w:line="286" w:lineRule="auto"/>
        <w:tabs>
          <w:tab w:leader="none" w:pos="68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w:t>
      </w:r>
    </w:p>
    <w:p>
      <w:pPr>
        <w:spacing w:after="0" w:line="1" w:lineRule="exact"/>
        <w:rPr>
          <w:rFonts w:ascii="Arial" w:cs="Arial" w:eastAsia="Arial" w:hAnsi="Arial"/>
          <w:sz w:val="16"/>
          <w:szCs w:val="16"/>
          <w:color w:val="auto"/>
        </w:rPr>
      </w:pPr>
    </w:p>
    <w:p>
      <w:pPr>
        <w:ind w:right="6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3" w:name="page194"/>
    <w:bookmarkEnd w:id="193"/>
    <w:p>
      <w:pPr>
        <w:ind w:right="20" w:firstLine="449"/>
        <w:spacing w:after="0" w:line="287" w:lineRule="auto"/>
        <w:tabs>
          <w:tab w:leader="none" w:pos="69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w:t>
      </w:r>
    </w:p>
    <w:p>
      <w:pPr>
        <w:spacing w:after="0" w:line="2" w:lineRule="exact"/>
        <w:rPr>
          <w:rFonts w:ascii="Arial" w:cs="Arial" w:eastAsia="Arial" w:hAnsi="Arial"/>
          <w:sz w:val="16"/>
          <w:szCs w:val="16"/>
          <w:color w:val="auto"/>
        </w:rPr>
      </w:pPr>
    </w:p>
    <w:p>
      <w:pPr>
        <w:ind w:firstLine="8"/>
        <w:spacing w:after="0" w:line="285" w:lineRule="auto"/>
        <w:tabs>
          <w:tab w:leader="none" w:pos="2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1" w:lineRule="exact"/>
        <w:rPr>
          <w:rFonts w:ascii="Arial" w:cs="Arial" w:eastAsia="Arial" w:hAnsi="Arial"/>
          <w:sz w:val="16"/>
          <w:szCs w:val="16"/>
          <w:color w:val="auto"/>
        </w:rPr>
      </w:pPr>
    </w:p>
    <w:p>
      <w:pPr>
        <w:ind w:right="120" w:firstLine="449"/>
        <w:spacing w:after="0" w:line="296" w:lineRule="auto"/>
        <w:tabs>
          <w:tab w:leader="none" w:pos="68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ind w:right="100" w:firstLine="449"/>
        <w:spacing w:after="0" w:line="263" w:lineRule="auto"/>
        <w:tabs>
          <w:tab w:leader="none" w:pos="66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ind w:right="40" w:firstLine="441"/>
        <w:spacing w:after="0" w:line="277" w:lineRule="auto"/>
        <w:rPr>
          <w:sz w:val="20"/>
          <w:szCs w:val="20"/>
          <w:color w:val="auto"/>
        </w:rPr>
      </w:pPr>
      <w:r>
        <w:rPr>
          <w:rFonts w:ascii="Arial" w:cs="Arial" w:eastAsia="Arial" w:hAnsi="Arial"/>
          <w:sz w:val="17"/>
          <w:szCs w:val="17"/>
          <w:b w:val="1"/>
          <w:bCs w:val="1"/>
          <w:color w:val="auto"/>
        </w:rPr>
        <w:t>Section 3.3. Compensation</w:t>
      </w:r>
      <w:r>
        <w:rPr>
          <w:rFonts w:ascii="Arial" w:cs="Arial" w:eastAsia="Arial" w:hAnsi="Arial"/>
          <w:sz w:val="17"/>
          <w:szCs w:val="17"/>
          <w:color w:val="auto"/>
        </w:rPr>
        <w:t>. Unless otherwise restricted by the Certificate of Incorporation or these By Laws, the Board shall have the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ind w:right="120" w:firstLine="441"/>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 the place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94" w:name="page195"/>
    <w:bookmarkEnd w:id="194"/>
    <w:p>
      <w:pPr>
        <w:ind w:right="380" w:firstLine="441"/>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162"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or President and (b) shall be called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 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8"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b w:val="1"/>
          <w:bCs w:val="1"/>
          <w:color w:val="auto"/>
        </w:rPr>
        <w:t>Section 4.4. Quorum; Required Vote</w:t>
      </w:r>
      <w:r>
        <w:rPr>
          <w:rFonts w:ascii="Arial" w:cs="Arial" w:eastAsia="Arial" w:hAnsi="Arial"/>
          <w:sz w:val="16"/>
          <w:szCs w:val="16"/>
          <w:color w:val="auto"/>
        </w:rPr>
        <w:t>. A majority of the Board shall constitute a quorum for the transaction of business at any meeting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act of a majority of the directors present at any meeting at which there is a quorum shall be the act of the Board, except as may be otherwise specifically provided by applicable law, the Certificate of Incorporation or these By Laws. If a quorum shall not be present at any meeting, a majority of the directors present may adjourn the meeting from time to time, without notice other than announcement at the meeting, until a quorum is present.</w:t>
      </w:r>
    </w:p>
    <w:p>
      <w:pPr>
        <w:spacing w:after="0" w:line="151" w:lineRule="exact"/>
        <w:rPr>
          <w:sz w:val="20"/>
          <w:szCs w:val="20"/>
          <w:color w:val="auto"/>
        </w:rPr>
      </w:pPr>
    </w:p>
    <w:p>
      <w:pPr>
        <w:ind w:right="40" w:firstLine="441"/>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 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of the Board designate one or more committees, each committee to consist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5" w:name="page196"/>
    <w:bookmarkEnd w:id="195"/>
    <w:p>
      <w:pPr>
        <w:ind w:right="460" w:firstLine="441"/>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b w:val="1"/>
          <w:bCs w:val="1"/>
          <w:color w:val="auto"/>
        </w:rPr>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65"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 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 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b w:val="1"/>
          <w:bCs w:val="1"/>
          <w:color w:val="auto"/>
        </w:rPr>
        <w:t>Section 6.1. Officers</w:t>
      </w:r>
      <w:r>
        <w:rPr>
          <w:rFonts w:ascii="Arial" w:cs="Arial" w:eastAsia="Arial" w:hAnsi="Arial"/>
          <w:sz w:val="16"/>
          <w:szCs w:val="16"/>
          <w:color w:val="auto"/>
        </w:rPr>
        <w:t>. The officers of the Corporation elected by the Board shall be a Chief Executive Officer, a Chief Financial Officer, a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 Laws or as may be prescribed by the Board or, if such officer has been appointed by the Chief Executive Officer or President, as may be prescribed by the appointing officer.</w:t>
      </w:r>
    </w:p>
    <w:p>
      <w:pPr>
        <w:spacing w:after="0" w:line="163" w:lineRule="exact"/>
        <w:rPr>
          <w:sz w:val="20"/>
          <w:szCs w:val="20"/>
          <w:color w:val="auto"/>
        </w:rPr>
      </w:pPr>
    </w:p>
    <w:p>
      <w:pPr>
        <w:ind w:firstLine="449"/>
        <w:spacing w:after="0" w:line="254"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94" w:lineRule="exact"/>
        <w:rPr>
          <w:rFonts w:ascii="Arial" w:cs="Arial" w:eastAsia="Arial" w:hAnsi="Arial"/>
          <w:sz w:val="18"/>
          <w:szCs w:val="18"/>
          <w:color w:val="auto"/>
        </w:rPr>
      </w:pPr>
    </w:p>
    <w:p>
      <w:pPr>
        <w:ind w:firstLine="449"/>
        <w:spacing w:after="0" w:line="255" w:lineRule="auto"/>
        <w:tabs>
          <w:tab w:leader="none" w:pos="69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6" w:name="page197"/>
    <w:bookmarkEnd w:id="196"/>
    <w:p>
      <w:pPr>
        <w:ind w:right="40" w:firstLine="449"/>
        <w:spacing w:after="0" w:line="257" w:lineRule="auto"/>
        <w:tabs>
          <w:tab w:leader="none" w:pos="68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ind w:right="160" w:firstLine="449"/>
        <w:spacing w:after="0" w:line="263"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700" w:hanging="251"/>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9"/>
        <w:spacing w:after="0" w:line="254" w:lineRule="auto"/>
        <w:tabs>
          <w:tab w:leader="none" w:pos="109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ind w:right="200" w:firstLine="889"/>
        <w:spacing w:after="0" w:line="259" w:lineRule="auto"/>
        <w:tabs>
          <w:tab w:leader="none" w:pos="114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right="20" w:firstLine="449"/>
        <w:spacing w:after="0" w:line="277" w:lineRule="auto"/>
        <w:tabs>
          <w:tab w:leader="none" w:pos="66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70" w:lineRule="exact"/>
        <w:rPr>
          <w:rFonts w:ascii="Arial" w:cs="Arial" w:eastAsia="Arial" w:hAnsi="Arial"/>
          <w:sz w:val="18"/>
          <w:szCs w:val="18"/>
          <w:color w:val="auto"/>
        </w:rPr>
      </w:pPr>
    </w:p>
    <w:p>
      <w:pPr>
        <w:ind w:right="60" w:firstLine="449"/>
        <w:spacing w:after="0" w:line="286" w:lineRule="auto"/>
        <w:tabs>
          <w:tab w:leader="none" w:pos="695"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65" w:lineRule="exact"/>
        <w:rPr>
          <w:rFonts w:ascii="Arial" w:cs="Arial" w:eastAsia="Arial" w:hAnsi="Arial"/>
          <w:sz w:val="17"/>
          <w:szCs w:val="17"/>
          <w:color w:val="auto"/>
        </w:rPr>
      </w:pPr>
    </w:p>
    <w:p>
      <w:pPr>
        <w:ind w:right="360" w:firstLine="449"/>
        <w:spacing w:after="0" w:line="277"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6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 until</w:t>
      </w:r>
      <w:r>
        <w:rPr>
          <w:rFonts w:ascii="Arial" w:cs="Arial" w:eastAsia="Arial" w:hAnsi="Arial"/>
          <w:sz w:val="17"/>
          <w:szCs w:val="17"/>
          <w:b w:val="1"/>
          <w:bCs w:val="1"/>
          <w:color w:val="auto"/>
        </w:rPr>
        <w:t xml:space="preserve"> </w:t>
      </w:r>
      <w:r>
        <w:rPr>
          <w:rFonts w:ascii="Arial" w:cs="Arial" w:eastAsia="Arial" w:hAnsi="Arial"/>
          <w:sz w:val="17"/>
          <w:szCs w:val="17"/>
          <w:color w:val="auto"/>
        </w:rPr>
        <w:t>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ind w:right="280" w:firstLine="441"/>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same, as it shall from time to time deem necessary or desirable.</w:t>
      </w:r>
    </w:p>
    <w:p>
      <w:pPr>
        <w:spacing w:after="0" w:line="162" w:lineRule="exact"/>
        <w:rPr>
          <w:sz w:val="20"/>
          <w:szCs w:val="20"/>
          <w:color w:val="auto"/>
        </w:rPr>
      </w:pPr>
    </w:p>
    <w:p>
      <w:pPr>
        <w:ind w:right="560" w:firstLine="441"/>
        <w:spacing w:after="0" w:line="347" w:lineRule="auto"/>
        <w:rPr>
          <w:sz w:val="20"/>
          <w:szCs w:val="20"/>
          <w:color w:val="auto"/>
        </w:rPr>
      </w:pPr>
      <w:r>
        <w:rPr>
          <w:rFonts w:ascii="Arial" w:cs="Arial" w:eastAsia="Arial" w:hAnsi="Arial"/>
          <w:sz w:val="16"/>
          <w:szCs w:val="16"/>
          <w:b w:val="1"/>
          <w:bCs w:val="1"/>
          <w:color w:val="auto"/>
        </w:rPr>
        <w:t>Section 6.4. Multiple Officeholders; Stockholder and Director Officers</w:t>
      </w:r>
      <w:r>
        <w:rPr>
          <w:rFonts w:ascii="Arial" w:cs="Arial" w:eastAsia="Arial" w:hAnsi="Arial"/>
          <w:sz w:val="16"/>
          <w:szCs w:val="16"/>
          <w:color w:val="auto"/>
        </w:rPr>
        <w:t>. Any number of offices may be held by the same person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 Laws otherwise provide. Officers need not be stockholders or residents of the State of Delaware.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b w:val="1"/>
          <w:bCs w:val="1"/>
          <w:color w:val="auto"/>
        </w:rPr>
        <w:t>Section 7.2. Multiple Classes of Stock</w:t>
      </w:r>
      <w:r>
        <w:rPr>
          <w:rFonts w:ascii="Arial" w:cs="Arial" w:eastAsia="Arial" w:hAnsi="Arial"/>
          <w:sz w:val="16"/>
          <w:szCs w:val="16"/>
          <w:color w:val="auto"/>
        </w:rPr>
        <w:t>. If the Corporation shall be authorized to issue more than one class of stock or more than one series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66" w:lineRule="exact"/>
        <w:rPr>
          <w:sz w:val="20"/>
          <w:szCs w:val="20"/>
          <w:color w:val="auto"/>
        </w:rPr>
      </w:pPr>
    </w:p>
    <w:p>
      <w:pPr>
        <w:ind w:right="40" w:firstLine="441"/>
        <w:spacing w:after="0" w:line="256" w:lineRule="auto"/>
        <w:rPr>
          <w:sz w:val="20"/>
          <w:szCs w:val="20"/>
          <w:color w:val="auto"/>
        </w:rPr>
      </w:pPr>
      <w:r>
        <w:rPr>
          <w:rFonts w:ascii="Arial" w:cs="Arial" w:eastAsia="Arial" w:hAnsi="Arial"/>
          <w:sz w:val="18"/>
          <w:szCs w:val="18"/>
          <w:b w:val="1"/>
          <w:bCs w:val="1"/>
          <w:color w:val="auto"/>
        </w:rPr>
        <w:t>Section 7.3. Signatures</w:t>
      </w:r>
      <w:r>
        <w:rPr>
          <w:rFonts w:ascii="Arial" w:cs="Arial" w:eastAsia="Arial" w:hAnsi="Arial"/>
          <w:sz w:val="18"/>
          <w:szCs w:val="18"/>
          <w:color w:val="auto"/>
        </w:rPr>
        <w:t>. Each certificate representing capital stock of the Corporation shall be signed by or in the name of the Corporation by (a)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7.4. Consideration and Payment for Shares</w:t>
      </w:r>
      <w:r>
        <w:rPr>
          <w:rFonts w:ascii="Arial" w:cs="Arial" w:eastAsia="Arial" w:hAnsi="Arial"/>
          <w:sz w:val="18"/>
          <w:szCs w:val="18"/>
          <w:color w:val="auto"/>
        </w:rPr>
        <w:t>.</w:t>
      </w:r>
    </w:p>
    <w:p>
      <w:pPr>
        <w:spacing w:after="0" w:line="229" w:lineRule="exact"/>
        <w:rPr>
          <w:sz w:val="20"/>
          <w:szCs w:val="20"/>
          <w:color w:val="auto"/>
        </w:rPr>
      </w:pPr>
    </w:p>
    <w:p>
      <w:pPr>
        <w:ind w:firstLine="449"/>
        <w:spacing w:after="0" w:line="259" w:lineRule="auto"/>
        <w:tabs>
          <w:tab w:leader="none" w:pos="6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6" w:lineRule="exact"/>
        <w:rPr>
          <w:rFonts w:ascii="Arial" w:cs="Arial" w:eastAsia="Arial" w:hAnsi="Arial"/>
          <w:sz w:val="18"/>
          <w:szCs w:val="18"/>
          <w:color w:val="auto"/>
        </w:rPr>
      </w:pPr>
    </w:p>
    <w:p>
      <w:pPr>
        <w:ind w:right="120" w:firstLine="449"/>
        <w:spacing w:after="0" w:line="301" w:lineRule="auto"/>
        <w:tabs>
          <w:tab w:leader="none" w:pos="69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98" w:name="page199"/>
    <w:bookmarkEnd w:id="198"/>
    <w:p>
      <w:pPr>
        <w:ind w:left="440"/>
        <w:spacing w:after="0"/>
        <w:rPr>
          <w:sz w:val="20"/>
          <w:szCs w:val="20"/>
          <w:color w:val="auto"/>
        </w:rPr>
      </w:pPr>
      <w:r>
        <w:rPr>
          <w:rFonts w:ascii="Arial" w:cs="Arial" w:eastAsia="Arial" w:hAnsi="Arial"/>
          <w:sz w:val="18"/>
          <w:szCs w:val="18"/>
          <w:b w:val="1"/>
          <w:bCs w:val="1"/>
          <w:color w:val="auto"/>
        </w:rPr>
        <w:t>Section 7.5. Lost, Destroyed or Wrongfully Taken Certificates</w:t>
      </w:r>
      <w:r>
        <w:rPr>
          <w:rFonts w:ascii="Arial" w:cs="Arial" w:eastAsia="Arial" w:hAnsi="Arial"/>
          <w:sz w:val="18"/>
          <w:szCs w:val="18"/>
          <w:color w:val="auto"/>
        </w:rPr>
        <w:t>.</w:t>
      </w:r>
    </w:p>
    <w:p>
      <w:pPr>
        <w:spacing w:after="0" w:line="229" w:lineRule="exact"/>
        <w:rPr>
          <w:sz w:val="20"/>
          <w:szCs w:val="20"/>
          <w:color w:val="auto"/>
        </w:rPr>
      </w:pPr>
    </w:p>
    <w:p>
      <w:pPr>
        <w:ind w:right="60" w:firstLine="449"/>
        <w:spacing w:after="0" w:line="255" w:lineRule="auto"/>
        <w:tabs>
          <w:tab w:leader="none" w:pos="6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2" w:lineRule="exact"/>
        <w:rPr>
          <w:rFonts w:ascii="Arial" w:cs="Arial" w:eastAsia="Arial" w:hAnsi="Arial"/>
          <w:sz w:val="18"/>
          <w:szCs w:val="18"/>
          <w:color w:val="auto"/>
        </w:rPr>
      </w:pPr>
    </w:p>
    <w:p>
      <w:pPr>
        <w:ind w:right="240" w:firstLine="449"/>
        <w:spacing w:after="0" w:line="279" w:lineRule="auto"/>
        <w:tabs>
          <w:tab w:leader="none" w:pos="6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7.6. Transfer of Stock</w:t>
      </w:r>
      <w:r>
        <w:rPr>
          <w:rFonts w:ascii="Arial" w:cs="Arial" w:eastAsia="Arial" w:hAnsi="Arial"/>
          <w:sz w:val="18"/>
          <w:szCs w:val="18"/>
          <w:color w:val="auto"/>
        </w:rPr>
        <w:t>.</w:t>
      </w:r>
    </w:p>
    <w:p>
      <w:pPr>
        <w:spacing w:after="0" w:line="229" w:lineRule="exact"/>
        <w:rPr>
          <w:sz w:val="20"/>
          <w:szCs w:val="20"/>
          <w:color w:val="auto"/>
        </w:rPr>
      </w:pPr>
    </w:p>
    <w:p>
      <w:pPr>
        <w:jc w:val="both"/>
        <w:ind w:right="20" w:firstLine="449"/>
        <w:spacing w:after="0" w:line="263" w:lineRule="auto"/>
        <w:tabs>
          <w:tab w:leader="none" w:pos="68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25" w:lineRule="exact"/>
        <w:rPr>
          <w:rFonts w:ascii="Arial" w:cs="Arial" w:eastAsia="Arial" w:hAnsi="Arial"/>
          <w:sz w:val="18"/>
          <w:szCs w:val="18"/>
          <w:color w:val="auto"/>
        </w:rPr>
      </w:pPr>
    </w:p>
    <w:p>
      <w:pPr>
        <w:ind w:right="20" w:firstLine="889"/>
        <w:spacing w:after="0" w:line="259" w:lineRule="auto"/>
        <w:tabs>
          <w:tab w:leader="none" w:pos="114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6" w:lineRule="exact"/>
        <w:rPr>
          <w:rFonts w:ascii="Arial" w:cs="Arial" w:eastAsia="Arial" w:hAnsi="Arial"/>
          <w:sz w:val="18"/>
          <w:szCs w:val="18"/>
          <w:color w:val="auto"/>
        </w:rPr>
      </w:pPr>
    </w:p>
    <w:p>
      <w:pPr>
        <w:ind w:right="480" w:firstLine="889"/>
        <w:spacing w:after="0" w:line="277" w:lineRule="auto"/>
        <w:tabs>
          <w:tab w:leader="none" w:pos="119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the transfer does not violate any restriction on transfer imposed by the Corporation that is enforceable in accordance with </w:t>
      </w:r>
      <w:r>
        <w:rPr>
          <w:rFonts w:ascii="Arial" w:cs="Arial" w:eastAsia="Arial" w:hAnsi="Arial"/>
          <w:sz w:val="16"/>
          <w:szCs w:val="16"/>
          <w:u w:val="single" w:color="auto"/>
          <w:color w:val="auto"/>
        </w:rPr>
        <w:t>Section 7.8(a)</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140" w:hanging="251"/>
        <w:spacing w:after="0"/>
        <w:tabs>
          <w:tab w:leader="none" w:pos="114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ind w:right="180" w:firstLine="449"/>
        <w:spacing w:after="0" w:line="286" w:lineRule="auto"/>
        <w:tabs>
          <w:tab w:leader="none" w:pos="69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61" w:lineRule="exact"/>
        <w:rPr>
          <w:sz w:val="20"/>
          <w:szCs w:val="20"/>
          <w:color w:val="auto"/>
        </w:rPr>
      </w:pPr>
    </w:p>
    <w:p>
      <w:pPr>
        <w:ind w:firstLine="441"/>
        <w:spacing w:after="0" w:line="294" w:lineRule="auto"/>
        <w:rPr>
          <w:sz w:val="20"/>
          <w:szCs w:val="20"/>
          <w:color w:val="auto"/>
        </w:rPr>
      </w:pPr>
      <w:r>
        <w:rPr>
          <w:rFonts w:ascii="Arial" w:cs="Arial" w:eastAsia="Arial" w:hAnsi="Arial"/>
          <w:sz w:val="16"/>
          <w:szCs w:val="16"/>
          <w:b w:val="1"/>
          <w:bCs w:val="1"/>
          <w:color w:val="auto"/>
        </w:rPr>
        <w:t>Section 7.7. Registered Stockholders</w:t>
      </w:r>
      <w:r>
        <w:rPr>
          <w:rFonts w:ascii="Arial" w:cs="Arial" w:eastAsia="Arial" w:hAnsi="Arial"/>
          <w:sz w:val="16"/>
          <w:szCs w:val="16"/>
          <w:color w:val="auto"/>
        </w:rPr>
        <w:t>. Before due presentment for registration of transfer of a certificate representing shares of the Corporation or of</w:t>
      </w:r>
      <w:r>
        <w:rPr>
          <w:rFonts w:ascii="Arial" w:cs="Arial" w:eastAsia="Arial" w:hAnsi="Arial"/>
          <w:sz w:val="16"/>
          <w:szCs w:val="16"/>
          <w:b w:val="1"/>
          <w:bCs w:val="1"/>
          <w:color w:val="auto"/>
        </w:rPr>
        <w:t xml:space="preserve"> </w:t>
      </w:r>
      <w:r>
        <w:rPr>
          <w:rFonts w:ascii="Arial" w:cs="Arial" w:eastAsia="Arial" w:hAnsi="Arial"/>
          <w:sz w:val="16"/>
          <w:szCs w:val="16"/>
          <w:color w:val="auto"/>
        </w:rPr>
        <w:t>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440"/>
        <w:spacing w:after="0"/>
        <w:rPr>
          <w:sz w:val="20"/>
          <w:szCs w:val="20"/>
          <w:color w:val="auto"/>
        </w:rPr>
      </w:pPr>
      <w:r>
        <w:rPr>
          <w:rFonts w:ascii="Arial" w:cs="Arial" w:eastAsia="Arial" w:hAnsi="Arial"/>
          <w:sz w:val="18"/>
          <w:szCs w:val="18"/>
          <w:b w:val="1"/>
          <w:bCs w:val="1"/>
          <w:color w:val="auto"/>
        </w:rPr>
        <w:t>Section 7.8. Effect of the Corporation’s Restriction on Transfer</w:t>
      </w:r>
      <w:r>
        <w:rPr>
          <w:rFonts w:ascii="Arial" w:cs="Arial" w:eastAsia="Arial" w:hAnsi="Arial"/>
          <w:sz w:val="18"/>
          <w:szCs w:val="18"/>
          <w:color w:val="auto"/>
        </w:rPr>
        <w:t>.</w:t>
      </w:r>
    </w:p>
    <w:p>
      <w:pPr>
        <w:spacing w:after="0" w:line="229" w:lineRule="exact"/>
        <w:rPr>
          <w:sz w:val="20"/>
          <w:szCs w:val="20"/>
          <w:color w:val="auto"/>
        </w:rPr>
      </w:pPr>
    </w:p>
    <w:p>
      <w:pPr>
        <w:ind w:right="60" w:firstLine="449"/>
        <w:spacing w:after="0" w:line="296" w:lineRule="auto"/>
        <w:tabs>
          <w:tab w:leader="none" w:pos="67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61" w:lineRule="exact"/>
        <w:rPr>
          <w:rFonts w:ascii="Arial" w:cs="Arial" w:eastAsia="Arial" w:hAnsi="Arial"/>
          <w:sz w:val="16"/>
          <w:szCs w:val="16"/>
          <w:color w:val="auto"/>
        </w:rPr>
      </w:pPr>
    </w:p>
    <w:p>
      <w:pPr>
        <w:ind w:firstLine="449"/>
        <w:spacing w:after="0" w:line="257" w:lineRule="auto"/>
        <w:tabs>
          <w:tab w:leader="none" w:pos="68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84"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100" w:firstLine="441"/>
        <w:spacing w:after="0" w:line="284"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w:t>
      </w:r>
    </w:p>
    <w:p>
      <w:pPr>
        <w:spacing w:after="0" w:line="3"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57"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 expenses</w:t>
      </w:r>
      <w:r>
        <w:rPr>
          <w:rFonts w:ascii="Arial" w:cs="Arial" w:eastAsia="Arial" w:hAnsi="Arial"/>
          <w:sz w:val="18"/>
          <w:szCs w:val="18"/>
          <w:color w:val="auto"/>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0" w:name="page201"/>
    <w:bookmarkEnd w:id="200"/>
    <w:p>
      <w:pPr>
        <w:ind w:firstLine="441"/>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 60 days after</w:t>
      </w:r>
      <w:r>
        <w:rPr>
          <w:rFonts w:ascii="Arial" w:cs="Arial" w:eastAsia="Arial" w:hAnsi="Arial"/>
          <w:sz w:val="16"/>
          <w:szCs w:val="16"/>
          <w:b w:val="1"/>
          <w:bCs w:val="1"/>
          <w:color w:val="auto"/>
        </w:rPr>
        <w:t xml:space="preserve"> </w:t>
      </w:r>
      <w:r>
        <w:rPr>
          <w:rFonts w:ascii="Arial" w:cs="Arial" w:eastAsia="Arial" w:hAnsi="Arial"/>
          <w:sz w:val="16"/>
          <w:szCs w:val="16"/>
          <w:color w:val="auto"/>
        </w:rPr>
        <w:t>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b w:val="1"/>
          <w:bCs w:val="1"/>
          <w:i w:val="1"/>
          <w:i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adjudication</w:t>
      </w:r>
      <w:r>
        <w:rPr>
          <w:rFonts w:ascii="Arial" w:cs="Arial" w:eastAsia="Arial" w:hAnsi="Arial"/>
          <w:sz w:val="16"/>
          <w:szCs w:val="16"/>
          <w:color w:val="auto"/>
        </w:rPr>
        <w:t>”) that, the Indemnitee has not met any applicable standard for indemnification set forth in the DGCL. Neither the failure of the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74"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 right,</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Indemnitee may have or hereafter acquire under applicable law, the Certificate of Incorporation, these By Laws, an agreement, a vote of stockholders or disinterested directors, or otherwise.</w:t>
      </w:r>
    </w:p>
    <w:p>
      <w:pPr>
        <w:spacing w:after="0" w:line="176" w:lineRule="exact"/>
        <w:rPr>
          <w:sz w:val="20"/>
          <w:szCs w:val="20"/>
          <w:color w:val="auto"/>
        </w:rPr>
      </w:pPr>
    </w:p>
    <w:p>
      <w:pPr>
        <w:ind w:right="240" w:firstLine="441"/>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ind w:right="40" w:firstLine="441"/>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b w:val="1"/>
          <w:bCs w:val="1"/>
          <w:color w:val="auto"/>
        </w:rPr>
        <w:t>Section 8.7. Amendments</w:t>
      </w:r>
      <w:r>
        <w:rPr>
          <w:rFonts w:ascii="Arial" w:cs="Arial" w:eastAsia="Arial" w:hAnsi="Arial"/>
          <w:sz w:val="18"/>
          <w:szCs w:val="18"/>
          <w:color w:val="auto"/>
        </w:rPr>
        <w:t>. Any repeal or amendment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or the stockholders of the Corporation or by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or the adoption of any other provision of these By Laws inconsistent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require the affirmative vote of the stockholders holding at least 66.7% of the voting power of all outstanding shares of capital stock of the Corporation.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Section 8.8. Certain Definitions</w:t>
      </w:r>
      <w:r>
        <w:rPr>
          <w:rFonts w:ascii="Arial" w:cs="Arial" w:eastAsia="Arial" w:hAnsi="Arial"/>
          <w:sz w:val="17"/>
          <w:szCs w:val="17"/>
          <w:color w:val="auto"/>
        </w:rPr>
        <w:t>. For purposes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(a) references to “</w:t>
      </w:r>
      <w:r>
        <w:rPr>
          <w:rFonts w:ascii="Arial" w:cs="Arial" w:eastAsia="Arial" w:hAnsi="Arial"/>
          <w:sz w:val="17"/>
          <w:szCs w:val="17"/>
          <w:b w:val="1"/>
          <w:bCs w:val="1"/>
          <w:i w:val="1"/>
          <w:iCs w:val="1"/>
          <w:color w:val="auto"/>
        </w:rPr>
        <w:t>other enterprise</w:t>
      </w:r>
      <w:r>
        <w:rPr>
          <w:rFonts w:ascii="Arial" w:cs="Arial" w:eastAsia="Arial" w:hAnsi="Arial"/>
          <w:sz w:val="17"/>
          <w:szCs w:val="17"/>
          <w:color w:val="auto"/>
        </w:rPr>
        <w:t>” shall include any employee benefit plan;</w:t>
      </w:r>
    </w:p>
    <w:p>
      <w:pPr>
        <w:spacing w:after="0" w:line="39" w:lineRule="exact"/>
        <w:rPr>
          <w:sz w:val="20"/>
          <w:szCs w:val="20"/>
          <w:color w:val="auto"/>
        </w:rPr>
      </w:pPr>
    </w:p>
    <w:p>
      <w:pPr>
        <w:ind w:right="160" w:firstLine="8"/>
        <w:spacing w:after="0" w:line="253"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right="80" w:firstLine="441"/>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b w:val="1"/>
          <w:bCs w:val="1"/>
          <w:color w:val="auto"/>
        </w:rPr>
        <w:t>Section 9.1. Place of Meetings</w:t>
      </w:r>
      <w:r>
        <w:rPr>
          <w:rFonts w:ascii="Arial" w:cs="Arial" w:eastAsia="Arial" w:hAnsi="Arial"/>
          <w:sz w:val="18"/>
          <w:szCs w:val="18"/>
          <w:color w:val="auto"/>
        </w:rPr>
        <w:t>. If the place of any meeting of stockholders, the Board or committee of the Board for which notice is required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these By 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hereof, then such meeting shall not be held at any place.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9.2. Fixing Record Dates</w:t>
      </w:r>
      <w:r>
        <w:rPr>
          <w:rFonts w:ascii="Arial" w:cs="Arial" w:eastAsia="Arial" w:hAnsi="Arial"/>
          <w:sz w:val="18"/>
          <w:szCs w:val="18"/>
          <w:color w:val="auto"/>
        </w:rPr>
        <w:t>.</w:t>
      </w:r>
    </w:p>
    <w:p>
      <w:pPr>
        <w:spacing w:after="0" w:line="229" w:lineRule="exact"/>
        <w:rPr>
          <w:sz w:val="20"/>
          <w:szCs w:val="20"/>
          <w:color w:val="auto"/>
        </w:rPr>
      </w:pPr>
    </w:p>
    <w:p>
      <w:pPr>
        <w:ind w:right="20" w:firstLine="449"/>
        <w:spacing w:after="0" w:line="269" w:lineRule="auto"/>
        <w:tabs>
          <w:tab w:leader="none" w:pos="68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7"/>
          <w:szCs w:val="17"/>
          <w:u w:val="single" w:color="auto"/>
          <w:color w:val="auto"/>
        </w:rPr>
        <w:t>Section 9.2(a)</w:t>
      </w:r>
      <w:r>
        <w:rPr>
          <w:rFonts w:ascii="Arial" w:cs="Arial" w:eastAsia="Arial" w:hAnsi="Arial"/>
          <w:sz w:val="17"/>
          <w:szCs w:val="17"/>
          <w:color w:val="auto"/>
        </w:rPr>
        <w:t xml:space="preserve"> at the adjourned meeting.</w:t>
      </w:r>
    </w:p>
    <w:p>
      <w:pPr>
        <w:spacing w:after="0" w:line="181" w:lineRule="exact"/>
        <w:rPr>
          <w:rFonts w:ascii="Arial" w:cs="Arial" w:eastAsia="Arial" w:hAnsi="Arial"/>
          <w:sz w:val="17"/>
          <w:szCs w:val="17"/>
          <w:color w:val="auto"/>
        </w:rPr>
      </w:pPr>
    </w:p>
    <w:p>
      <w:pPr>
        <w:ind w:right="20" w:firstLine="449"/>
        <w:spacing w:after="0" w:line="275" w:lineRule="auto"/>
        <w:tabs>
          <w:tab w:leader="none" w:pos="69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02" w:name="page203"/>
    <w:bookmarkEnd w:id="202"/>
    <w:p>
      <w:pPr>
        <w:ind w:left="400"/>
        <w:spacing w:after="0"/>
        <w:rPr>
          <w:sz w:val="20"/>
          <w:szCs w:val="20"/>
          <w:color w:val="auto"/>
        </w:rPr>
      </w:pPr>
      <w:r>
        <w:rPr>
          <w:rFonts w:ascii="Arial" w:cs="Arial" w:eastAsia="Arial" w:hAnsi="Arial"/>
          <w:sz w:val="18"/>
          <w:szCs w:val="18"/>
          <w:b w:val="1"/>
          <w:bCs w:val="1"/>
          <w:color w:val="auto"/>
        </w:rPr>
        <w:t>Section 9.3. Means of Giving Notice</w:t>
      </w:r>
      <w:r>
        <w:rPr>
          <w:rFonts w:ascii="Arial" w:cs="Arial" w:eastAsia="Arial" w:hAnsi="Arial"/>
          <w:sz w:val="18"/>
          <w:szCs w:val="18"/>
          <w:color w:val="auto"/>
        </w:rPr>
        <w:t>.</w:t>
      </w:r>
    </w:p>
    <w:p>
      <w:pPr>
        <w:spacing w:after="0" w:line="229" w:lineRule="exact"/>
        <w:rPr>
          <w:sz w:val="20"/>
          <w:szCs w:val="20"/>
          <w:color w:val="auto"/>
        </w:rPr>
      </w:pPr>
    </w:p>
    <w:p>
      <w:pPr>
        <w:ind w:left="-40" w:firstLine="449"/>
        <w:spacing w:after="0" w:line="288" w:lineRule="auto"/>
        <w:tabs>
          <w:tab w:leader="none" w:pos="64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 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68" w:lineRule="exact"/>
        <w:rPr>
          <w:rFonts w:ascii="Arial" w:cs="Arial" w:eastAsia="Arial" w:hAnsi="Arial"/>
          <w:sz w:val="16"/>
          <w:szCs w:val="16"/>
          <w:color w:val="auto"/>
        </w:rPr>
      </w:pPr>
    </w:p>
    <w:p>
      <w:pPr>
        <w:ind w:left="-40" w:firstLine="449"/>
        <w:spacing w:after="0" w:line="285" w:lineRule="auto"/>
        <w:tabs>
          <w:tab w:leader="none" w:pos="65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Notice to Stockholders</w:t>
      </w:r>
      <w:r>
        <w:rPr>
          <w:rFonts w:ascii="Arial" w:cs="Arial" w:eastAsia="Arial" w:hAnsi="Arial"/>
          <w:sz w:val="16"/>
          <w:szCs w:val="16"/>
          <w:color w:val="auto"/>
        </w:rPr>
        <w:t>. Whenever under applicable law, the Certificate of Incorporation or these By 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73" w:lineRule="exact"/>
        <w:rPr>
          <w:rFonts w:ascii="Arial" w:cs="Arial" w:eastAsia="Arial" w:hAnsi="Arial"/>
          <w:sz w:val="16"/>
          <w:szCs w:val="16"/>
          <w:color w:val="auto"/>
        </w:rPr>
      </w:pPr>
    </w:p>
    <w:p>
      <w:pPr>
        <w:ind w:left="-40" w:firstLine="449"/>
        <w:spacing w:after="0" w:line="259" w:lineRule="auto"/>
        <w:tabs>
          <w:tab w:leader="none" w:pos="64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ind w:left="-40" w:right="60" w:firstLine="449"/>
        <w:spacing w:after="0" w:line="273"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 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77" w:lineRule="exact"/>
        <w:rPr>
          <w:rFonts w:ascii="Arial" w:cs="Arial" w:eastAsia="Arial" w:hAnsi="Arial"/>
          <w:sz w:val="17"/>
          <w:szCs w:val="17"/>
          <w:color w:val="auto"/>
        </w:rPr>
      </w:pPr>
    </w:p>
    <w:p>
      <w:pPr>
        <w:ind w:left="-40" w:firstLine="449"/>
        <w:spacing w:after="0" w:line="254" w:lineRule="auto"/>
        <w:tabs>
          <w:tab w:leader="none" w:pos="64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 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203" w:name="page204"/>
    <w:bookmarkEnd w:id="203"/>
    <w:p>
      <w:pPr>
        <w:ind w:right="20"/>
        <w:spacing w:after="0" w:line="287" w:lineRule="auto"/>
        <w:rPr>
          <w:sz w:val="20"/>
          <w:szCs w:val="20"/>
          <w:color w:val="auto"/>
        </w:rPr>
      </w:pPr>
      <w:r>
        <w:rPr>
          <w:rFonts w:ascii="Arial" w:cs="Arial" w:eastAsia="Arial" w:hAnsi="Arial"/>
          <w:sz w:val="16"/>
          <w:szCs w:val="16"/>
          <w:color w:val="auto"/>
        </w:rPr>
        <w:t>Whenever notice is required to be given by the Corporation, under any provision of the DGCL, the Certificate of Incorporation or these By 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68"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b w:val="1"/>
          <w:bCs w:val="1"/>
          <w:color w:val="auto"/>
        </w:rPr>
        <w:t>Section 9.4. Waiver of Notice</w:t>
      </w:r>
      <w:r>
        <w:rPr>
          <w:rFonts w:ascii="Arial" w:cs="Arial" w:eastAsia="Arial" w:hAnsi="Arial"/>
          <w:sz w:val="17"/>
          <w:szCs w:val="17"/>
          <w:color w:val="auto"/>
        </w:rPr>
        <w:t>. Whenever any notice is required to be given under applicable law, the Certificate of Incorporation, or these By Laws,</w:t>
      </w:r>
      <w:r>
        <w:rPr>
          <w:rFonts w:ascii="Arial" w:cs="Arial" w:eastAsia="Arial" w:hAnsi="Arial"/>
          <w:sz w:val="17"/>
          <w:szCs w:val="17"/>
          <w:b w:val="1"/>
          <w:bCs w:val="1"/>
          <w:color w:val="auto"/>
        </w:rPr>
        <w:t xml:space="preserve"> </w:t>
      </w:r>
      <w:r>
        <w:rPr>
          <w:rFonts w:ascii="Arial" w:cs="Arial" w:eastAsia="Arial" w:hAnsi="Arial"/>
          <w:sz w:val="17"/>
          <w:szCs w:val="17"/>
          <w:color w:val="auto"/>
        </w:rPr>
        <w:t>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9.5. Meeting Attendance via Remote Communication Equipment.</w:t>
      </w:r>
    </w:p>
    <w:p>
      <w:pPr>
        <w:spacing w:after="0" w:line="229" w:lineRule="exact"/>
        <w:rPr>
          <w:sz w:val="20"/>
          <w:szCs w:val="20"/>
          <w:color w:val="auto"/>
        </w:rPr>
      </w:pPr>
    </w:p>
    <w:p>
      <w:pPr>
        <w:ind w:right="240" w:firstLine="449"/>
        <w:spacing w:after="0" w:line="263"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1100" w:hanging="211"/>
        <w:spacing w:after="0"/>
        <w:tabs>
          <w:tab w:leader="none" w:pos="11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140" w:firstLine="889"/>
        <w:spacing w:after="0" w:line="272" w:lineRule="auto"/>
        <w:tabs>
          <w:tab w:leader="none" w:pos="1146" w:val="left"/>
        </w:tabs>
        <w:numPr>
          <w:ilvl w:val="1"/>
          <w:numId w:val="132"/>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ind w:right="160" w:firstLine="449"/>
        <w:spacing w:after="0" w:line="257"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 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ind w:right="200" w:firstLine="441"/>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4" w:name="page205"/>
    <w:bookmarkEnd w:id="204"/>
    <w:p>
      <w:pPr>
        <w:ind w:right="500" w:firstLine="441"/>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162" w:lineRule="exact"/>
        <w:rPr>
          <w:sz w:val="20"/>
          <w:szCs w:val="20"/>
          <w:color w:val="auto"/>
        </w:rPr>
      </w:pPr>
    </w:p>
    <w:p>
      <w:pPr>
        <w:ind w:right="80" w:firstLine="441"/>
        <w:spacing w:after="0" w:line="253"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 these By</w:t>
      </w:r>
      <w:r>
        <w:rPr>
          <w:rFonts w:ascii="Arial" w:cs="Arial" w:eastAsia="Arial" w:hAnsi="Arial"/>
          <w:sz w:val="18"/>
          <w:szCs w:val="18"/>
          <w:b w:val="1"/>
          <w:bCs w:val="1"/>
          <w:color w:val="auto"/>
        </w:rPr>
        <w:t xml:space="preserve"> </w:t>
      </w:r>
      <w:r>
        <w:rPr>
          <w:rFonts w:ascii="Arial" w:cs="Arial" w:eastAsia="Arial" w:hAnsi="Arial"/>
          <w:sz w:val="18"/>
          <w:szCs w:val="18"/>
          <w:color w:val="auto"/>
        </w:rPr>
        <w:t>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 it</w:t>
      </w:r>
      <w:r>
        <w:rPr>
          <w:rFonts w:ascii="Arial" w:cs="Arial" w:eastAsia="Arial" w:hAnsi="Arial"/>
          <w:sz w:val="18"/>
          <w:szCs w:val="18"/>
          <w:b w:val="1"/>
          <w:bCs w:val="1"/>
          <w:color w:val="auto"/>
        </w:rPr>
        <w:t xml:space="preserve"> </w:t>
      </w:r>
      <w:r>
        <w:rPr>
          <w:rFonts w:ascii="Arial" w:cs="Arial" w:eastAsia="Arial" w:hAnsi="Arial"/>
          <w:sz w:val="18"/>
          <w:szCs w:val="18"/>
          <w:color w:val="auto"/>
        </w:rPr>
        <w:t>or a facsimile thereof to be impressed, affixed or otherwise reproduced.</w:t>
      </w:r>
    </w:p>
    <w:p>
      <w:pPr>
        <w:spacing w:after="0" w:line="162"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b w:val="1"/>
          <w:bCs w:val="1"/>
          <w:color w:val="auto"/>
        </w:rPr>
        <w:t>Section 9.12. Resignation</w:t>
      </w:r>
      <w:r>
        <w:rPr>
          <w:rFonts w:ascii="Arial" w:cs="Arial" w:eastAsia="Arial" w:hAnsi="Arial"/>
          <w:sz w:val="18"/>
          <w:szCs w:val="18"/>
          <w:color w:val="auto"/>
        </w:rPr>
        <w:t>. Any director, committee member or officer may resign by giving notice thereof in writing or by electronic transmission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80"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b w:val="1"/>
          <w:bCs w:val="1"/>
          <w:color w:val="auto"/>
        </w:rPr>
        <w:t>Section 9.13. Surety Bonds</w:t>
      </w:r>
      <w:r>
        <w:rPr>
          <w:rFonts w:ascii="Arial" w:cs="Arial" w:eastAsia="Arial" w:hAnsi="Arial"/>
          <w:sz w:val="18"/>
          <w:szCs w:val="18"/>
          <w:color w:val="auto"/>
        </w:rPr>
        <w:t>. Such officers, employees and agents of the Corporation (if any) as the Chairman of the Board,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87"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b w:val="1"/>
          <w:bCs w:val="1"/>
          <w:color w:val="auto"/>
        </w:rPr>
        <w:t>Section 9.14. Securities of Other Corporations</w:t>
      </w:r>
      <w:r>
        <w:rPr>
          <w:rFonts w:ascii="Arial" w:cs="Arial" w:eastAsia="Arial" w:hAnsi="Arial"/>
          <w:sz w:val="17"/>
          <w:szCs w:val="17"/>
          <w:color w:val="auto"/>
        </w:rPr>
        <w:t>. Powers of attorney, proxies, waivers of notice of meeting, consents in writing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72" w:lineRule="exact"/>
        <w:rPr>
          <w:sz w:val="20"/>
          <w:szCs w:val="20"/>
          <w:color w:val="auto"/>
        </w:rPr>
      </w:pPr>
    </w:p>
    <w:p>
      <w:pPr>
        <w:ind w:right="60" w:firstLine="441"/>
        <w:spacing w:after="0" w:line="274" w:lineRule="auto"/>
        <w:rPr>
          <w:sz w:val="20"/>
          <w:szCs w:val="20"/>
          <w:color w:val="auto"/>
        </w:rPr>
      </w:pPr>
      <w:r>
        <w:rPr>
          <w:rFonts w:ascii="Arial" w:cs="Arial" w:eastAsia="Arial" w:hAnsi="Arial"/>
          <w:sz w:val="17"/>
          <w:szCs w:val="17"/>
          <w:b w:val="1"/>
          <w:bCs w:val="1"/>
          <w:color w:val="auto"/>
        </w:rPr>
        <w:t>Section 9.15. Amendments</w:t>
      </w:r>
      <w:r>
        <w:rPr>
          <w:rFonts w:ascii="Arial" w:cs="Arial" w:eastAsia="Arial" w:hAnsi="Arial"/>
          <w:sz w:val="17"/>
          <w:szCs w:val="17"/>
          <w:color w:val="auto"/>
        </w:rPr>
        <w:t>. The Board shall have the power to adopt, amend, alter or repeal the By Laws. The affirmative vote of a majority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shall be required to adopt, amend, alter or repeal the By Laws. The By 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8.7)of all outstanding shares of capital stock of the Corporation entitled to vote generally in the election of directors, voting together as a single class, shall be required for the stockholders to adopt, amend, alter or repeal the By Laws.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10320"/>
        <w:spacing w:after="0"/>
        <w:rPr>
          <w:sz w:val="20"/>
          <w:szCs w:val="20"/>
          <w:color w:val="auto"/>
        </w:rPr>
      </w:pPr>
      <w:r>
        <w:rPr>
          <w:rFonts w:ascii="Arial" w:cs="Arial" w:eastAsia="Arial" w:hAnsi="Arial"/>
          <w:sz w:val="16"/>
          <w:szCs w:val="16"/>
          <w:b w:val="1"/>
          <w:bCs w:val="1"/>
          <w:color w:val="auto"/>
        </w:rPr>
        <w:t>Exhibit 10.2</w:t>
      </w:r>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Up to $300,000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Dated as of September 18 2020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ectPr>
          <w:pgSz w:w="11900" w:h="16838" w:orient="portrait"/>
          <w:cols w:equalWidth="0" w:num="2">
            <w:col w:w="7420" w:space="720"/>
            <w:col w:w="3100"/>
          </w:cols>
          <w:pgMar w:left="320" w:top="121" w:right="339" w:bottom="1440" w:gutter="0" w:footer="0" w:header="0"/>
          <w:type w:val="continuous"/>
        </w:sectPr>
      </w:pPr>
    </w:p>
    <w:p>
      <w:pPr>
        <w:spacing w:after="0" w:line="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7GC &amp; Co. Holdings Inc., a Delaware corporation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7GC &amp; Co. Holdings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up to Three Hundred Thousand Dollars ($300,000)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ind w:right="340" w:firstLine="8"/>
        <w:spacing w:after="0" w:line="261" w:lineRule="auto"/>
        <w:tabs>
          <w:tab w:leader="none" w:pos="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March 31, 2021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b w:val="1"/>
          <w:bCs w:val="1"/>
          <w:color w:val="auto"/>
        </w:rPr>
      </w:pPr>
    </w:p>
    <w:p>
      <w:pPr>
        <w:ind w:left="180" w:hanging="172"/>
        <w:spacing w:after="0"/>
        <w:tabs>
          <w:tab w:leader="none" w:pos="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ind w:firstLine="8"/>
        <w:spacing w:after="0" w:line="270" w:lineRule="auto"/>
        <w:tabs>
          <w:tab w:leader="none" w:pos="18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Drawdown Requests. </w:t>
      </w:r>
      <w:r>
        <w:rPr>
          <w:rFonts w:ascii="Arial" w:cs="Arial" w:eastAsia="Arial" w:hAnsi="Arial"/>
          <w:sz w:val="17"/>
          <w:szCs w:val="17"/>
          <w:color w:val="auto"/>
        </w:rPr>
        <w:t>Maker and Payee agree that Maker may request up to Three Hundred Thousand Dollars ($300,000) for costs reasonably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Maker’s initial public offering of its securities. The principal of this Note may be drawn down from time to time prior to the earlier of: (i) March 31, 2021 or (ii) the date on which Maker consummates an initial public offering of its securities, upon written request from Maker to Payee (each, a “</w:t>
      </w:r>
      <w:r>
        <w:rPr>
          <w:rFonts w:ascii="Arial" w:cs="Arial" w:eastAsia="Arial" w:hAnsi="Arial"/>
          <w:sz w:val="17"/>
          <w:szCs w:val="17"/>
          <w:b w:val="1"/>
          <w:bCs w:val="1"/>
          <w:color w:val="auto"/>
        </w:rPr>
        <w:t>Drawdown</w:t>
      </w:r>
      <w:r>
        <w:rPr>
          <w:rFonts w:ascii="Arial" w:cs="Arial" w:eastAsia="Arial" w:hAnsi="Arial"/>
          <w:sz w:val="17"/>
          <w:szCs w:val="17"/>
          <w:color w:val="auto"/>
        </w:rPr>
        <w:t xml:space="preserve"> </w:t>
      </w:r>
      <w:r>
        <w:rPr>
          <w:rFonts w:ascii="Arial" w:cs="Arial" w:eastAsia="Arial" w:hAnsi="Arial"/>
          <w:sz w:val="17"/>
          <w:szCs w:val="17"/>
          <w:b w:val="1"/>
          <w:bCs w:val="1"/>
          <w:color w:val="auto"/>
        </w:rPr>
        <w:t>Request</w:t>
      </w:r>
      <w:r>
        <w:rPr>
          <w:rFonts w:ascii="Arial" w:cs="Arial" w:eastAsia="Arial" w:hAnsi="Arial"/>
          <w:sz w:val="17"/>
          <w:szCs w:val="17"/>
          <w:color w:val="auto"/>
        </w:rPr>
        <w:t>”). Each Drawdown Request must state the amount to be drawn down, and must not be an amount less than Ten Thousand Dollars ($10,000) unless</w:t>
      </w:r>
      <w:r>
        <w:rPr>
          <w:rFonts w:ascii="Arial" w:cs="Arial" w:eastAsia="Arial" w:hAnsi="Arial"/>
          <w:sz w:val="17"/>
          <w:szCs w:val="17"/>
          <w:b w:val="1"/>
          <w:bCs w:val="1"/>
          <w:color w:val="auto"/>
        </w:rPr>
        <w:t xml:space="preserve"> </w:t>
      </w:r>
      <w:r>
        <w:rPr>
          <w:rFonts w:ascii="Arial" w:cs="Arial" w:eastAsia="Arial" w:hAnsi="Arial"/>
          <w:sz w:val="17"/>
          <w:szCs w:val="17"/>
          <w:color w:val="auto"/>
        </w:rPr>
        <w:t>agreed upon by Maker and Payee. Payee shall fund each Drawdown Request no later than five (5) business days after receipt of a Drawdown Request; provided, however, that the maximum amount of drawdowns collectively under this Note is Three Hundred Thousand Dollars ($300,000). Once an amount is drawn down under this Note, it shall not be available for future Drawdown Requests even if prepaid. No fees, payments or other amounts shall be due to Payee in connection with, or as a result of, any Drawdown Request by Maker. Notwithstanding the foregoing, all payments shall be applied first to payment in full of any costs incurred in the collection of any sum due under this Note, including (without limitation) reasonable attorneys’ fees, and then to the reduction of the unpaid principal balance of this Note.</w:t>
      </w:r>
    </w:p>
    <w:p>
      <w:pPr>
        <w:spacing w:after="0" w:line="176" w:lineRule="exact"/>
        <w:rPr>
          <w:rFonts w:ascii="Arial" w:cs="Arial" w:eastAsia="Arial" w:hAnsi="Arial"/>
          <w:sz w:val="17"/>
          <w:szCs w:val="17"/>
          <w:b w:val="1"/>
          <w:bCs w:val="1"/>
          <w:color w:val="auto"/>
        </w:rPr>
      </w:pPr>
    </w:p>
    <w:p>
      <w:pPr>
        <w:jc w:val="both"/>
        <w:ind w:right="120" w:firstLine="8"/>
        <w:spacing w:after="0" w:line="266" w:lineRule="auto"/>
        <w:tabs>
          <w:tab w:leader="none" w:pos="17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180" w:hanging="172"/>
        <w:spacing w:after="0"/>
        <w:tabs>
          <w:tab w:leader="none" w:pos="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656"/>
        <w:spacing w:after="0" w:line="277" w:lineRule="auto"/>
        <w:tabs>
          <w:tab w:leader="none" w:pos="892"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80" w:firstLine="656"/>
        <w:spacing w:after="0" w:line="257" w:lineRule="auto"/>
        <w:tabs>
          <w:tab w:leader="none" w:pos="903"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6" w:name="page207"/>
    <w:bookmarkEnd w:id="206"/>
    <w:p>
      <w:pPr>
        <w:ind w:left="-8" w:right="240" w:firstLine="656"/>
        <w:spacing w:after="0" w:line="259" w:lineRule="auto"/>
        <w:tabs>
          <w:tab w:leader="none" w:pos="884"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172" w:hanging="172"/>
        <w:spacing w:after="0"/>
        <w:tabs>
          <w:tab w:leader="none" w:pos="17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ind w:left="-8" w:firstLine="656"/>
        <w:spacing w:after="0" w:line="259" w:lineRule="auto"/>
        <w:tabs>
          <w:tab w:leader="none" w:pos="88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left="-8" w:right="240" w:firstLine="656"/>
        <w:spacing w:after="0" w:line="342" w:lineRule="auto"/>
        <w:tabs>
          <w:tab w:leader="none" w:pos="89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ind w:left="-8" w:right="60" w:firstLine="8"/>
        <w:spacing w:after="0" w:line="294" w:lineRule="auto"/>
        <w:tabs>
          <w:tab w:leader="none" w:pos="169"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 protest,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ind w:left="-8" w:right="120" w:firstLine="8"/>
        <w:spacing w:after="0" w:line="298" w:lineRule="auto"/>
        <w:tabs>
          <w:tab w:leader="none" w:pos="172"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b w:val="1"/>
          <w:bCs w:val="1"/>
          <w:color w:val="auto"/>
        </w:rPr>
      </w:pPr>
    </w:p>
    <w:p>
      <w:pPr>
        <w:ind w:left="-8" w:right="180" w:firstLine="8"/>
        <w:spacing w:after="0" w:line="273" w:lineRule="auto"/>
        <w:tabs>
          <w:tab w:leader="none" w:pos="172"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 writing and delivered: (i)</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b w:val="1"/>
          <w:bCs w:val="1"/>
          <w:color w:val="auto"/>
        </w:rPr>
      </w:pPr>
    </w:p>
    <w:p>
      <w:pPr>
        <w:ind w:left="-8" w:right="300" w:firstLine="8"/>
        <w:spacing w:after="0" w:line="282" w:lineRule="auto"/>
        <w:tabs>
          <w:tab w:leader="none" w:pos="26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b w:val="1"/>
          <w:bCs w:val="1"/>
          <w:color w:val="auto"/>
        </w:rPr>
      </w:pPr>
    </w:p>
    <w:p>
      <w:pPr>
        <w:jc w:val="both"/>
        <w:ind w:left="-8" w:right="160" w:firstLine="8"/>
        <w:spacing w:after="0" w:line="266" w:lineRule="auto"/>
        <w:tabs>
          <w:tab w:leader="none" w:pos="252"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07" w:name="page208"/>
    <w:bookmarkEnd w:id="207"/>
    <w:p>
      <w:pPr>
        <w:ind w:left="280" w:hanging="272"/>
        <w:spacing w:after="0"/>
        <w:tabs>
          <w:tab w:leader="none" w:pos="28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 claim of any kind</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to be established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to be conducted by the Maker (including the deferred underwriters discounts and commissions) and the proceeds of the sale of the warrants to be issued in a private placement to occur prior to the closing of the IPO are to be deposited, as described in greater detail in the registration statement and prospectus to be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2"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 xml:space="preserve"> Assignment</w:t>
      </w:r>
      <w:r>
        <w:rPr>
          <w:rFonts w:ascii="Arial" w:cs="Arial" w:eastAsia="Arial" w:hAnsi="Arial"/>
          <w:sz w:val="16"/>
          <w:szCs w:val="16"/>
          <w:color w:val="auto"/>
        </w:rPr>
        <w:t>. 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7GC &amp; CO. HOLDINGS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Leeney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Jack Leeney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7GC &amp; Co. Holdings Inc.</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188 King Street, Suite 308</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San Francisco, CA 94107</w:t>
      </w:r>
    </w:p>
    <w:p>
      <w:pPr>
        <w:spacing w:after="0" w:line="21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September 18,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7GC &amp; Co.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188 King Street, Suite 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Securities Subscription Agreement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the date hereof by and between 7GC &amp; Co. Holdings LLC, a Delaware limited liability company (the “</w:t>
      </w:r>
      <w:r>
        <w:rPr>
          <w:rFonts w:ascii="Arial" w:cs="Arial" w:eastAsia="Arial" w:hAnsi="Arial"/>
          <w:sz w:val="18"/>
          <w:szCs w:val="18"/>
          <w:b w:val="1"/>
          <w:bCs w:val="1"/>
          <w:color w:val="auto"/>
        </w:rPr>
        <w:t>Subscriber</w:t>
      </w:r>
      <w:r>
        <w:rPr>
          <w:rFonts w:ascii="Arial" w:cs="Arial" w:eastAsia="Arial" w:hAnsi="Arial"/>
          <w:sz w:val="18"/>
          <w:szCs w:val="18"/>
          <w:color w:val="auto"/>
        </w:rPr>
        <w:t>” or “</w:t>
      </w:r>
      <w:r>
        <w:rPr>
          <w:rFonts w:ascii="Arial" w:cs="Arial" w:eastAsia="Arial" w:hAnsi="Arial"/>
          <w:sz w:val="18"/>
          <w:szCs w:val="18"/>
          <w:b w:val="1"/>
          <w:bCs w:val="1"/>
          <w:color w:val="auto"/>
        </w:rPr>
        <w:t>you</w:t>
      </w:r>
      <w:r>
        <w:rPr>
          <w:rFonts w:ascii="Arial" w:cs="Arial" w:eastAsia="Arial" w:hAnsi="Arial"/>
          <w:sz w:val="18"/>
          <w:szCs w:val="18"/>
          <w:color w:val="auto"/>
        </w:rPr>
        <w:t>”) and 7GC &amp; Co.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Pursuant to the terms hereof, the Company hereby accepts the offer the Subscriber has made to purchase 5,031,250 shares of Class B common stock, $0.0001 par value per share (the “</w:t>
      </w:r>
      <w:r>
        <w:rPr>
          <w:rFonts w:ascii="Arial" w:cs="Arial" w:eastAsia="Arial" w:hAnsi="Arial"/>
          <w:sz w:val="18"/>
          <w:szCs w:val="18"/>
          <w:b w:val="1"/>
          <w:bCs w:val="1"/>
          <w:color w:val="auto"/>
        </w:rPr>
        <w:t>Shares</w:t>
      </w:r>
      <w:r>
        <w:rPr>
          <w:rFonts w:ascii="Arial" w:cs="Arial" w:eastAsia="Arial" w:hAnsi="Arial"/>
          <w:sz w:val="18"/>
          <w:szCs w:val="18"/>
          <w:color w:val="auto"/>
        </w:rPr>
        <w:t>”), up to 656,250 of which are subject to forfeiture by you if the underwriters of the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units (“</w:t>
      </w:r>
      <w:r>
        <w:rPr>
          <w:rFonts w:ascii="Arial" w:cs="Arial" w:eastAsia="Arial" w:hAnsi="Arial"/>
          <w:sz w:val="18"/>
          <w:szCs w:val="18"/>
          <w:b w:val="1"/>
          <w:bCs w:val="1"/>
          <w:color w:val="auto"/>
        </w:rPr>
        <w:t>Units</w:t>
      </w:r>
      <w:r>
        <w:rPr>
          <w:rFonts w:ascii="Arial" w:cs="Arial" w:eastAsia="Arial" w:hAnsi="Arial"/>
          <w:sz w:val="18"/>
          <w:szCs w:val="18"/>
          <w:color w:val="auto"/>
        </w:rPr>
        <w:t>”) of the Company, do not fully exercise their over-allotment option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The Company and the Subscriber’s agreements regarding such Shares are as follows:</w:t>
      </w:r>
    </w:p>
    <w:p>
      <w:pPr>
        <w:spacing w:after="0" w:line="191"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Purchase of Securities.</w:t>
      </w:r>
    </w:p>
    <w:p>
      <w:pPr>
        <w:spacing w:after="0" w:line="221" w:lineRule="exact"/>
        <w:rPr>
          <w:sz w:val="20"/>
          <w:szCs w:val="20"/>
          <w:color w:val="auto"/>
        </w:rPr>
      </w:pPr>
    </w:p>
    <w:p>
      <w:pPr>
        <w:ind w:right="40" w:firstLine="324"/>
        <w:spacing w:after="0" w:line="30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Purchase of Shares.</w:t>
      </w:r>
      <w:r>
        <w:rPr>
          <w:rFonts w:ascii="Arial" w:cs="Arial" w:eastAsia="Arial" w:hAnsi="Arial"/>
          <w:sz w:val="16"/>
          <w:szCs w:val="16"/>
          <w:color w:val="auto"/>
        </w:rPr>
        <w:t xml:space="preserve"> For the sum of $25,000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the Company acknowledges receiving in cash, the Company hereby issues the Shares to the Subscriber, and the Subscriber hereby purchases the Shares from the Company, subject to forfeiture, on the terms and subject to the conditions set forth in this Agreement. Concurrently with the Subscriber’s execution of this Agreement, the Company shall, at its option, deliver to the Subscriber a certificate registered in the Subscriber’s name representing the shares (the “</w:t>
      </w:r>
      <w:r>
        <w:rPr>
          <w:rFonts w:ascii="Arial" w:cs="Arial" w:eastAsia="Arial" w:hAnsi="Arial"/>
          <w:sz w:val="16"/>
          <w:szCs w:val="16"/>
          <w:b w:val="1"/>
          <w:bCs w:val="1"/>
          <w:color w:val="auto"/>
        </w:rPr>
        <w:t>Original Certificate</w:t>
      </w:r>
      <w:r>
        <w:rPr>
          <w:rFonts w:ascii="Arial" w:cs="Arial" w:eastAsia="Arial" w:hAnsi="Arial"/>
          <w:sz w:val="16"/>
          <w:szCs w:val="16"/>
          <w:color w:val="auto"/>
        </w:rPr>
        <w:t>”), or effect such delivery in book-entry form.</w:t>
      </w:r>
    </w:p>
    <w:p>
      <w:pPr>
        <w:spacing w:after="0" w:line="155"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xml:space="preserve">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xml:space="preserve"> The Subscriber understands that no federal or state agency has passed upon or made any recommendation or endorsement of the offering of the Shares.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or (iii) any law, statute, rule or regulation to which the Subscriber is subject, or any agreement, order, judgment or decree to which the Subscriber is subject.</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xml:space="preserve">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is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jc w:val="both"/>
        <w:ind w:firstLine="648"/>
        <w:spacing w:after="0" w:line="272"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Experience, Financial Capability and Suitability.</w:t>
      </w:r>
      <w:r>
        <w:rPr>
          <w:rFonts w:ascii="Arial" w:cs="Arial" w:eastAsia="Arial" w:hAnsi="Arial"/>
          <w:sz w:val="17"/>
          <w:szCs w:val="17"/>
          <w:color w:val="auto"/>
        </w:rPr>
        <w:t xml:space="preserve">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(i) an effective registration statement under the Securities Act or (ii) an exemption from registration available with respect to such sale. Subscriber is able to bear the economic risks of an investment in the Shares and to afford a complete loss of Subscriber’s investment in the Shares.</w:t>
      </w:r>
    </w:p>
    <w:p>
      <w:pPr>
        <w:spacing w:after="0" w:line="17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xml:space="preserve">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and/or its prospects.</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Regulation D Offering.</w:t>
      </w:r>
      <w:r>
        <w:rPr>
          <w:rFonts w:ascii="Arial" w:cs="Arial" w:eastAsia="Arial" w:hAnsi="Arial"/>
          <w:sz w:val="18"/>
          <w:szCs w:val="18"/>
          <w:color w:val="auto"/>
        </w:rPr>
        <w:t xml:space="preserve">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to “accredited investors” within the meaning of Section 501(a) of Regulation D under the Securities Act or similar exemptions under state law.</w:t>
      </w:r>
    </w:p>
    <w:p>
      <w:pPr>
        <w:spacing w:after="0" w:line="18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Investment Purposes.</w:t>
      </w:r>
      <w:r>
        <w:rPr>
          <w:rFonts w:ascii="Arial" w:cs="Arial" w:eastAsia="Arial" w:hAnsi="Arial"/>
          <w:sz w:val="16"/>
          <w:szCs w:val="16"/>
          <w:color w:val="auto"/>
        </w:rPr>
        <w:t xml:space="preserve"> The Subscriber is purchasing the Shares solely for investment purposes, for the Subscriber’s own account and not for the account or benefit of any other person, and not with a view towards the distribution or dissemination thereof. The Subscriber did not decide to enter into this Agreement as a result of any general solicitation or general advertising within the meaning of Rule 502 under the Securities Act.</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Restrictions on Transfer; Shell Company.</w:t>
      </w:r>
      <w:r>
        <w:rPr>
          <w:rFonts w:ascii="Arial" w:cs="Arial" w:eastAsia="Arial" w:hAnsi="Arial"/>
          <w:sz w:val="17"/>
          <w:szCs w:val="17"/>
          <w:color w:val="auto"/>
        </w:rPr>
        <w:t xml:space="preserve"> Subscriber understands the Shares are being offered in a transaction not involving a public offering within the meaning of the Securities Act. Subscriber understands the Shares will be “restricted securities” within the meaning of Rule 144(a)(3) under the Securities Act, and Subscriber understands that the certificates or book-entries representing the Shares will contain a legend in respect of such restrictions. If in the future the Subscriber decides to offer, resell, pledge or otherwise transfer the Shares, such Shares may be offered, resold, pledged or otherwise transferred only pursuant to: (i) registration under the Securities Act, or (ii) an available exemption from registration.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requirements of Rule 144 and the release or waiver of any contractual transfer restrictions.</w:t>
      </w:r>
    </w:p>
    <w:p>
      <w:pPr>
        <w:spacing w:after="0" w:line="18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xml:space="preserve">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xml:space="preserve"> To induce the Subscriber to purchase the Shares, the Company hereby represents and warrants to the Subscriber and agrees with the Subscriber as follows:</w:t>
      </w:r>
    </w:p>
    <w:p>
      <w:pPr>
        <w:spacing w:after="0" w:line="17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Organization and Corporate Power.</w:t>
      </w:r>
      <w:r>
        <w:rPr>
          <w:rFonts w:ascii="Arial" w:cs="Arial" w:eastAsia="Arial" w:hAnsi="Arial"/>
          <w:sz w:val="16"/>
          <w:szCs w:val="16"/>
          <w:color w:val="auto"/>
        </w:rPr>
        <w:t xml:space="preserve"> The Company is a Delaware corporation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right="380" w:firstLine="648"/>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and the consummation by the Company of the transactions contemplated hereby do not violate, conflict with or constitute a default under (i) the Certificate of Incorporation or By Laws of the Company, (ii) any agreement, indenture or instrument to which the Company is a party or (iii) any law, statute, rule or regulation to which the Company is subject, or any agreement, order, judgment or decree to which the Company is subject.</w:t>
      </w:r>
    </w:p>
    <w:p>
      <w:pPr>
        <w:spacing w:after="0" w:line="18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xml:space="preserve">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 (c) liens, claims or encumbrances imposed due to the actions of the Subscriber.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xml:space="preserve"> There are no actions, suits, investigations or proceedings pending, threatened against or affecting the Company which:</w:t>
      </w:r>
    </w:p>
    <w:p>
      <w:pPr>
        <w:spacing w:after="0" w:line="46" w:lineRule="exact"/>
        <w:rPr>
          <w:sz w:val="20"/>
          <w:szCs w:val="20"/>
          <w:color w:val="auto"/>
        </w:rPr>
      </w:pPr>
    </w:p>
    <w:p>
      <w:pPr>
        <w:ind w:right="80" w:firstLine="8"/>
        <w:spacing w:after="0" w:line="260" w:lineRule="auto"/>
        <w:tabs>
          <w:tab w:leader="none" w:pos="2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seek to restrain, enjoin, prevent the consummation of or otherwise affect the transactions contemplated by this Agreement or (ii) question the validity or legality of any transactions or seeks to recover damages or to obtain other relief in connection with any transactions.</w:t>
      </w:r>
    </w:p>
    <w:p>
      <w:pPr>
        <w:spacing w:after="0" w:line="185" w:lineRule="exact"/>
        <w:rPr>
          <w:sz w:val="20"/>
          <w:szCs w:val="20"/>
          <w:color w:val="auto"/>
        </w:rPr>
      </w:pPr>
    </w:p>
    <w:p>
      <w:pPr>
        <w:ind w:left="180" w:hanging="172"/>
        <w:spacing w:after="0"/>
        <w:tabs>
          <w:tab w:leader="none" w:pos="1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Partial or No Exercise of the Over-allotment Option.</w:t>
      </w:r>
      <w:r>
        <w:rPr>
          <w:rFonts w:ascii="Arial" w:cs="Arial" w:eastAsia="Arial" w:hAnsi="Arial"/>
          <w:sz w:val="18"/>
          <w:szCs w:val="18"/>
          <w:color w:val="auto"/>
        </w:rPr>
        <w:t xml:space="preserve"> In the event the Over-allotment Option granted to the underwriters of the IPO is not exercised in full, the Subscriber acknowledges and agrees that it (or, if applicable, it and any transferees of Shares) shall forfeit any and all rights to such number of Shares (up to an aggregate of 656,250 Shares and pro rata based upon the percentage of the Over-allotment Option exercised) such that immediately following such forfeiture, the Subscriber (and all other initial stockholders prior to the IPO, if any) will own an aggregate number of Shares, not including Shares issuable upon exercise of any warrants or any Common Stock purchased by Subscriber in the IPO or in the aftermarket equal to 20% of the issued and outstanding Shares immediately following the IPO.</w:t>
      </w:r>
    </w:p>
    <w:p>
      <w:pPr>
        <w:spacing w:after="0" w:line="19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Stockholder.</w:t>
      </w:r>
      <w:r>
        <w:rPr>
          <w:rFonts w:ascii="Arial" w:cs="Arial" w:eastAsia="Arial" w:hAnsi="Arial"/>
          <w:sz w:val="18"/>
          <w:szCs w:val="18"/>
          <w:color w:val="auto"/>
        </w:rPr>
        <w:t xml:space="preserve"> If any of the Shares are forfeited in accordance with this Section 3, then after such time the Subscriber (or successor in interest), shall no longer have any rights as a holder of such forfeited Shares, and the Company shall take such action as is appropriate to cancel such forfeited Shares.</w:t>
      </w:r>
    </w:p>
    <w:p>
      <w:pPr>
        <w:spacing w:after="0" w:line="18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Share Certificates.</w:t>
      </w:r>
      <w:r>
        <w:rPr>
          <w:rFonts w:ascii="Arial" w:cs="Arial" w:eastAsia="Arial" w:hAnsi="Arial"/>
          <w:sz w:val="17"/>
          <w:szCs w:val="17"/>
          <w:color w:val="auto"/>
        </w:rPr>
        <w:t xml:space="preserve"> </w:t>
      </w:r>
      <w:r>
        <w:rPr>
          <w:rFonts w:ascii="Arial" w:cs="Arial" w:eastAsia="Arial" w:hAnsi="Arial"/>
          <w:sz w:val="17"/>
          <w:szCs w:val="17"/>
          <w:color w:val="auto"/>
          <w:highlight w:val="white"/>
        </w:rPr>
        <w:t>In the event an adjustment to the Original Certificates, if any, is required pursuant to this Section 3, then the Subscriber shall</w:t>
      </w:r>
      <w:r>
        <w:rPr>
          <w:rFonts w:ascii="Arial" w:cs="Arial" w:eastAsia="Arial" w:hAnsi="Arial"/>
          <w:sz w:val="17"/>
          <w:szCs w:val="17"/>
          <w:color w:val="auto"/>
        </w:rPr>
        <w:t xml:space="preserve"> return such Original Certificates to the Company or its designated agent as soon as practicable upon its receipt of notice from the Company advising Subscriber of such adjustment, following which a new certificate (the “</w:t>
      </w:r>
      <w:r>
        <w:rPr>
          <w:rFonts w:ascii="Arial" w:cs="Arial" w:eastAsia="Arial" w:hAnsi="Arial"/>
          <w:sz w:val="17"/>
          <w:szCs w:val="17"/>
          <w:b w:val="1"/>
          <w:bCs w:val="1"/>
          <w:color w:val="auto"/>
        </w:rPr>
        <w:t>New Certificate</w:t>
      </w:r>
      <w:r>
        <w:rPr>
          <w:rFonts w:ascii="Arial" w:cs="Arial" w:eastAsia="Arial" w:hAnsi="Arial"/>
          <w:sz w:val="17"/>
          <w:szCs w:val="17"/>
          <w:color w:val="auto"/>
        </w:rPr>
        <w:t>”), if any, shall be issued in such amount representing the adjusted number of Shares held by the Subscriber. The New Certificate, if any, shall be returned to the Subscriber as soon as practicable. Any such adjustment for any uncertificated securities held by the Subscriber shall be made in book-entry form.</w:t>
      </w:r>
    </w:p>
    <w:p>
      <w:pPr>
        <w:spacing w:after="0" w:line="176" w:lineRule="exact"/>
        <w:rPr>
          <w:sz w:val="20"/>
          <w:szCs w:val="20"/>
          <w:color w:val="auto"/>
        </w:rPr>
      </w:pPr>
    </w:p>
    <w:p>
      <w:pPr>
        <w:ind w:firstLine="8"/>
        <w:spacing w:after="0" w:line="254" w:lineRule="auto"/>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Waiver of Liquidation Distributions; Redemption Rights.</w:t>
      </w:r>
      <w:r>
        <w:rPr>
          <w:rFonts w:ascii="Arial" w:cs="Arial" w:eastAsia="Arial" w:hAnsi="Arial"/>
          <w:sz w:val="18"/>
          <w:szCs w:val="18"/>
          <w:color w:val="auto"/>
        </w:rPr>
        <w:t xml:space="preserve">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stockholders and into which substantially all of the proceeds of the IPO will be deposited (the “</w:t>
      </w:r>
      <w:r>
        <w:rPr>
          <w:rFonts w:ascii="Arial" w:cs="Arial" w:eastAsia="Arial" w:hAnsi="Arial"/>
          <w:sz w:val="18"/>
          <w:szCs w:val="18"/>
          <w:b w:val="1"/>
          <w:bCs w:val="1"/>
          <w:color w:val="auto"/>
        </w:rPr>
        <w:t>Trust Account</w:t>
      </w:r>
      <w:r>
        <w:rPr>
          <w:rFonts w:ascii="Arial" w:cs="Arial" w:eastAsia="Arial" w:hAnsi="Arial"/>
          <w:sz w:val="18"/>
          <w:szCs w:val="18"/>
          <w:color w:val="auto"/>
        </w:rPr>
        <w:t>”), in the event of a liquidation of the Company upon the Company’s failure to timely complete an initial business combination. For purposes of clarity, in the event the Subscriber purchases Shares in the IPO or in the aftermarket, any additional Shares so purchased shall be eligible to receive any liquidating distributions by the Company. However, in no event will the Subscriber have the right to redeem any Shares into funds held in the Trust Account upon the successful completion of an initial business combination.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ind w:left="180" w:hanging="172"/>
        <w:spacing w:after="0"/>
        <w:tabs>
          <w:tab w:leader="none" w:pos="1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221"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xml:space="preserve">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 hypothecate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Lock-up</w:t>
      </w:r>
      <w:r>
        <w:rPr>
          <w:rFonts w:ascii="Arial" w:cs="Arial" w:eastAsia="Arial" w:hAnsi="Arial"/>
          <w:sz w:val="17"/>
          <w:szCs w:val="17"/>
          <w:color w:val="auto"/>
        </w:rPr>
        <w:t>. Subscriber acknowledges that the Securities will be subject to lock-up provisions (the “</w:t>
      </w:r>
      <w:r>
        <w:rPr>
          <w:rFonts w:ascii="Arial" w:cs="Arial" w:eastAsia="Arial" w:hAnsi="Arial"/>
          <w:sz w:val="17"/>
          <w:szCs w:val="17"/>
          <w:b w:val="1"/>
          <w:bCs w:val="1"/>
          <w:color w:val="auto"/>
        </w:rPr>
        <w:t>Lock-up</w:t>
      </w:r>
      <w:r>
        <w:rPr>
          <w:rFonts w:ascii="Arial" w:cs="Arial" w:eastAsia="Arial" w:hAnsi="Arial"/>
          <w:sz w:val="17"/>
          <w:szCs w:val="17"/>
          <w:color w:val="auto"/>
        </w:rPr>
        <w:t>”) contained in the Insider Letter.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xml:space="preserve"> Any certificates representing the Shares shall have endorsed thereon legends substantially as follows: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“THE SECURITIES REPRESENTED BY THIS CERTIFICATE ARE SUBJECT TO A LOCKUP AND MAY NOT BE OFFERED, SOLD, TRANSFERRED, PLEDGED OR OTHERWISE DISPOSED DURING THE TERM OF THE LOCKUP.”</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xml:space="preserve"> In the event of the declaration of a share dividend, the declaration of an extraordinary dividend payable in a form other than Shares, a spin-off, a share split, an adjustment in conversion ratio, a recapitalization or a similar transaction affecting the Company’s outstanding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this Section 5 and Section 3. Appropriate adjustments to reflect the distribution of such securities or property shall be made to the number and/or class of Shares subject to this Section 5 and Section 3.</w:t>
      </w:r>
    </w:p>
    <w:p>
      <w:pPr>
        <w:spacing w:after="0" w:line="19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Subscriber acknowledges that the Shares are being purchased pursuant to an exemption from the registration requirements of the Securities Act and will become freely tradable only after certain conditions are met or they are registered pursuant to a registration rights agreement to be entered into with the Company prior to the closing of the IPO.</w:t>
      </w:r>
    </w:p>
    <w:p>
      <w:pPr>
        <w:spacing w:after="0" w:line="184" w:lineRule="exact"/>
        <w:rPr>
          <w:sz w:val="20"/>
          <w:szCs w:val="20"/>
          <w:color w:val="auto"/>
        </w:rPr>
      </w:pPr>
    </w:p>
    <w:p>
      <w:pPr>
        <w:ind w:left="180" w:hanging="172"/>
        <w:spacing w:after="0"/>
        <w:tabs>
          <w:tab w:leader="none" w:pos="1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statements or other documents which are required or contemplated by this Agreement shall be: (i) in writing and delivered 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13" w:name="page214"/>
    <w:bookmarkEnd w:id="213"/>
    <w:p>
      <w:pPr>
        <w:ind w:right="160" w:firstLine="324"/>
        <w:spacing w:after="0" w:line="29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together with the Insider Letter and the Registration Rights Agreement, each substantially in the form to be filed as an exhibit to the Registration Statement on Form S-1 associated with the Company’s IPO,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1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xml:space="preserve"> The terms and provisions of this Agreement may be modified or amended only by written agreement executed by all parties hereto.</w:t>
      </w:r>
    </w:p>
    <w:p>
      <w:pPr>
        <w:spacing w:after="0" w:line="170"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xml:space="preserve"> The terms and provisions of this Agreement may be waived, or consent for the departure therefrom granted, only by a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The rights and obligations under this Agreement may not be assigned by either party hereto without the prior written consent of the other party.</w:t>
      </w:r>
    </w:p>
    <w:p>
      <w:pPr>
        <w:spacing w:after="0" w:line="170"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and the rights and obligations of the parties hereunder shall be construed in accordance with and governed by the laws of New York applicable to contracts wholly performed within the borders of such state, without giving effect to the conflict of law principles thereof.</w:t>
      </w:r>
    </w:p>
    <w:p>
      <w:pPr>
        <w:spacing w:after="0" w:line="12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xml:space="preserve">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8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xml:space="preserve">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save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4" w:name="page215"/>
    <w:bookmarkEnd w:id="214"/>
    <w:p>
      <w:pPr>
        <w:ind w:right="80" w:firstLine="324"/>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xml:space="preserve"> The headings and captions of the various subdivisions of this Agreement are for convenience of reference only and shall in no way modify or affect the meaning or construction of any of the terms or provisions hereof.</w:t>
      </w:r>
    </w:p>
    <w:p>
      <w:pPr>
        <w:spacing w:after="0" w:line="170"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6"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The parties hereto have participated jointly in the negotiation and drafting of this Agreement. If an ambiguity or question of intent or interpretation arises, this Agreement will be construed as if drafted jointly by the parties hereto and no presumption or burden of proof will arise favoring or disfavoring any party hereto because of the authorship of any provision of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will be deemed to be followed by “</w:t>
      </w:r>
      <w:r>
        <w:rPr>
          <w:rFonts w:ascii="Arial" w:cs="Arial" w:eastAsia="Arial" w:hAnsi="Arial"/>
          <w:sz w:val="16"/>
          <w:szCs w:val="16"/>
          <w:i w:val="1"/>
          <w:iCs w:val="1"/>
          <w:color w:val="auto"/>
        </w:rPr>
        <w:t>without limitation</w:t>
      </w:r>
      <w:r>
        <w:rPr>
          <w:rFonts w:ascii="Arial" w:cs="Arial" w:eastAsia="Arial" w:hAnsi="Arial"/>
          <w:sz w:val="16"/>
          <w:szCs w:val="16"/>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6"/>
          <w:szCs w:val="16"/>
          <w:i w:val="1"/>
          <w:iCs w:val="1"/>
          <w:color w:val="auto"/>
        </w:rPr>
        <w:t>this Agreement</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hereby</w:t>
      </w:r>
      <w:r>
        <w:rPr>
          <w:rFonts w:ascii="Arial" w:cs="Arial" w:eastAsia="Arial" w:hAnsi="Arial"/>
          <w:sz w:val="16"/>
          <w:szCs w:val="16"/>
          <w:color w:val="auto"/>
        </w:rPr>
        <w:t>,”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68"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 xml:space="preserve">6.16. </w:t>
      </w:r>
      <w:r>
        <w:rPr>
          <w:rFonts w:ascii="Arial" w:cs="Arial" w:eastAsia="Arial" w:hAnsi="Arial"/>
          <w:sz w:val="17"/>
          <w:szCs w:val="17"/>
          <w:u w:val="single" w:color="auto"/>
          <w:color w:val="auto"/>
        </w:rPr>
        <w:t>Mutual Drafting.</w:t>
      </w:r>
      <w:r>
        <w:rPr>
          <w:rFonts w:ascii="Arial" w:cs="Arial" w:eastAsia="Arial" w:hAnsi="Arial"/>
          <w:sz w:val="17"/>
          <w:szCs w:val="17"/>
          <w:color w:val="auto"/>
        </w:rPr>
        <w:t xml:space="preserve">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46" w:lineRule="exact"/>
        <w:rPr>
          <w:sz w:val="20"/>
          <w:szCs w:val="20"/>
          <w:color w:val="auto"/>
        </w:rPr>
      </w:pPr>
    </w:p>
    <w:p>
      <w:pPr>
        <w:ind w:right="20" w:firstLine="8"/>
        <w:spacing w:after="0" w:line="259" w:lineRule="auto"/>
        <w:tabs>
          <w:tab w:leader="none" w:pos="22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Voting and Tender of Shares.</w:t>
      </w:r>
      <w:r>
        <w:rPr>
          <w:rFonts w:ascii="Arial" w:cs="Arial" w:eastAsia="Arial" w:hAnsi="Arial"/>
          <w:sz w:val="18"/>
          <w:szCs w:val="18"/>
          <w:color w:val="auto"/>
        </w:rPr>
        <w:t xml:space="preserve"> Subscriber agrees to vote the Shares in favor of an initial business combination that the Company negotiates and submits for approval to the Company’s stockholders and shall not seek redemption with respect to such Shares. Additionally, the Subscriber agrees not to tender any Shares in connection with a tender offer presented to the Company’s stockholders in connection with an initial business combination negotiated by the Company.</w:t>
      </w:r>
    </w:p>
    <w:p>
      <w:pPr>
        <w:spacing w:after="0" w:line="186" w:lineRule="exact"/>
        <w:rPr>
          <w:rFonts w:ascii="Arial" w:cs="Arial" w:eastAsia="Arial" w:hAnsi="Arial"/>
          <w:sz w:val="18"/>
          <w:szCs w:val="18"/>
          <w:color w:val="auto"/>
        </w:rPr>
      </w:pPr>
    </w:p>
    <w:p>
      <w:pPr>
        <w:ind w:firstLine="8"/>
        <w:spacing w:after="0" w:line="277" w:lineRule="auto"/>
        <w:tabs>
          <w:tab w:leader="none" w:pos="22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Each party shall indemnify the other against any loss, cost or damages (including reasonable attorney’s fees and expenses) incurred as a result of such party’s breach of any representation, warranty, covenant or agreement in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ind w:left="660"/>
        <w:spacing w:after="0"/>
        <w:rPr>
          <w:sz w:val="20"/>
          <w:szCs w:val="20"/>
          <w:color w:val="auto"/>
        </w:rPr>
      </w:pPr>
      <w:r>
        <w:rPr>
          <w:rFonts w:ascii="Arial" w:cs="Arial" w:eastAsia="Arial" w:hAnsi="Arial"/>
          <w:sz w:val="16"/>
          <w:szCs w:val="16"/>
          <w:color w:val="auto"/>
        </w:rPr>
        <w:t>If the foregoing accurately sets forth our understanding and agreement, please sign the enclosed copy of this Agreement and return it to us.</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7GC &amp; CO. HOLDINGS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Jack Leeney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Jack Leeney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7GC &amp; CO. HOLDINGS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Jack Leeney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Jack Leeney</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8" w:right="9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hereby consent to the use in this Registration Statement on Form S-1, of our report dated December 3, 2020, relating to the balance sheet of 7GC &amp; Co. Holdings Inc. as of October 13, 2020, and the related statements of operations, changes in stockholder’s equity and cash flows for the period from September 18, 2020 (inception) through October 13, 2020, and to the reference to our Firm under the caption “Experts” in the Prospectus.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 2020</w:t>
      </w:r>
    </w:p>
    <w:p>
      <w:pPr>
        <w:sectPr>
          <w:pgSz w:w="11900" w:h="16838" w:orient="portrait"/>
          <w:cols w:equalWidth="0" w:num="1">
            <w:col w:w="11240"/>
          </w:cols>
          <w:pgMar w:left="320" w:top="112" w:right="339" w:bottom="1440" w:gutter="0" w:footer="0" w:header="0"/>
        </w:sectPr>
      </w:pPr>
    </w:p>
    <w:bookmarkStart w:id="217" w:name="page218"/>
    <w:bookmarkEnd w:id="217"/>
    <w:p>
      <w:pPr>
        <w:ind w:left="10320"/>
        <w:spacing w:after="0"/>
        <w:rPr>
          <w:sz w:val="20"/>
          <w:szCs w:val="20"/>
          <w:color w:val="auto"/>
        </w:rPr>
      </w:pPr>
      <w:r>
        <w:rPr>
          <w:rFonts w:ascii="Arial" w:cs="Arial" w:eastAsia="Arial" w:hAnsi="Arial"/>
          <w:sz w:val="16"/>
          <w:szCs w:val="16"/>
          <w:b w:val="1"/>
          <w:bCs w:val="1"/>
          <w:color w:val="auto"/>
        </w:rPr>
        <w:t>Exhibit 99.3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7GC &amp; Co. Holdings Inc. of the Registration Statement on Form S-1 with the Securities and Exchange Commission under the Securities Act of 1933, as amended (the “Securities Act”), I hereby consent, pursuant to Rule 438 of the Securities Act, to being named as a nominee to the board of directors of 7GC &amp; Co. Holdings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December 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 Hennessy</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Thomas D. Hennessy</w:t>
            </w:r>
          </w:p>
        </w:tc>
      </w:tr>
    </w:tbl>
    <w:p>
      <w:pPr>
        <w:sectPr>
          <w:pgSz w:w="11900" w:h="16838" w:orient="portrait"/>
          <w:cols w:equalWidth="0" w:num="1">
            <w:col w:w="11240"/>
          </w:cols>
          <w:pgMar w:left="320" w:top="486" w:right="339" w:bottom="1440" w:gutter="0" w:footer="0" w:header="0"/>
        </w:sectPr>
      </w:pPr>
    </w:p>
    <w:bookmarkStart w:id="218" w:name="page219"/>
    <w:bookmarkEnd w:id="218"/>
    <w:p>
      <w:pPr>
        <w:ind w:left="10320"/>
        <w:spacing w:after="0"/>
        <w:rPr>
          <w:sz w:val="20"/>
          <w:szCs w:val="20"/>
          <w:color w:val="auto"/>
        </w:rPr>
      </w:pPr>
      <w:r>
        <w:rPr>
          <w:rFonts w:ascii="Arial" w:cs="Arial" w:eastAsia="Arial" w:hAnsi="Arial"/>
          <w:sz w:val="16"/>
          <w:szCs w:val="16"/>
          <w:b w:val="1"/>
          <w:bCs w:val="1"/>
          <w:color w:val="auto"/>
        </w:rPr>
        <w:t>Exhibit 99.4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7GC &amp; Co. Holdings Inc. of the Registration Statement on Form S-1 with the Securities and Exchange Commission under the Securities Act of 1933, as amended (the “Securities Act”), I hereby consent, pursuant to Rule 438 of the Securities Act, to being named as a nominee to the board of directors of 7GC &amp; Co. Holdings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December 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Joseph Beck</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 Joseph Beck</w:t>
            </w:r>
          </w:p>
        </w:tc>
      </w:tr>
    </w:tbl>
    <w:p>
      <w:pPr>
        <w:sectPr>
          <w:pgSz w:w="11900" w:h="16838" w:orient="portrait"/>
          <w:cols w:equalWidth="0" w:num="1">
            <w:col w:w="11240"/>
          </w:cols>
          <w:pgMar w:left="320" w:top="486" w:right="339" w:bottom="1440" w:gutter="0" w:footer="0" w:header="0"/>
        </w:sectPr>
      </w:pPr>
    </w:p>
    <w:bookmarkStart w:id="219" w:name="page220"/>
    <w:bookmarkEnd w:id="219"/>
    <w:p>
      <w:pPr>
        <w:ind w:left="10320"/>
        <w:spacing w:after="0"/>
        <w:rPr>
          <w:sz w:val="20"/>
          <w:szCs w:val="20"/>
          <w:color w:val="auto"/>
        </w:rPr>
      </w:pPr>
      <w:r>
        <w:rPr>
          <w:rFonts w:ascii="Arial" w:cs="Arial" w:eastAsia="Arial" w:hAnsi="Arial"/>
          <w:sz w:val="16"/>
          <w:szCs w:val="16"/>
          <w:b w:val="1"/>
          <w:bCs w:val="1"/>
          <w:color w:val="auto"/>
        </w:rPr>
        <w:t>Exhibit 99.5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7GC &amp; Co. Holdings Inc. of the Registration Statement on Form S-1 with the Securities and Exchange Commission under the Securities Act of 1933, as amended (the “Securities Act”), I hereby consent, pursuant to Rule 438 of the Securities Act, to being named as a nominee to the board of directors of 7GC &amp; Co. Holdings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December 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Courtney Robinson</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Courtney Robinson</w:t>
            </w:r>
          </w:p>
        </w:tc>
      </w:tr>
    </w:tbl>
    <w:p>
      <w:pPr>
        <w:sectPr>
          <w:pgSz w:w="11900" w:h="16838" w:orient="portrait"/>
          <w:cols w:equalWidth="0" w:num="1">
            <w:col w:w="11240"/>
          </w:cols>
          <w:pgMar w:left="320" w:top="486" w:right="339" w:bottom="1440" w:gutter="0" w:footer="0" w:header="0"/>
        </w:sectPr>
      </w:pPr>
    </w:p>
    <w:bookmarkStart w:id="220" w:name="page221"/>
    <w:bookmarkEnd w:id="220"/>
    <w:p>
      <w:pPr>
        <w:ind w:left="10320"/>
        <w:spacing w:after="0"/>
        <w:rPr>
          <w:sz w:val="20"/>
          <w:szCs w:val="20"/>
          <w:color w:val="auto"/>
        </w:rPr>
      </w:pPr>
      <w:r>
        <w:rPr>
          <w:rFonts w:ascii="Arial" w:cs="Arial" w:eastAsia="Arial" w:hAnsi="Arial"/>
          <w:sz w:val="16"/>
          <w:szCs w:val="16"/>
          <w:b w:val="1"/>
          <w:bCs w:val="1"/>
          <w:color w:val="auto"/>
        </w:rPr>
        <w:t>Exhibit 99.6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7GC &amp; Co. Holdings Inc. of the Registration Statement on Form S-1 with the Securities and Exchange Commission under the Securities Act of 1933, as amended (the “Securities Act”), I hereby consent, pursuant to Rule 438 of the Securities Act, to being named as a nominee to the board of directors of 7GC &amp; Co. Holdings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December 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Tripp Jones</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Tripp Jones</w:t>
            </w:r>
          </w:p>
        </w:tc>
      </w:tr>
    </w:tbl>
    <w:p>
      <w:pPr>
        <w:sectPr>
          <w:pgSz w:w="11900" w:h="16838" w:orient="portrait"/>
          <w:cols w:equalWidth="0" w:num="1">
            <w:col w:w="11240"/>
          </w:cols>
          <w:pgMar w:left="320" w:top="486" w:right="339" w:bottom="1440" w:gutter="0" w:footer="0" w:header="0"/>
        </w:sectPr>
      </w:pPr>
    </w:p>
    <w:bookmarkStart w:id="221" w:name="page222"/>
    <w:bookmarkEnd w:id="221"/>
    <w:p>
      <w:pPr>
        <w:ind w:left="10320"/>
        <w:spacing w:after="0"/>
        <w:rPr>
          <w:sz w:val="20"/>
          <w:szCs w:val="20"/>
          <w:color w:val="auto"/>
        </w:rPr>
      </w:pPr>
      <w:r>
        <w:rPr>
          <w:rFonts w:ascii="Arial" w:cs="Arial" w:eastAsia="Arial" w:hAnsi="Arial"/>
          <w:sz w:val="16"/>
          <w:szCs w:val="16"/>
          <w:b w:val="1"/>
          <w:bCs w:val="1"/>
          <w:color w:val="auto"/>
        </w:rPr>
        <w:t>Exhibit 99.7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7GC &amp; Co. Holdings Inc. of the Registration Statement on Form S-1 with the Securities and Exchange Commission under the Securities Act of 1933, as amended (the “Securities Act”), I hereby consent, pursuant to Rule 438 of the Securities Act, to being named as a nominee to the board of directors of 7GC &amp; Co. Holdings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December 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Schofield</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Kent Schofield</w:t>
            </w:r>
          </w:p>
        </w:tc>
      </w:tr>
    </w:tbl>
    <w:p>
      <w:pPr>
        <w:sectPr>
          <w:pgSz w:w="11900" w:h="16838" w:orient="portrait"/>
          <w:cols w:equalWidth="0" w:num="1">
            <w:col w:w="11240"/>
          </w:cols>
          <w:pgMar w:left="320" w:top="486" w:right="339" w:bottom="1440" w:gutter="0" w:footer="0" w:header="0"/>
        </w:sectPr>
      </w:pPr>
    </w:p>
    <w:bookmarkStart w:id="222" w:name="page223"/>
    <w:bookmarkEnd w:id="222"/>
    <w:p>
      <w:pPr>
        <w:ind w:left="10320"/>
        <w:spacing w:after="0"/>
        <w:rPr>
          <w:sz w:val="20"/>
          <w:szCs w:val="20"/>
          <w:color w:val="auto"/>
        </w:rPr>
      </w:pPr>
      <w:r>
        <w:rPr>
          <w:rFonts w:ascii="Arial" w:cs="Arial" w:eastAsia="Arial" w:hAnsi="Arial"/>
          <w:sz w:val="16"/>
          <w:szCs w:val="16"/>
          <w:b w:val="1"/>
          <w:bCs w:val="1"/>
          <w:color w:val="auto"/>
        </w:rPr>
        <w:t>Exhibit 99.8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be Named as a Director Nominee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filing by 7GC &amp; Co. Holdings Inc. of the Registration Statement on Form S-1 with the Securities and Exchange Commission under the Securities Act of 1933, as amended (the “Securities Act”), I hereby consent, pursuant to Rule 438 of the Securities Act, to being named as a nominee to the board of directors of 7GC &amp; Co. Holdings Inc. in the Registration Statement and any and all amendments and supplements thereto. I also consent to the filing of this consent as an exhibit to such Registration Statement and any amendments thereto.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Dated: December 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Eggen</w:t>
            </w:r>
          </w:p>
        </w:tc>
      </w:tr>
      <w:tr>
        <w:trPr>
          <w:trHeight w:val="224"/>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Patrick Eggen</w:t>
            </w:r>
          </w:p>
        </w:tc>
      </w:tr>
    </w:tbl>
    <w:p>
      <w:pPr>
        <w:spacing w:after="0" w:line="1" w:lineRule="exact"/>
        <w:rPr>
          <w:sz w:val="20"/>
          <w:szCs w:val="20"/>
          <w:color w:val="auto"/>
        </w:rPr>
      </w:pPr>
    </w:p>
    <w:sectPr>
      <w:pgSz w:w="11900" w:h="16838" w:orient="portrait"/>
      <w:cols w:equalWidth="0" w:num="1">
        <w:col w:w="11240"/>
      </w:cols>
      <w:pgMar w:left="320" w:top="4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1)"/>
      <w:numFmt w:val="lowerLetter"/>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1)"/>
      <w:numFmt w:val="decimal"/>
      <w:start w:val="1"/>
    </w:lvl>
  </w:abstractNum>
  <w:abstractNum w:abstractNumId="7">
    <w:nsid w:val="613EFDC5"/>
    <w:multiLevelType w:val="hybridMultilevel"/>
    <w:lvl w:ilvl="0">
      <w:lvlJc w:val="left"/>
      <w:lvlText w:val="(%1)"/>
      <w:numFmt w:val="lowerRoman"/>
      <w:start w:val="10"/>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1)"/>
      <w:numFmt w:val="lowerRoman"/>
      <w:start w:val="2"/>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1)"/>
      <w:numFmt w:val="lowerRoman"/>
      <w:start w:val="3"/>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1)"/>
      <w:numFmt w:val="lowerRoman"/>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1)"/>
      <w:numFmt w:val="lowerRoman"/>
      <w:start w:val="3"/>
    </w:lvl>
  </w:abstractNum>
  <w:abstractNum w:abstractNumId="26">
    <w:nsid w:val="6F6DD9AC"/>
    <w:multiLevelType w:val="hybridMultilevel"/>
    <w:lvl w:ilvl="0">
      <w:lvlJc w:val="left"/>
      <w:lvlText w:val="(%1)"/>
      <w:numFmt w:val="lowerRoman"/>
      <w:start w:val="2"/>
    </w:lvl>
  </w:abstractNum>
  <w:abstractNum w:abstractNumId="27">
    <w:nsid w:val="94211F2"/>
    <w:multiLevelType w:val="hybridMultilevel"/>
    <w:lvl w:ilvl="0">
      <w:lvlJc w:val="left"/>
      <w:lvlText w:val="(%1)"/>
      <w:numFmt w:val="lowerRoman"/>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1)"/>
      <w:numFmt w:val="decimal"/>
      <w:start w:val="1"/>
    </w:lvl>
  </w:abstractNum>
  <w:abstractNum w:abstractNumId="31">
    <w:nsid w:val="1716703B"/>
    <w:multiLevelType w:val="hybridMultilevel"/>
    <w:lvl w:ilvl="0">
      <w:lvlJc w:val="left"/>
      <w:lvlText w:val="(%1)"/>
      <w:numFmt w:val="decimal"/>
      <w:start w:val="3"/>
    </w:lvl>
  </w:abstractNum>
  <w:abstractNum w:abstractNumId="32">
    <w:nsid w:val="14E17E33"/>
    <w:multiLevelType w:val="hybridMultilevel"/>
    <w:lvl w:ilvl="0">
      <w:lvlJc w:val="left"/>
      <w:lvlText w:val="(%1)"/>
      <w:numFmt w:val="upperLetter"/>
      <w:start w:val="1"/>
    </w:lvl>
  </w:abstractNum>
  <w:abstractNum w:abstractNumId="33">
    <w:nsid w:val="3222E7CD"/>
    <w:multiLevelType w:val="hybridMultilevel"/>
    <w:lvl w:ilvl="0">
      <w:lvlJc w:val="left"/>
      <w:lvlText w:val="(%1)"/>
      <w:numFmt w:val="decimal"/>
      <w:start w:val="1"/>
    </w:lvl>
  </w:abstractNum>
  <w:abstractNum w:abstractNumId="34">
    <w:nsid w:val="74DE0EE3"/>
    <w:multiLevelType w:val="hybridMultilevel"/>
    <w:lvl w:ilvl="0">
      <w:lvlJc w:val="left"/>
      <w:lvlText w:val="(%1)"/>
      <w:numFmt w:val="decimal"/>
      <w:start w:val="1"/>
    </w:lvl>
  </w:abstractNum>
  <w:abstractNum w:abstractNumId="35">
    <w:nsid w:val="68EBC550"/>
    <w:multiLevelType w:val="hybridMultilevel"/>
    <w:lvl w:ilvl="0">
      <w:lvlJc w:val="left"/>
      <w:lvlText w:val="(%1)"/>
      <w:numFmt w:val="decimal"/>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1)"/>
      <w:numFmt w:val="lowerRoman"/>
      <w:start w:val="2"/>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1)"/>
      <w:numFmt w:val="lowerRoman"/>
      <w:start w:val="3"/>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1)"/>
      <w:numFmt w:val="lowerRoman"/>
      <w:start w:val="2"/>
    </w:lvl>
  </w:abstractNum>
  <w:abstractNum w:abstractNumId="48">
    <w:nsid w:val="5FB8370B"/>
    <w:multiLevelType w:val="hybridMultilevel"/>
    <w:lvl w:ilvl="0">
      <w:lvlJc w:val="left"/>
      <w:lvlText w:val="(%1)"/>
      <w:numFmt w:val="lowerRoman"/>
      <w:start w:val="1"/>
    </w:lvl>
  </w:abstractNum>
  <w:abstractNum w:abstractNumId="49">
    <w:nsid w:val="50801EE1"/>
    <w:multiLevelType w:val="hybridMultilevel"/>
    <w:lvl w:ilvl="0">
      <w:lvlJc w:val="left"/>
      <w:lvlText w:val="(%1)"/>
      <w:numFmt w:val="lowerRoman"/>
      <w:start w:val="3"/>
    </w:lvl>
  </w:abstractNum>
  <w:abstractNum w:abstractNumId="50">
    <w:nsid w:val="488AC1A"/>
    <w:multiLevelType w:val="hybridMultilevel"/>
    <w:lvl w:ilvl="0">
      <w:lvlJc w:val="left"/>
      <w:lvlText w:val="(%1)"/>
      <w:numFmt w:val="lowerRoman"/>
      <w:start w:val="1"/>
    </w:lvl>
  </w:abstractNum>
  <w:abstractNum w:abstractNumId="51">
    <w:nsid w:val="5FB8011C"/>
    <w:multiLevelType w:val="hybridMultilevel"/>
    <w:lvl w:ilvl="0">
      <w:lvlJc w:val="left"/>
      <w:lvlText w:val="(%1)"/>
      <w:numFmt w:val="lowerLetter"/>
      <w:start w:val="1"/>
    </w:lvl>
  </w:abstractNum>
  <w:abstractNum w:abstractNumId="52">
    <w:nsid w:val="6AA78F7F"/>
    <w:multiLevelType w:val="hybridMultilevel"/>
    <w:lvl w:ilvl="0">
      <w:lvlJc w:val="left"/>
      <w:lvlText w:val="•"/>
      <w:numFmt w:val="bullet"/>
      <w:start w:val="1"/>
    </w:lvl>
  </w:abstractNum>
  <w:abstractNum w:abstractNumId="53">
    <w:nsid w:val="7672BD23"/>
    <w:multiLevelType w:val="hybridMultilevel"/>
    <w:lvl w:ilvl="0">
      <w:lvlJc w:val="left"/>
      <w:lvlText w:val="•"/>
      <w:numFmt w:val="bullet"/>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
      <w:numFmt w:val="bullet"/>
      <w:start w:val="1"/>
    </w:lvl>
  </w:abstractNum>
  <w:abstractNum w:abstractNumId="58">
    <w:nsid w:val="73A1821B"/>
    <w:multiLevelType w:val="hybridMultilevel"/>
    <w:lvl w:ilvl="0">
      <w:lvlJc w:val="left"/>
      <w:lvlText w:val="(%1)"/>
      <w:numFmt w:val="lowerRoman"/>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1)"/>
      <w:numFmt w:val="decimal"/>
      <w:start w:val="1"/>
    </w:lvl>
  </w:abstractNum>
  <w:abstractNum w:abstractNumId="61">
    <w:nsid w:val="3FA62ACA"/>
    <w:multiLevelType w:val="hybridMultilevel"/>
    <w:lvl w:ilvl="0">
      <w:lvlJc w:val="left"/>
      <w:lvlText w:val="(%1)"/>
      <w:numFmt w:val="upperLetter"/>
      <w:start w:val="1"/>
    </w:lvl>
  </w:abstractNum>
  <w:abstractNum w:abstractNumId="62">
    <w:nsid w:val="14FCE74E"/>
    <w:multiLevelType w:val="hybridMultilevel"/>
    <w:lvl w:ilvl="0">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1)"/>
      <w:numFmt w:val="lowerRoman"/>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1)"/>
      <w:numFmt w:val="upperLetter"/>
      <w:start w:val="2"/>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1)"/>
      <w:numFmt w:val="lowerRoman"/>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decimal"/>
      <w:start w:val="1"/>
    </w:lvl>
  </w:abstractNum>
  <w:abstractNum w:abstractNumId="79">
    <w:nsid w:val="7C58FD05"/>
    <w:multiLevelType w:val="hybridMultilevel"/>
    <w:lvl w:ilvl="0">
      <w:lvlJc w:val="left"/>
      <w:lvlText w:val="(%1)"/>
      <w:numFmt w:val="decimal"/>
      <w:start w:val="2"/>
    </w:lvl>
  </w:abstractNum>
  <w:abstractNum w:abstractNumId="80">
    <w:nsid w:val="23D86AAC"/>
    <w:multiLevelType w:val="hybridMultilevel"/>
    <w:lvl w:ilvl="0">
      <w:lvlJc w:val="left"/>
      <w:lvlText w:val="•"/>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1)"/>
      <w:numFmt w:val="lowerRoman"/>
      <w:start w:val="1"/>
    </w:lvl>
  </w:abstractNum>
  <w:abstractNum w:abstractNumId="86">
    <w:nsid w:val="78DF6A55"/>
    <w:multiLevelType w:val="hybridMultilevel"/>
    <w:lvl w:ilvl="0">
      <w:lvlJc w:val="left"/>
      <w:lvlText w:val="(%1)"/>
      <w:numFmt w:val="decimal"/>
      <w:start w:val="1"/>
    </w:lvl>
  </w:abstractNum>
  <w:abstractNum w:abstractNumId="87">
    <w:nsid w:val="39B7AAA2"/>
    <w:multiLevelType w:val="hybridMultilevel"/>
    <w:lvl w:ilvl="0">
      <w:lvlJc w:val="left"/>
      <w:lvlText w:val="(%1)"/>
      <w:numFmt w:val="decimal"/>
      <w:start w:val="1"/>
    </w:lvl>
  </w:abstractNum>
  <w:abstractNum w:abstractNumId="88">
    <w:nsid w:val="2B0D8DBE"/>
    <w:multiLevelType w:val="hybridMultilevel"/>
    <w:lvl w:ilvl="0">
      <w:lvlJc w:val="left"/>
      <w:lvlText w:val="(%1)"/>
      <w:numFmt w:val="decimal"/>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1)"/>
      <w:numFmt w:val="decimal"/>
      <w:start w:val="1"/>
    </w:lvl>
  </w:abstractNum>
  <w:abstractNum w:abstractNumId="93">
    <w:nsid w:val="4C9B0904"/>
    <w:multiLevelType w:val="hybridMultilevel"/>
    <w:lvl w:ilvl="0">
      <w:lvlJc w:val="left"/>
      <w:lvlText w:val="(%1)"/>
      <w:numFmt w:val="lowerLetter"/>
      <w:start w:val="1"/>
    </w:lvl>
  </w:abstractNum>
  <w:abstractNum w:abstractNumId="94">
    <w:nsid w:val="6AA7B75C"/>
    <w:multiLevelType w:val="hybridMultilevel"/>
    <w:lvl w:ilvl="0">
      <w:lvlJc w:val="left"/>
      <w:lvlText w:val="(%1)"/>
      <w:numFmt w:val="lowerLetter"/>
      <w:start w:val="3"/>
    </w:lvl>
    <w:lvl w:ilvl="1">
      <w:lvlJc w:val="left"/>
      <w:lvlText w:val="(%2)"/>
      <w:numFmt w:val="lowerLetter"/>
      <w:start w:val="2"/>
    </w:lvl>
  </w:abstractNum>
  <w:abstractNum w:abstractNumId="95">
    <w:nsid w:val="1DF029D3"/>
    <w:multiLevelType w:val="hybridMultilevel"/>
    <w:lvl w:ilvl="0">
      <w:lvlJc w:val="left"/>
      <w:lvlText w:val="%1"/>
      <w:numFmt w:val="lowerLetter"/>
      <w:start w:val="1"/>
    </w:lvl>
    <w:lvl w:ilvl="1">
      <w:lvlJc w:val="left"/>
      <w:lvlText w:val="(%2)"/>
      <w:numFmt w:val="lowerLetter"/>
      <w:start w:val="1"/>
    </w:lvl>
  </w:abstractNum>
  <w:abstractNum w:abstractNumId="96">
    <w:nsid w:val="5675FF36"/>
    <w:multiLevelType w:val="hybridMultilevel"/>
    <w:lvl w:ilvl="0">
      <w:lvlJc w:val="left"/>
      <w:lvlText w:val="(%1)"/>
      <w:numFmt w:val="lowerLetter"/>
      <w:start w:val="5"/>
    </w:lvl>
    <w:lvl w:ilvl="1">
      <w:lvlJc w:val="left"/>
      <w:lvlText w:val="%2"/>
      <w:numFmt w:val="lowerLetter"/>
      <w:start w:val="1"/>
    </w:lvl>
  </w:abstractNum>
  <w:abstractNum w:abstractNumId="97">
    <w:nsid w:val="3DD15094"/>
    <w:multiLevelType w:val="hybridMultilevel"/>
    <w:lvl w:ilvl="0">
      <w:lvlJc w:val="left"/>
      <w:lvlText w:val="(%1)"/>
      <w:numFmt w:val="lowerLetter"/>
      <w:start w:val="9"/>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lowerLetter"/>
      <w:start w:val="1"/>
    </w:lvl>
    <w:lvl w:ilvl="1">
      <w:lvlJc w:val="left"/>
      <w:lvlText w:val="(%2)"/>
      <w:numFmt w:val="decimal"/>
      <w:start w:val="1"/>
    </w:lvl>
  </w:abstractNum>
  <w:abstractNum w:abstractNumId="100">
    <w:nsid w:val="5B25ACE2"/>
    <w:multiLevelType w:val="hybridMultilevel"/>
    <w:lvl w:ilvl="0">
      <w:lvlJc w:val="left"/>
      <w:lvlText w:val="(%1)"/>
      <w:numFmt w:val="decimal"/>
      <w:start w:val="4"/>
    </w:lvl>
    <w:lvl w:ilvl="1">
      <w:lvlJc w:val="left"/>
      <w:lvlText w:val="(%2)"/>
      <w:numFmt w:val="lowerRoman"/>
      <w:start w:val="1"/>
    </w:lvl>
  </w:abstractNum>
  <w:abstractNum w:abstractNumId="101">
    <w:nsid w:val="175DFCF0"/>
    <w:multiLevelType w:val="hybridMultilevel"/>
    <w:lvl w:ilvl="0">
      <w:lvlJc w:val="left"/>
      <w:lvlText w:val="%1"/>
      <w:numFmt w:val="decimal"/>
      <w:start w:val="24"/>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1)"/>
      <w:numFmt w:val="lowerRoman"/>
      <w:start w:val="1"/>
    </w:lvl>
  </w:abstractNum>
  <w:abstractNum w:abstractNumId="105">
    <w:nsid w:val="5915FF32"/>
    <w:multiLevelType w:val="hybridMultilevel"/>
    <w:lvl w:ilvl="0">
      <w:lvlJc w:val="left"/>
      <w:lvlText w:val="(%1)"/>
      <w:numFmt w:val="lowerLetter"/>
      <w:start w:val="1"/>
    </w:lvl>
    <w:lvl w:ilvl="1">
      <w:lvlJc w:val="left"/>
      <w:lvlText w:val="(%2)"/>
      <w:numFmt w:val="lowerRoman"/>
      <w:start w:val="1"/>
    </w:lvl>
  </w:abstractNum>
  <w:abstractNum w:abstractNumId="106">
    <w:nsid w:val="56438D15"/>
    <w:multiLevelType w:val="hybridMultilevel"/>
    <w:lvl w:ilvl="0">
      <w:lvlJc w:val="left"/>
      <w:lvlText w:val="(%1)"/>
      <w:numFmt w:val="lowerRoman"/>
      <w:start w:val="2"/>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1"/>
      <w:numFmt w:val="lowerLetter"/>
      <w:start w:val="1"/>
    </w:lvl>
    <w:lvl w:ilvl="1">
      <w:lvlJc w:val="left"/>
      <w:lvlText w:val="(%2)"/>
      <w:numFmt w:val="lowerLetter"/>
      <w:start w:val="61"/>
    </w:lvl>
  </w:abstractNum>
  <w:abstractNum w:abstractNumId="109">
    <w:nsid w:val="17A1B582"/>
    <w:multiLevelType w:val="hybridMultilevel"/>
    <w:lvl w:ilvl="0">
      <w:lvlJc w:val="left"/>
      <w:lvlText w:val="(%1)"/>
      <w:numFmt w:val="lowerLetter"/>
      <w:start w:val="3"/>
    </w:lvl>
    <w:lvl w:ilvl="1">
      <w:lvlJc w:val="left"/>
      <w:lvlText w:val="%2"/>
      <w:numFmt w:val="lowerLetter"/>
      <w:start w:val="1"/>
    </w:lvl>
  </w:abstractNum>
  <w:abstractNum w:abstractNumId="110">
    <w:nsid w:val="4DF72E4E"/>
    <w:multiLevelType w:val="hybridMultilevel"/>
    <w:lvl w:ilvl="0">
      <w:lvlJc w:val="left"/>
      <w:lvlText w:val="(%1)"/>
      <w:numFmt w:val="lowerLetter"/>
      <w:start w:val="4"/>
    </w:lvl>
  </w:abstractNum>
  <w:abstractNum w:abstractNumId="111">
    <w:nsid w:val="5046B5A9"/>
    <w:multiLevelType w:val="hybridMultilevel"/>
    <w:lvl w:ilvl="0">
      <w:lvlJc w:val="left"/>
      <w:lvlText w:val="(%1)"/>
      <w:numFmt w:val="lowerRoman"/>
      <w:start w:val="3"/>
    </w:lvl>
  </w:abstractNum>
  <w:abstractNum w:abstractNumId="112">
    <w:nsid w:val="5D888A08"/>
    <w:multiLevelType w:val="hybridMultilevel"/>
    <w:lvl w:ilvl="0">
      <w:lvlJc w:val="left"/>
      <w:lvlText w:val="%1"/>
      <w:numFmt w:val="lowerLetter"/>
      <w:start w:val="1"/>
    </w:lvl>
    <w:lvl w:ilvl="1">
      <w:lvlJc w:val="left"/>
      <w:lvlText w:val="(%2)"/>
      <w:numFmt w:val="lowerLetter"/>
      <w:start w:val="1"/>
    </w:lvl>
  </w:abstractNum>
  <w:abstractNum w:abstractNumId="113">
    <w:nsid w:val="2A082C70"/>
    <w:multiLevelType w:val="hybridMultilevel"/>
    <w:lvl w:ilvl="0">
      <w:lvlJc w:val="left"/>
      <w:lvlText w:val="(%1)"/>
      <w:numFmt w:val="lowerLetter"/>
      <w:start w:val="35"/>
    </w:lvl>
    <w:lvl w:ilvl="1">
      <w:lvlJc w:val="left"/>
      <w:lvlText w:val="(%2)"/>
      <w:numFmt w:val="lowerLetter"/>
      <w:start w:val="2"/>
    </w:lvl>
  </w:abstractNum>
  <w:abstractNum w:abstractNumId="114">
    <w:nsid w:val="5EC6AFD4"/>
    <w:multiLevelType w:val="hybridMultilevel"/>
    <w:lvl w:ilvl="0">
      <w:lvlJc w:val="left"/>
      <w:lvlText w:val="(%1)"/>
      <w:numFmt w:val="lowerLetter"/>
      <w:start w:val="3"/>
    </w:lvl>
    <w:lvl w:ilvl="1">
      <w:lvlJc w:val="left"/>
      <w:lvlText w:val="(%2)"/>
      <w:numFmt w:val="lowerRoman"/>
      <w:start w:val="1"/>
    </w:lvl>
  </w:abstractNum>
  <w:abstractNum w:abstractNumId="115">
    <w:nsid w:val="19E21B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6">
    <w:nsid w:val="75E0858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7">
    <w:nsid w:val="57A61A29"/>
    <w:multiLevelType w:val="hybridMultilevel"/>
    <w:lvl w:ilvl="0">
      <w:lvlJc w:val="left"/>
      <w:lvlText w:val="%1"/>
      <w:numFmt w:val="lowerLetter"/>
      <w:start w:val="1"/>
    </w:lvl>
    <w:lvl w:ilvl="1">
      <w:lvlJc w:val="left"/>
      <w:lvlText w:val="(%2)"/>
      <w:numFmt w:val="lowerRoman"/>
      <w:start w:val="4"/>
    </w:lvl>
  </w:abstractNum>
  <w:abstractNum w:abstractNumId="118">
    <w:nsid w:val="5399C654"/>
    <w:multiLevelType w:val="hybridMultilevel"/>
    <w:lvl w:ilvl="0">
      <w:lvlJc w:val="left"/>
      <w:lvlText w:val="(%1)"/>
      <w:numFmt w:val="lowerLetter"/>
      <w:start w:val="2"/>
    </w:lvl>
    <w:lvl w:ilvl="1">
      <w:lvlJc w:val="left"/>
      <w:lvlText w:val="%2"/>
      <w:numFmt w:val="lowerRoman"/>
      <w:start w:val="1"/>
    </w:lvl>
  </w:abstractNum>
  <w:abstractNum w:abstractNumId="119">
    <w:nsid w:val="20EE1348"/>
    <w:multiLevelType w:val="hybridMultilevel"/>
    <w:lvl w:ilvl="0">
      <w:lvlJc w:val="left"/>
      <w:lvlText w:val="(%1)"/>
      <w:numFmt w:val="lowerLetter"/>
      <w:start w:val="1"/>
    </w:lvl>
  </w:abstractNum>
  <w:abstractNum w:abstractNumId="120">
    <w:nsid w:val="4427069A"/>
    <w:multiLevelType w:val="hybridMultilevel"/>
    <w:lvl w:ilvl="0">
      <w:lvlJc w:val="left"/>
      <w:lvlText w:val="%1"/>
      <w:numFmt w:val="upperLetter"/>
      <w:start w:val="1"/>
    </w:lvl>
    <w:lvl w:ilvl="1">
      <w:lvlJc w:val="left"/>
      <w:lvlText w:val="(%2)"/>
      <w:numFmt w:val="lowerLetter"/>
      <w:start w:val="4"/>
    </w:lvl>
  </w:abstractNum>
  <w:abstractNum w:abstractNumId="121">
    <w:nsid w:val="B37E80A"/>
    <w:multiLevelType w:val="hybridMultilevel"/>
    <w:lvl w:ilvl="0">
      <w:lvlJc w:val="left"/>
      <w:lvlText w:val="(%1)"/>
      <w:numFmt w:val="upperLetter"/>
      <w:start w:val="4"/>
    </w:lvl>
    <w:lvl w:ilvl="1">
      <w:lvlJc w:val="left"/>
      <w:lvlText w:val="(%2)"/>
      <w:numFmt w:val="lowerLetter"/>
      <w:start w:val="5"/>
    </w:lvl>
  </w:abstractNum>
  <w:abstractNum w:abstractNumId="122">
    <w:nsid w:val="2157F6BC"/>
    <w:multiLevelType w:val="hybridMultilevel"/>
    <w:lvl w:ilvl="0">
      <w:lvlJc w:val="left"/>
      <w:lvlText w:val="(%1)"/>
      <w:numFmt w:val="lowerLetter"/>
      <w:start w:val="1"/>
    </w:lvl>
  </w:abstractNum>
  <w:abstractNum w:abstractNumId="123">
    <w:nsid w:val="704E1DD5"/>
    <w:multiLevelType w:val="hybridMultilevel"/>
    <w:lvl w:ilvl="0">
      <w:lvlJc w:val="left"/>
      <w:lvlText w:val="(%1)"/>
      <w:numFmt w:val="lowerLetter"/>
      <w:start w:val="3"/>
    </w:lvl>
    <w:lvl w:ilvl="1">
      <w:lvlJc w:val="left"/>
      <w:lvlText w:val="(%2)"/>
      <w:numFmt w:val="lowerRoman"/>
      <w:start w:val="1"/>
    </w:lvl>
  </w:abstractNum>
  <w:abstractNum w:abstractNumId="124">
    <w:nsid w:val="57D2F10E"/>
    <w:multiLevelType w:val="hybridMultilevel"/>
    <w:lvl w:ilvl="0">
      <w:lvlJc w:val="left"/>
      <w:lvlText w:val="(%1)"/>
      <w:numFmt w:val="lowerLetter"/>
      <w:start w:val="1"/>
    </w:lvl>
  </w:abstractNum>
  <w:abstractNum w:abstractNumId="125">
    <w:nsid w:val="BFFAE18"/>
    <w:multiLevelType w:val="hybridMultilevel"/>
    <w:lvl w:ilvl="0">
      <w:lvlJc w:val="left"/>
      <w:lvlText w:val="(%1)"/>
      <w:numFmt w:val="lowerLetter"/>
      <w:start w:val="1"/>
    </w:lvl>
  </w:abstractNum>
  <w:abstractNum w:abstractNumId="126">
    <w:nsid w:val="E3E47A8"/>
    <w:multiLevelType w:val="hybridMultilevel"/>
    <w:lvl w:ilvl="0">
      <w:lvlJc w:val="left"/>
      <w:lvlText w:val="(%1)"/>
      <w:numFmt w:val="lowerLetter"/>
      <w:start w:val="1"/>
    </w:lvl>
    <w:lvl w:ilvl="1">
      <w:lvlJc w:val="left"/>
      <w:lvlText w:val="(%2)"/>
      <w:numFmt w:val="lowerRoman"/>
      <w:start w:val="1"/>
    </w:lvl>
  </w:abstractNum>
  <w:abstractNum w:abstractNumId="127">
    <w:nsid w:val="2E48F044"/>
    <w:multiLevelType w:val="hybridMultilevel"/>
    <w:lvl w:ilvl="0">
      <w:lvlJc w:val="left"/>
      <w:lvlText w:val="(%1)"/>
      <w:numFmt w:val="lowerLetter"/>
      <w:start w:val="1"/>
    </w:lvl>
  </w:abstractNum>
  <w:abstractNum w:abstractNumId="128">
    <w:nsid w:val="49D0FEAC"/>
    <w:multiLevelType w:val="hybridMultilevel"/>
    <w:lvl w:ilvl="0">
      <w:lvlJc w:val="left"/>
      <w:lvlText w:val="(%1)"/>
      <w:numFmt w:val="lowerLetter"/>
      <w:start w:val="2"/>
    </w:lvl>
  </w:abstractNum>
  <w:abstractNum w:abstractNumId="129">
    <w:nsid w:val="4BEE5A5B"/>
    <w:multiLevelType w:val="hybridMultilevel"/>
    <w:lvl w:ilvl="0">
      <w:lvlJc w:val="left"/>
      <w:lvlText w:val="(%1)"/>
      <w:numFmt w:val="lowerLetter"/>
      <w:start w:val="1"/>
    </w:lvl>
  </w:abstractNum>
  <w:abstractNum w:abstractNumId="130">
    <w:nsid w:val="5551B9F3"/>
    <w:multiLevelType w:val="hybridMultilevel"/>
    <w:lvl w:ilvl="0">
      <w:lvlJc w:val="left"/>
      <w:lvlText w:val="(%1)"/>
      <w:numFmt w:val="lowerLetter"/>
      <w:start w:val="1"/>
    </w:lvl>
  </w:abstractNum>
  <w:abstractNum w:abstractNumId="131">
    <w:nsid w:val="24F6AB8E"/>
    <w:multiLevelType w:val="hybridMultilevel"/>
    <w:lvl w:ilvl="0">
      <w:lvlJc w:val="left"/>
      <w:lvlText w:val="(%1)"/>
      <w:numFmt w:val="lowerLetter"/>
      <w:start w:val="1"/>
    </w:lvl>
    <w:lvl w:ilvl="1">
      <w:lvlJc w:val="left"/>
      <w:lvlText w:val="(%2)"/>
      <w:numFmt w:val="lowerRoman"/>
      <w:start w:val="1"/>
    </w:lvl>
  </w:abstractNum>
  <w:abstractNum w:abstractNumId="132">
    <w:nsid w:val="634C574C"/>
    <w:multiLevelType w:val="hybridMultilevel"/>
    <w:lvl w:ilvl="0">
      <w:lvlJc w:val="left"/>
      <w:lvlText w:val="%1."/>
      <w:numFmt w:val="decimal"/>
      <w:start w:val="1"/>
    </w:lvl>
    <w:lvl w:ilvl="1">
      <w:lvlJc w:val="left"/>
      <w:lvlText w:val="(%2)"/>
      <w:numFmt w:val="lowerLetter"/>
      <w:start w:val="1"/>
    </w:lvl>
  </w:abstractNum>
  <w:abstractNum w:abstractNumId="133">
    <w:nsid w:val="24E99DD7"/>
    <w:multiLevelType w:val="hybridMultilevel"/>
    <w:lvl w:ilvl="0">
      <w:lvlJc w:val="left"/>
      <w:lvlText w:val="%1"/>
      <w:numFmt w:val="decimal"/>
      <w:start w:val="1"/>
    </w:lvl>
    <w:lvl w:ilvl="1">
      <w:lvlJc w:val="left"/>
      <w:lvlText w:val="(%2)"/>
      <w:numFmt w:val="lowerLetter"/>
      <w:start w:val="3"/>
    </w:lvl>
  </w:abstractNum>
  <w:abstractNum w:abstractNumId="134">
    <w:nsid w:val="2A31B62D"/>
    <w:multiLevelType w:val="hybridMultilevel"/>
    <w:lvl w:ilvl="0">
      <w:lvlJc w:val="left"/>
      <w:lvlText w:val="%1."/>
      <w:numFmt w:val="decimal"/>
      <w:start w:val="6"/>
    </w:lvl>
    <w:lvl w:ilvl="1">
      <w:lvlJc w:val="left"/>
      <w:lvlText w:val="(%2)"/>
      <w:numFmt w:val="lowerLetter"/>
      <w:start w:val="1"/>
    </w:lvl>
  </w:abstractNum>
  <w:abstractNum w:abstractNumId="135">
    <w:nsid w:val="1849C29B"/>
    <w:multiLevelType w:val="hybridMultilevel"/>
    <w:lvl w:ilvl="0">
      <w:lvlJc w:val="left"/>
      <w:lvlText w:val="%1."/>
      <w:numFmt w:val="decimal"/>
      <w:start w:val="12"/>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decimal"/>
      <w:start w:val="2"/>
    </w:lvl>
  </w:abstractNum>
  <w:abstractNum w:abstractNumId="138">
    <w:nsid w:val="69E7F3E5"/>
    <w:multiLevelType w:val="hybridMultilevel"/>
    <w:lvl w:ilvl="0">
      <w:lvlJc w:val="left"/>
      <w:lvlText w:val="(%1)"/>
      <w:numFmt w:val="lowerRoman"/>
      <w:start w:val="1"/>
    </w:lvl>
  </w:abstractNum>
  <w:abstractNum w:abstractNumId="139">
    <w:nsid w:val="2A6DE806"/>
    <w:multiLevelType w:val="hybridMultilevel"/>
    <w:lvl w:ilvl="0">
      <w:lvlJc w:val="left"/>
      <w:lvlText w:val="%1."/>
      <w:numFmt w:val="decimal"/>
      <w:start w:val="3"/>
    </w:lvl>
  </w:abstractNum>
  <w:abstractNum w:abstractNumId="140">
    <w:nsid w:val="1816F8C4"/>
    <w:multiLevelType w:val="hybridMultilevel"/>
    <w:lvl w:ilvl="0">
      <w:lvlJc w:val="left"/>
      <w:lvlText w:val="%1."/>
      <w:numFmt w:val="decimal"/>
      <w:start w:val="4"/>
    </w:lvl>
  </w:abstractNum>
  <w:abstractNum w:abstractNumId="141">
    <w:nsid w:val="37DF2233"/>
    <w:multiLevelType w:val="hybridMultilevel"/>
    <w:lvl w:ilvl="0">
      <w:lvlJc w:val="left"/>
      <w:lvlText w:val="%1."/>
      <w:numFmt w:val="decimal"/>
      <w:start w:val="5"/>
    </w:lvl>
  </w:abstractNum>
  <w:abstractNum w:abstractNumId="142">
    <w:nsid w:val="7AB49DAF"/>
    <w:multiLevelType w:val="hybridMultilevel"/>
    <w:lvl w:ilvl="0">
      <w:lvlJc w:val="left"/>
      <w:lvlText w:val="%1."/>
      <w:numFmt w:val="decimal"/>
      <w:start w:val="6"/>
    </w:lvl>
  </w:abstractNum>
  <w:abstractNum w:abstractNumId="143">
    <w:nsid w:val="759F82C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2020-12-07T05:15:16Z</dcterms:created>
  <dcterms:modified xsi:type="dcterms:W3CDTF">2020-12-07T05:15:16Z</dcterms:modified>
</cp:coreProperties>
</file>