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1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1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Pursuant to Section 13 OR 15(d) of The Securities Exchange Act of 1934</w:t>
      </w:r>
    </w:p>
    <w:p>
      <w:pPr>
        <w:spacing w:after="0" w:line="12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20"/>
          <w:szCs w:val="20"/>
          <w:b w:val="1"/>
          <w:bCs w:val="1"/>
          <w:color w:val="auto"/>
        </w:rPr>
        <w:t>April 28, 2026</w:t>
      </w:r>
    </w:p>
    <w:p>
      <w:pPr>
        <w:spacing w:after="0" w:line="2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Banzai International, Inc.</w:t>
      </w:r>
    </w:p>
    <w:p>
      <w:pPr>
        <w:spacing w:after="0" w:line="3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1231" w:right="339" w:bottom="1440" w:gutter="0" w:footer="0" w:header="0"/>
        </w:sectPr>
      </w:pPr>
    </w:p>
    <w:p>
      <w:pPr>
        <w:spacing w:after="0" w:line="200" w:lineRule="exact"/>
        <w:rPr>
          <w:sz w:val="24"/>
          <w:szCs w:val="24"/>
          <w:color w:val="auto"/>
        </w:rPr>
      </w:pPr>
    </w:p>
    <w:p>
      <w:pPr>
        <w:spacing w:after="0" w:line="237" w:lineRule="exact"/>
        <w:rPr>
          <w:sz w:val="24"/>
          <w:szCs w:val="24"/>
          <w:color w:val="auto"/>
        </w:rPr>
      </w:pPr>
    </w:p>
    <w:p>
      <w:pPr>
        <w:ind w:left="10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80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7"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8"/>
          <w:szCs w:val="18"/>
          <w:b w:val="1"/>
          <w:bCs w:val="1"/>
          <w:color w:val="auto"/>
        </w:rPr>
        <w:t>001-39826</w:t>
      </w:r>
    </w:p>
    <w:p>
      <w:pPr>
        <w:spacing w:after="0" w:line="31"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7"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85-3118980</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3920" w:space="720"/>
            <w:col w:w="3800" w:space="720"/>
            <w:col w:w="2080"/>
          </w:cols>
          <w:pgMar w:left="320" w:top="1231" w:right="339" w:bottom="1440" w:gutter="0" w:footer="0" w:header="0"/>
          <w:type w:val="continuous"/>
        </w:sectPr>
      </w:pP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435 Eriksen Ave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Suite 250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Bainbridge Island, Washington 98110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20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 xml:space="preserve">Registrant’s Telephone Number, Including Area Code: </w:t>
      </w:r>
      <w:r>
        <w:rPr>
          <w:rFonts w:ascii="Times New Roman" w:cs="Times New Roman" w:eastAsia="Times New Roman" w:hAnsi="Times New Roman"/>
          <w:sz w:val="17"/>
          <w:szCs w:val="17"/>
          <w:b w:val="1"/>
          <w:bCs w:val="1"/>
          <w:color w:val="auto"/>
        </w:rPr>
        <w:t>(206) 414-1777</w:t>
      </w: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ectPr>
          <w:pgSz w:w="11900" w:h="16838" w:orient="portrait"/>
          <w:cols w:equalWidth="0" w:num="1">
            <w:col w:w="11240"/>
          </w:cols>
          <w:pgMar w:left="320" w:top="1231" w:right="3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920" w:hanging="453"/>
        <w:spacing w:after="0"/>
        <w:tabs>
          <w:tab w:leader="none" w:pos="9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920" w:hanging="453"/>
        <w:spacing w:after="0"/>
        <w:tabs>
          <w:tab w:leader="none" w:pos="9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920" w:hanging="453"/>
        <w:spacing w:after="0"/>
        <w:tabs>
          <w:tab w:leader="none" w:pos="9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920" w:hanging="453"/>
        <w:spacing w:after="0"/>
        <w:tabs>
          <w:tab w:leader="none" w:pos="9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Trading</w:t>
            </w:r>
          </w:p>
        </w:tc>
        <w:tc>
          <w:tcPr>
            <w:tcW w:w="140" w:type="dxa"/>
            <w:vAlign w:val="bottom"/>
          </w:tcPr>
          <w:p>
            <w:pPr>
              <w:spacing w:after="0"/>
              <w:rPr>
                <w:sz w:val="18"/>
                <w:szCs w:val="18"/>
                <w:color w:val="auto"/>
              </w:rPr>
            </w:pPr>
          </w:p>
        </w:tc>
        <w:tc>
          <w:tcPr>
            <w:tcW w:w="4460" w:type="dxa"/>
            <w:vAlign w:val="bottom"/>
          </w:tcPr>
          <w:p>
            <w:pPr>
              <w:spacing w:after="0"/>
              <w:rPr>
                <w:sz w:val="18"/>
                <w:szCs w:val="18"/>
                <w:color w:val="auto"/>
              </w:rPr>
            </w:pPr>
          </w:p>
        </w:tc>
      </w:tr>
      <w:tr>
        <w:trPr>
          <w:trHeight w:val="238"/>
        </w:trPr>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40" w:type="dxa"/>
            <w:vAlign w:val="bottom"/>
          </w:tcPr>
          <w:p>
            <w:pPr>
              <w:spacing w:after="0"/>
              <w:rPr>
                <w:sz w:val="20"/>
                <w:szCs w:val="20"/>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140" w:type="dxa"/>
            <w:vAlign w:val="bottom"/>
          </w:tcPr>
          <w:p>
            <w:pPr>
              <w:spacing w:after="0"/>
              <w:rPr>
                <w:sz w:val="20"/>
                <w:szCs w:val="20"/>
                <w:color w:val="auto"/>
              </w:rPr>
            </w:pPr>
          </w:p>
        </w:tc>
        <w:tc>
          <w:tcPr>
            <w:tcW w:w="4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1"/>
        </w:trPr>
        <w:tc>
          <w:tcPr>
            <w:tcW w:w="44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Class A common stock, par value $0.0001 per share</w:t>
            </w:r>
          </w:p>
        </w:tc>
        <w:tc>
          <w:tcPr>
            <w:tcW w:w="140" w:type="dxa"/>
            <w:vAlign w:val="bottom"/>
          </w:tcPr>
          <w:p>
            <w:pPr>
              <w:spacing w:after="0"/>
              <w:rPr>
                <w:sz w:val="16"/>
                <w:szCs w:val="16"/>
                <w:color w:val="auto"/>
              </w:rPr>
            </w:pPr>
          </w:p>
        </w:tc>
        <w:tc>
          <w:tcPr>
            <w:tcW w:w="20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BNZI</w:t>
            </w:r>
          </w:p>
        </w:tc>
        <w:tc>
          <w:tcPr>
            <w:tcW w:w="140" w:type="dxa"/>
            <w:vAlign w:val="bottom"/>
          </w:tcPr>
          <w:p>
            <w:pPr>
              <w:spacing w:after="0"/>
              <w:rPr>
                <w:sz w:val="16"/>
                <w:szCs w:val="16"/>
                <w:color w:val="auto"/>
              </w:rPr>
            </w:pPr>
          </w:p>
        </w:tc>
        <w:tc>
          <w:tcPr>
            <w:tcW w:w="44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Capital Market</w:t>
            </w:r>
          </w:p>
        </w:tc>
      </w:tr>
      <w:tr>
        <w:trPr>
          <w:trHeight w:val="216"/>
        </w:trPr>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Redeemable Warrants, each whole warrant exercisable for</w:t>
            </w:r>
          </w:p>
        </w:tc>
        <w:tc>
          <w:tcPr>
            <w:tcW w:w="14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BNZIW</w:t>
            </w:r>
          </w:p>
        </w:tc>
        <w:tc>
          <w:tcPr>
            <w:tcW w:w="140" w:type="dxa"/>
            <w:vAlign w:val="bottom"/>
          </w:tcPr>
          <w:p>
            <w:pPr>
              <w:spacing w:after="0"/>
              <w:rPr>
                <w:sz w:val="18"/>
                <w:szCs w:val="18"/>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Capital Market</w:t>
            </w:r>
          </w:p>
        </w:tc>
      </w:tr>
      <w:tr>
        <w:trPr>
          <w:trHeight w:val="216"/>
        </w:trPr>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one share of Class A common stock at an exercise price of</w:t>
            </w:r>
          </w:p>
        </w:tc>
        <w:tc>
          <w:tcPr>
            <w:tcW w:w="1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60" w:type="dxa"/>
            <w:vAlign w:val="bottom"/>
          </w:tcPr>
          <w:p>
            <w:pPr>
              <w:spacing w:after="0"/>
              <w:rPr>
                <w:sz w:val="18"/>
                <w:szCs w:val="18"/>
                <w:color w:val="auto"/>
              </w:rPr>
            </w:pPr>
          </w:p>
        </w:tc>
      </w:tr>
      <w:tr>
        <w:trPr>
          <w:trHeight w:val="234"/>
        </w:trPr>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$5,750</w:t>
            </w:r>
          </w:p>
        </w:tc>
        <w:tc>
          <w:tcPr>
            <w:tcW w:w="1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60" w:type="dxa"/>
            <w:vAlign w:val="bottom"/>
          </w:tcPr>
          <w:p>
            <w:pPr>
              <w:spacing w:after="0"/>
              <w:rPr>
                <w:sz w:val="20"/>
                <w:szCs w:val="20"/>
                <w:color w:val="auto"/>
              </w:rPr>
            </w:pPr>
          </w:p>
        </w:tc>
      </w:tr>
    </w:tbl>
    <w:p>
      <w:pPr>
        <w:spacing w:after="0" w:line="198"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ind w:left="8260"/>
        <w:spacing w:after="0" w:line="207" w:lineRule="exact"/>
        <w:tabs>
          <w:tab w:leader="none" w:pos="1064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w:t>
      </w:r>
    </w:p>
    <w:p>
      <w:pPr>
        <w:spacing w:after="0" w:line="22" w:lineRule="exact"/>
        <w:rPr>
          <w:sz w:val="24"/>
          <w:szCs w:val="24"/>
          <w:color w:val="auto"/>
        </w:rPr>
      </w:pPr>
    </w:p>
    <w:p>
      <w:pPr>
        <w:spacing w:after="0" w:line="207" w:lineRule="exact"/>
        <w:tabs>
          <w:tab w:leader="none" w:pos="7640" w:val="left"/>
        </w:tabs>
        <w:rPr>
          <w:sz w:val="20"/>
          <w:szCs w:val="20"/>
          <w:color w:val="auto"/>
        </w:rPr>
      </w:pPr>
      <w:r>
        <w:rPr>
          <w:rFonts w:ascii="Times New Roman" w:cs="Times New Roman" w:eastAsia="Times New Roman" w:hAnsi="Times New Roman"/>
          <w:sz w:val="18"/>
          <w:szCs w:val="18"/>
          <w:color w:val="auto"/>
        </w:rPr>
        <w:t>or revised financial accounting standards provided pursuant to Section 13(a) of the Exchange Act.</w:t>
      </w:r>
      <w:r>
        <w:rPr>
          <w:sz w:val="20"/>
          <w:szCs w:val="20"/>
          <w:color w:val="auto"/>
        </w:rPr>
        <w:tab/>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613410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1"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28, 2026, Banzai International, Inc. (the “Company”) held a special meeting of shareholders (the “Meeting”). At the Meeting, the Company’s shareholders voted on two proposals, including one to approve an adjournment, if necessary. At the beginning of the Meeting, 9,116,624 Class A shares and 677,118 Class B shares, which collectively represent 40.52% of the voting power of the shares entitled to vote at the Meeting, were represented by proxy, which constituted a quorum for the transaction of business. Since there were sufficient votes to approve the other proposal, the Company did not need to adjourn the Meeting.</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filing this Current Report on Form 8-K to disclose the voting results from the Meeting. The following proposal was voted on:</w:t>
      </w:r>
    </w:p>
    <w:p>
      <w:pPr>
        <w:spacing w:after="0" w:line="225" w:lineRule="exact"/>
        <w:rPr>
          <w:sz w:val="20"/>
          <w:szCs w:val="20"/>
          <w:color w:val="auto"/>
        </w:rPr>
      </w:pPr>
    </w:p>
    <w:p>
      <w:pPr>
        <w:jc w:val="both"/>
        <w:ind w:left="520" w:hanging="512"/>
        <w:spacing w:after="0" w:line="261" w:lineRule="auto"/>
        <w:tabs>
          <w:tab w:leader="none" w:pos="5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amendment to the Company’s Second Amended and Restated Certificate of Incorporation to effect a reverse stock split with respect to the Company’s issued and outstanding Class A Common Stock and Class B Common Stock at a ratio of up to 1-for-20, with the final ratio and exact timing to be determined at the discretion of the Board of Directors and included in a public announcement, subject to the authority of the Board of Directors to abandon such amendment (the “Reverse Split Proposal”).</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320" w:type="dxa"/>
            <w:vAlign w:val="bottom"/>
          </w:tcPr>
          <w:p>
            <w:pPr>
              <w:spacing w:after="0"/>
              <w:rPr>
                <w:sz w:val="20"/>
                <w:szCs w:val="20"/>
                <w:color w:val="auto"/>
              </w:rPr>
            </w:pPr>
          </w:p>
        </w:tc>
        <w:tc>
          <w:tcPr>
            <w:tcW w:w="3500" w:type="dxa"/>
            <w:vAlign w:val="bottom"/>
            <w:tcBorders>
              <w:bottom w:val="single" w:sz="8" w:color="auto"/>
            </w:tcBorders>
          </w:tcPr>
          <w:p>
            <w:pPr>
              <w:ind w:left="146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320" w:type="dxa"/>
            <w:vAlign w:val="bottom"/>
          </w:tcPr>
          <w:p>
            <w:pPr>
              <w:spacing w:after="0"/>
              <w:rPr>
                <w:sz w:val="20"/>
                <w:szCs w:val="20"/>
                <w:color w:val="auto"/>
              </w:rPr>
            </w:pPr>
          </w:p>
        </w:tc>
        <w:tc>
          <w:tcPr>
            <w:tcW w:w="3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120" w:type="dxa"/>
            <w:vAlign w:val="bottom"/>
          </w:tcPr>
          <w:p>
            <w:pPr>
              <w:spacing w:after="0"/>
              <w:rPr>
                <w:sz w:val="20"/>
                <w:szCs w:val="20"/>
                <w:color w:val="auto"/>
              </w:rPr>
            </w:pPr>
          </w:p>
        </w:tc>
      </w:tr>
      <w:tr>
        <w:trPr>
          <w:trHeight w:val="209"/>
        </w:trPr>
        <w:tc>
          <w:tcPr>
            <w:tcW w:w="3500" w:type="dxa"/>
            <w:vAlign w:val="bottom"/>
            <w:shd w:val="clear" w:color="auto" w:fill="CCEEFF"/>
          </w:tcPr>
          <w:p>
            <w:pPr>
              <w:jc w:val="right"/>
              <w:ind w:right="1310"/>
              <w:spacing w:after="0"/>
              <w:rPr>
                <w:sz w:val="20"/>
                <w:szCs w:val="20"/>
                <w:color w:val="auto"/>
              </w:rPr>
            </w:pPr>
            <w:r>
              <w:rPr>
                <w:rFonts w:ascii="Times New Roman" w:cs="Times New Roman" w:eastAsia="Times New Roman" w:hAnsi="Times New Roman"/>
                <w:sz w:val="18"/>
                <w:szCs w:val="18"/>
                <w:color w:val="auto"/>
              </w:rPr>
              <w:t>9,199,546</w:t>
            </w:r>
          </w:p>
        </w:tc>
        <w:tc>
          <w:tcPr>
            <w:tcW w:w="3820" w:type="dxa"/>
            <w:vAlign w:val="bottom"/>
            <w:gridSpan w:val="2"/>
            <w:shd w:val="clear" w:color="auto" w:fill="CCEEFF"/>
          </w:tcPr>
          <w:p>
            <w:pPr>
              <w:ind w:left="1780"/>
              <w:spacing w:after="0"/>
              <w:rPr>
                <w:sz w:val="20"/>
                <w:szCs w:val="20"/>
                <w:color w:val="auto"/>
              </w:rPr>
            </w:pPr>
            <w:r>
              <w:rPr>
                <w:rFonts w:ascii="Times New Roman" w:cs="Times New Roman" w:eastAsia="Times New Roman" w:hAnsi="Times New Roman"/>
                <w:sz w:val="18"/>
                <w:szCs w:val="18"/>
                <w:color w:val="auto"/>
              </w:rPr>
              <w:t>556,612</w:t>
            </w:r>
          </w:p>
        </w:tc>
        <w:tc>
          <w:tcPr>
            <w:tcW w:w="3800" w:type="dxa"/>
            <w:vAlign w:val="bottom"/>
            <w:gridSpan w:val="2"/>
            <w:shd w:val="clear" w:color="auto" w:fill="CCEEFF"/>
          </w:tcPr>
          <w:p>
            <w:pPr>
              <w:jc w:val="right"/>
              <w:ind w:right="1390"/>
              <w:spacing w:after="0"/>
              <w:rPr>
                <w:sz w:val="20"/>
                <w:szCs w:val="20"/>
                <w:color w:val="auto"/>
              </w:rPr>
            </w:pPr>
            <w:r>
              <w:rPr>
                <w:rFonts w:ascii="Times New Roman" w:cs="Times New Roman" w:eastAsia="Times New Roman" w:hAnsi="Times New Roman"/>
                <w:sz w:val="18"/>
                <w:szCs w:val="18"/>
                <w:color w:val="auto"/>
              </w:rPr>
              <w:t>37,584</w:t>
            </w:r>
          </w:p>
        </w:tc>
        <w:tc>
          <w:tcPr>
            <w:tcW w:w="12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Following the shareholders’ approval of the Reverse Split Proposal, the Board of Directors determined to effect a reverse stock split at a ratio of 1-for 20; the Company will file a Certificate of Amendment with the Delaware Secretary of State to revise the second paragraph of Article IV, Section (A) of its Certificate of Incorporation to effect the reverse stock split. As of April 27, 2026, there are 19,902,346 shares of Class A Common Stock and 677,118 shares of Class B Common Stock issued and outstanding. Following the effectiveness of the reverse stock split, the Company expects to have approximately 995,118 shares of Class A Common Stock and 33,856 shares of Class B Common Stock issued and outstanding. In accordance with Nasdaq listing rules, the reverse stock split is expected to be effective as of May 8, 2026, however, the Company will file a subsequent Current Report on Form 8-K to formally announce the effective time and date of the reverse stock split, as well as disclose the new CUSIP number for its stock.</w:t>
      </w:r>
    </w:p>
    <w:p>
      <w:pPr>
        <w:spacing w:after="0" w:line="18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information in this Form 8-K shall not be deemed to be “filed” for the purposes of Section 18 of the Securities Exchange Act of 1934, as amended, and shall not be incorporated by reference into any filing under the Securities Act of 1933, as amended, except as shall be expressly set forth by specific reference in such filing.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5660" w:type="dxa"/>
            <w:vAlign w:val="bottom"/>
          </w:tcPr>
          <w:p>
            <w:pPr>
              <w:spacing w:after="0"/>
              <w:rPr>
                <w:sz w:val="20"/>
                <w:szCs w:val="20"/>
                <w:color w:val="auto"/>
              </w:rPr>
            </w:pPr>
          </w:p>
        </w:tc>
      </w:tr>
      <w:tr>
        <w:trPr>
          <w:trHeight w:val="432"/>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340" w:type="dxa"/>
            <w:vAlign w:val="bottom"/>
          </w:tcPr>
          <w:p>
            <w:pPr>
              <w:spacing w:after="0"/>
              <w:rPr>
                <w:sz w:val="24"/>
                <w:szCs w:val="24"/>
                <w:color w:val="auto"/>
              </w:rPr>
            </w:pPr>
          </w:p>
        </w:tc>
        <w:tc>
          <w:tcPr>
            <w:tcW w:w="97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14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34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4080" w:type="dxa"/>
            <w:vAlign w:val="bottom"/>
            <w:tcBorders>
              <w:top w:val="single" w:sz="8" w:color="auto"/>
              <w:bottom w:val="single" w:sz="8" w:color="0000ED"/>
            </w:tcBorders>
          </w:tcPr>
          <w:p>
            <w:pPr>
              <w:spacing w:after="0" w:line="169" w:lineRule="exact"/>
              <w:rPr>
                <w:sz w:val="20"/>
                <w:szCs w:val="20"/>
                <w:color w:val="auto"/>
              </w:rPr>
            </w:pPr>
            <w:r>
              <w:rPr>
                <w:rFonts w:ascii="Times New Roman" w:cs="Times New Roman" w:eastAsia="Times New Roman" w:hAnsi="Times New Roman"/>
                <w:sz w:val="18"/>
                <w:szCs w:val="18"/>
                <w:color w:val="0000FF"/>
                <w:w w:val="99"/>
              </w:rPr>
              <w:t>Certificate of Amendment to Certificate of Incorporation</w:t>
            </w:r>
          </w:p>
        </w:tc>
        <w:tc>
          <w:tcPr>
            <w:tcW w:w="5660" w:type="dxa"/>
            <w:vAlign w:val="bottom"/>
            <w:tcBorders>
              <w:top w:val="single" w:sz="8" w:color="auto"/>
            </w:tcBorders>
          </w:tcPr>
          <w:p>
            <w:pPr>
              <w:spacing w:after="0"/>
              <w:rPr>
                <w:sz w:val="14"/>
                <w:szCs w:val="14"/>
                <w:color w:val="auto"/>
              </w:rPr>
            </w:pPr>
          </w:p>
        </w:tc>
      </w:tr>
      <w:tr>
        <w:trPr>
          <w:trHeight w:val="237"/>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340" w:type="dxa"/>
            <w:vAlign w:val="bottom"/>
          </w:tcPr>
          <w:p>
            <w:pPr>
              <w:spacing w:after="0"/>
              <w:rPr>
                <w:sz w:val="20"/>
                <w:szCs w:val="20"/>
                <w:color w:val="auto"/>
              </w:rPr>
            </w:pPr>
          </w:p>
        </w:tc>
        <w:tc>
          <w:tcPr>
            <w:tcW w:w="9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32"/>
        </w:trPr>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gridSpan w:val="2"/>
          </w:tcPr>
          <w:p>
            <w:pPr>
              <w:ind w:left="3580"/>
              <w:spacing w:after="0"/>
              <w:rPr>
                <w:sz w:val="20"/>
                <w:szCs w:val="20"/>
                <w:color w:val="auto"/>
              </w:rPr>
            </w:pPr>
            <w:r>
              <w:rPr>
                <w:rFonts w:ascii="Times New Roman" w:cs="Times New Roman" w:eastAsia="Times New Roman" w:hAnsi="Times New Roman"/>
                <w:sz w:val="18"/>
                <w:szCs w:val="18"/>
                <w:b w:val="1"/>
                <w:bCs w:val="1"/>
                <w:color w:val="auto"/>
              </w:rPr>
              <w:t>SIGNATURE</w:t>
            </w:r>
          </w:p>
        </w:tc>
      </w:tr>
    </w:tbl>
    <w:p>
      <w:pPr>
        <w:spacing w:after="0" w:line="144" w:lineRule="exact"/>
        <w:rPr>
          <w:sz w:val="20"/>
          <w:szCs w:val="20"/>
          <w:color w:val="auto"/>
        </w:rPr>
      </w:pPr>
    </w:p>
    <w:p>
      <w:pPr>
        <w:ind w:right="200" w:firstLine="74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28, 2026</w:t>
      </w:r>
    </w:p>
    <w:p>
      <w:pPr>
        <w:spacing w:after="0" w:line="16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BANZAI INTERNATIONAL, INC</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Joseph Davy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18415</wp:posOffset>
            </wp:positionV>
            <wp:extent cx="32746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Joseph Davy</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ind w:left="10420"/>
        <w:spacing w:after="0"/>
        <w:rPr>
          <w:sz w:val="20"/>
          <w:szCs w:val="20"/>
          <w:color w:val="auto"/>
        </w:rPr>
      </w:pPr>
      <w:r>
        <w:rPr>
          <w:rFonts w:ascii="Times New Roman" w:cs="Times New Roman" w:eastAsia="Times New Roman" w:hAnsi="Times New Roman"/>
          <w:sz w:val="16"/>
          <w:szCs w:val="16"/>
          <w:b w:val="1"/>
          <w:bCs w:val="1"/>
          <w:color w:val="auto"/>
        </w:rPr>
        <w:t>Exhibit 3.1</w:t>
      </w:r>
    </w:p>
    <w:p>
      <w:pPr>
        <w:spacing w:after="0" w:line="225"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7"/>
          <w:szCs w:val="17"/>
          <w:b w:val="1"/>
          <w:bCs w:val="1"/>
          <w:color w:val="auto"/>
        </w:rPr>
        <w:t>CERTIFICATE OF AMENDMENT OF THE</w:t>
      </w:r>
    </w:p>
    <w:p>
      <w:pPr>
        <w:spacing w:after="0" w:line="29"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7"/>
          <w:szCs w:val="17"/>
          <w:b w:val="1"/>
          <w:bCs w:val="1"/>
          <w:color w:val="auto"/>
        </w:rPr>
        <w:t>SECOND AMENDED AND RESTATED</w:t>
      </w:r>
    </w:p>
    <w:p>
      <w:pPr>
        <w:spacing w:after="0" w:line="7"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7"/>
          <w:szCs w:val="17"/>
          <w:b w:val="1"/>
          <w:bCs w:val="1"/>
          <w:color w:val="auto"/>
        </w:rPr>
        <w:t>CERTIFICATE OF INCORPORATION OF</w:t>
      </w:r>
    </w:p>
    <w:p>
      <w:pPr>
        <w:spacing w:after="0" w:line="7"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7"/>
          <w:szCs w:val="17"/>
          <w:b w:val="1"/>
          <w:bCs w:val="1"/>
          <w:color w:val="auto"/>
        </w:rPr>
        <w:t>BANZAI INTERNATIONAL, INC.</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(Pursuant to Section 242 of the</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General Corporation Law of the State of Delaware)</w:t>
      </w:r>
    </w:p>
    <w:p>
      <w:pPr>
        <w:spacing w:after="0" w:line="186" w:lineRule="exact"/>
        <w:rPr>
          <w:sz w:val="20"/>
          <w:szCs w:val="20"/>
          <w:color w:val="auto"/>
        </w:rPr>
      </w:pPr>
    </w:p>
    <w:p>
      <w:pPr>
        <w:jc w:val="both"/>
        <w:ind w:firstLine="374"/>
        <w:spacing w:after="0" w:line="288" w:lineRule="auto"/>
        <w:rPr>
          <w:sz w:val="20"/>
          <w:szCs w:val="20"/>
          <w:color w:val="auto"/>
        </w:rPr>
      </w:pPr>
      <w:r>
        <w:rPr>
          <w:rFonts w:ascii="Times New Roman" w:cs="Times New Roman" w:eastAsia="Times New Roman" w:hAnsi="Times New Roman"/>
          <w:sz w:val="17"/>
          <w:szCs w:val="17"/>
          <w:color w:val="auto"/>
        </w:rPr>
        <w:t>Banzai International, Inc. (the “</w:t>
      </w:r>
      <w:r>
        <w:rPr>
          <w:rFonts w:ascii="Times New Roman" w:cs="Times New Roman" w:eastAsia="Times New Roman" w:hAnsi="Times New Roman"/>
          <w:sz w:val="17"/>
          <w:szCs w:val="17"/>
          <w:b w:val="1"/>
          <w:bCs w:val="1"/>
          <w:i w:val="1"/>
          <w:iCs w:val="1"/>
          <w:color w:val="auto"/>
        </w:rPr>
        <w:t>Corporation</w:t>
      </w:r>
      <w:r>
        <w:rPr>
          <w:rFonts w:ascii="Times New Roman" w:cs="Times New Roman" w:eastAsia="Times New Roman" w:hAnsi="Times New Roman"/>
          <w:sz w:val="17"/>
          <w:szCs w:val="17"/>
          <w:color w:val="auto"/>
        </w:rPr>
        <w:t>”), a corporation organized and existing under and by virtue of the provisions of the General Corporation Law of the State of Delaware (the “</w:t>
      </w:r>
      <w:r>
        <w:rPr>
          <w:rFonts w:ascii="Times New Roman" w:cs="Times New Roman" w:eastAsia="Times New Roman" w:hAnsi="Times New Roman"/>
          <w:sz w:val="17"/>
          <w:szCs w:val="17"/>
          <w:b w:val="1"/>
          <w:bCs w:val="1"/>
          <w:i w:val="1"/>
          <w:iCs w:val="1"/>
          <w:color w:val="auto"/>
        </w:rPr>
        <w:t>General Corporation Law</w:t>
      </w:r>
      <w:r>
        <w:rPr>
          <w:rFonts w:ascii="Times New Roman" w:cs="Times New Roman" w:eastAsia="Times New Roman" w:hAnsi="Times New Roman"/>
          <w:sz w:val="17"/>
          <w:szCs w:val="17"/>
          <w:color w:val="auto"/>
        </w:rPr>
        <w:t>”),</w:t>
      </w:r>
    </w:p>
    <w:p>
      <w:pPr>
        <w:spacing w:after="0" w:line="50" w:lineRule="exact"/>
        <w:rPr>
          <w:sz w:val="20"/>
          <w:szCs w:val="20"/>
          <w:color w:val="auto"/>
        </w:rPr>
      </w:pPr>
    </w:p>
    <w:p>
      <w:pPr>
        <w:jc w:val="both"/>
        <w:ind w:firstLine="374"/>
        <w:spacing w:after="0" w:line="259" w:lineRule="auto"/>
        <w:rPr>
          <w:sz w:val="20"/>
          <w:szCs w:val="20"/>
          <w:color w:val="auto"/>
        </w:rPr>
      </w:pPr>
      <w:r>
        <w:rPr>
          <w:rFonts w:ascii="Times New Roman" w:cs="Times New Roman" w:eastAsia="Times New Roman" w:hAnsi="Times New Roman"/>
          <w:sz w:val="17"/>
          <w:szCs w:val="17"/>
          <w:color w:val="auto"/>
        </w:rPr>
        <w:t>1.The Board of Directors of the Corporation has duly adopted a resolution pursuant to Section 242 of the General Corporation Law of the State of Delaware setting forth a proposed amendment to the Second Amended and Restated Certificate of Incorporation of the Corporation, as amended (the “Restated Certificate”), and declaring said amendment to be advisable. The requisite stockholders of the Corporation have duly approved said proposed amendment in accordance with Section 242 of the General Corporation Law of the State of Delaware. The amendment amends the Restated Certificate as follows:</w:t>
      </w:r>
    </w:p>
    <w:p>
      <w:pPr>
        <w:spacing w:after="0" w:line="1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The following paragraph immediately after the first paragraph of Article IV, Section (A) of the Restated Certificate is hereby amended as follows:</w:t>
      </w:r>
    </w:p>
    <w:p>
      <w:pPr>
        <w:spacing w:after="0" w:line="210" w:lineRule="exact"/>
        <w:rPr>
          <w:sz w:val="20"/>
          <w:szCs w:val="20"/>
          <w:color w:val="auto"/>
        </w:rPr>
      </w:pPr>
    </w:p>
    <w:p>
      <w:pPr>
        <w:jc w:val="both"/>
        <w:ind w:firstLine="374"/>
        <w:spacing w:after="0" w:line="252" w:lineRule="auto"/>
        <w:rPr>
          <w:sz w:val="20"/>
          <w:szCs w:val="20"/>
          <w:color w:val="auto"/>
        </w:rPr>
      </w:pPr>
      <w:r>
        <w:rPr>
          <w:rFonts w:ascii="Times New Roman" w:cs="Times New Roman" w:eastAsia="Times New Roman" w:hAnsi="Times New Roman"/>
          <w:sz w:val="17"/>
          <w:szCs w:val="17"/>
          <w:color w:val="auto"/>
        </w:rPr>
        <w:t>“Upon this Certificate of Amendment to the Second Amended and Restated Certificate of Incorporation becoming effective pursuant to the General Corporation Law of the State of Delaware (the “Effective Time”), the shares of the Class A Common Stock and Class B Common Stock, issued and outstanding immediately prior to the Effective Time and the shares of such stock issued and held in the treasury of the Corporation immediately prior to the Effective Time shall be reclassified as and combined into a smaller number of shares such that every 20 shares of issued and outstanding Class A Common Stock and every 20 shares of issued and outstanding Class B Common Stock immediately prior to the Effective Time are automatically combined into one (1) validly issued, fully paid and nonassessable share of Class A Common Stock and Class B Common Stock, respectively (the “Reverse Stock Split”). Notwithstanding the immediately preceding sentence, no fractional shares shall be issued and, in lieu thereof, any person who would otherwise be entitled to a fractional share of Common Stock as a result of the reclassification and combination following the Effective Time (after taking into account all fractional shares of Common Stock otherwise issuable to such holder) shall be rounded up to the nearest whole number.</w:t>
      </w:r>
    </w:p>
    <w:p>
      <w:pPr>
        <w:spacing w:after="0" w:line="178"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7"/>
          <w:szCs w:val="17"/>
          <w:color w:val="auto"/>
        </w:rPr>
        <w:t>Each stock certificate or book-entry position that, immediately prior to the Effective Time, represented shares of Class A Common Stock or Class B Common Stock, as applicable that were issued and outstanding immediately prior to the Effective Time shall, from and after the Effective Time, automatically and without the necessity of presenting the same for exchange, represent that number of whole shares of Class A Common Stock or Class B Common Stock, respectively after the Effective Time into which the shares of Class A Common Stock or Class B Common Stock formerly represented by such certificate or book-entry position shall have been reclassified and combined.”</w:t>
      </w:r>
    </w:p>
    <w:p>
      <w:pPr>
        <w:spacing w:after="0" w:line="7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2.This Certificate of Amendment shall be effective at 12:00 AM Eastern Time on May 8, 2026.</w:t>
      </w:r>
    </w:p>
    <w:p>
      <w:pPr>
        <w:spacing w:after="0" w:line="206" w:lineRule="exact"/>
        <w:rPr>
          <w:sz w:val="20"/>
          <w:szCs w:val="20"/>
          <w:color w:val="auto"/>
        </w:rPr>
      </w:pPr>
    </w:p>
    <w:p>
      <w:pPr>
        <w:jc w:val="both"/>
        <w:spacing w:after="0" w:line="310" w:lineRule="auto"/>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this Corporation has caused this Certificate of Amendment of the Second Amended and Restated Certificate of Incorporation to be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signed by its Chief Executive Officer this 28</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7"/>
          <w:szCs w:val="17"/>
          <w:color w:val="auto"/>
        </w:rPr>
        <w:t xml:space="preserve"> day of April, 2026.</w:t>
      </w:r>
    </w:p>
    <w:p>
      <w:pPr>
        <w:spacing w:after="0" w:line="200" w:lineRule="exact"/>
        <w:rPr>
          <w:sz w:val="20"/>
          <w:szCs w:val="20"/>
          <w:color w:val="auto"/>
        </w:rPr>
      </w:pPr>
    </w:p>
    <w:p>
      <w:pPr>
        <w:spacing w:after="0" w:line="26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i w:val="1"/>
          <w:iCs w:val="1"/>
          <w:color w:val="auto"/>
        </w:rPr>
        <w:t>/s/ Joseph Davy</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Joseph Davy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-121920</wp:posOffset>
            </wp:positionV>
            <wp:extent cx="3566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17"/>
          <w:szCs w:val="17"/>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465455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04" w:right="3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2026-04-28T16:05:35Z</dcterms:created>
  <dcterms:modified xsi:type="dcterms:W3CDTF">2026-04-28T16:05:35Z</dcterms:modified>
</cp:coreProperties>
</file>