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8-K/A</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10, 2025 (January 23, 2025)</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Banzai International,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980" w:type="dxa"/>
            <w:vAlign w:val="bottom"/>
            <w:gridSpan w:val="3"/>
          </w:tcPr>
          <w:p>
            <w:pPr>
              <w:jc w:val="center"/>
              <w:ind w:right="138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440" w:type="dxa"/>
            <w:vAlign w:val="bottom"/>
          </w:tcPr>
          <w:p>
            <w:pPr>
              <w:jc w:val="center"/>
              <w:ind w:right="1036"/>
              <w:spacing w:after="0"/>
              <w:rPr>
                <w:sz w:val="20"/>
                <w:szCs w:val="20"/>
                <w:color w:val="auto"/>
              </w:rPr>
            </w:pPr>
            <w:r>
              <w:rPr>
                <w:rFonts w:ascii="Times New Roman" w:cs="Times New Roman" w:eastAsia="Times New Roman" w:hAnsi="Times New Roman"/>
                <w:sz w:val="17"/>
                <w:szCs w:val="17"/>
                <w:b w:val="1"/>
                <w:bCs w:val="1"/>
                <w:color w:val="auto"/>
                <w:w w:val="97"/>
              </w:rPr>
              <w:t>001-39826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jc w:val="right"/>
              <w:ind w:right="1296"/>
              <w:spacing w:after="0"/>
              <w:rPr>
                <w:sz w:val="20"/>
                <w:szCs w:val="20"/>
                <w:color w:val="auto"/>
              </w:rPr>
            </w:pPr>
            <w:r>
              <w:rPr>
                <w:rFonts w:ascii="Times New Roman" w:cs="Times New Roman" w:eastAsia="Times New Roman" w:hAnsi="Times New Roman"/>
                <w:sz w:val="17"/>
                <w:szCs w:val="17"/>
                <w:b w:val="1"/>
                <w:bCs w:val="1"/>
                <w:color w:val="auto"/>
              </w:rPr>
              <w:t>85-3118980</w:t>
            </w:r>
          </w:p>
        </w:tc>
      </w:tr>
      <w:tr>
        <w:trPr>
          <w:trHeight w:val="174"/>
        </w:trPr>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8"/>
              </w:rPr>
              <w:t>(State or other jurisdiction</w:t>
            </w:r>
          </w:p>
        </w:tc>
        <w:tc>
          <w:tcPr>
            <w:tcW w:w="2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2"/>
          </w:tcPr>
          <w:p>
            <w:pPr>
              <w:jc w:val="center"/>
              <w:ind w:right="1200"/>
              <w:spacing w:after="0" w:line="175" w:lineRule="exact"/>
              <w:rPr>
                <w:sz w:val="20"/>
                <w:szCs w:val="20"/>
                <w:color w:val="auto"/>
              </w:rPr>
            </w:pPr>
            <w:r>
              <w:rPr>
                <w:rFonts w:ascii="Times New Roman" w:cs="Times New Roman" w:eastAsia="Times New Roman" w:hAnsi="Times New Roman"/>
                <w:sz w:val="17"/>
                <w:szCs w:val="17"/>
                <w:b w:val="1"/>
                <w:bCs w:val="1"/>
                <w:color w:val="auto"/>
                <w:w w:val="98"/>
              </w:rPr>
              <w:t>(Commission</w:t>
            </w:r>
          </w:p>
        </w:tc>
        <w:tc>
          <w:tcPr>
            <w:tcW w:w="220" w:type="dxa"/>
            <w:vAlign w:val="bottom"/>
          </w:tcPr>
          <w:p>
            <w:pPr>
              <w:spacing w:after="0"/>
              <w:rPr>
                <w:sz w:val="15"/>
                <w:szCs w:val="15"/>
                <w:color w:val="auto"/>
              </w:rPr>
            </w:pPr>
          </w:p>
        </w:tc>
        <w:tc>
          <w:tcPr>
            <w:tcW w:w="35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9"/>
              </w:rPr>
              <w:t>(I.R.S. Employer</w:t>
            </w:r>
          </w:p>
        </w:tc>
      </w:tr>
      <w:tr>
        <w:trPr>
          <w:trHeight w:val="222"/>
        </w:trPr>
        <w:tc>
          <w:tcPr>
            <w:tcW w:w="4980" w:type="dxa"/>
            <w:vAlign w:val="bottom"/>
            <w:gridSpan w:val="3"/>
          </w:tcPr>
          <w:p>
            <w:pPr>
              <w:jc w:val="center"/>
              <w:ind w:right="1360"/>
              <w:spacing w:after="0"/>
              <w:rPr>
                <w:sz w:val="20"/>
                <w:szCs w:val="20"/>
                <w:color w:val="auto"/>
              </w:rPr>
            </w:pPr>
            <w:r>
              <w:rPr>
                <w:rFonts w:ascii="Times New Roman" w:cs="Times New Roman" w:eastAsia="Times New Roman" w:hAnsi="Times New Roman"/>
                <w:sz w:val="17"/>
                <w:szCs w:val="17"/>
                <w:b w:val="1"/>
                <w:bCs w:val="1"/>
                <w:color w:val="auto"/>
                <w:w w:val="98"/>
              </w:rPr>
              <w:t>of incorporation)</w:t>
            </w:r>
          </w:p>
        </w:tc>
        <w:tc>
          <w:tcPr>
            <w:tcW w:w="2680" w:type="dxa"/>
            <w:vAlign w:val="bottom"/>
            <w:gridSpan w:val="3"/>
          </w:tcPr>
          <w:p>
            <w:pPr>
              <w:jc w:val="center"/>
              <w:ind w:right="1360"/>
              <w:spacing w:after="0"/>
              <w:rPr>
                <w:sz w:val="20"/>
                <w:szCs w:val="20"/>
                <w:color w:val="auto"/>
              </w:rPr>
            </w:pPr>
            <w:r>
              <w:rPr>
                <w:rFonts w:ascii="Times New Roman" w:cs="Times New Roman" w:eastAsia="Times New Roman" w:hAnsi="Times New Roman"/>
                <w:sz w:val="17"/>
                <w:szCs w:val="17"/>
                <w:b w:val="1"/>
                <w:bCs w:val="1"/>
                <w:color w:val="auto"/>
                <w:w w:val="98"/>
              </w:rPr>
              <w:t>File Number)</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Identification No.)</w:t>
            </w:r>
          </w:p>
        </w:tc>
      </w:tr>
      <w:tr>
        <w:trPr>
          <w:trHeight w:val="383"/>
        </w:trPr>
        <w:tc>
          <w:tcPr>
            <w:tcW w:w="4980" w:type="dxa"/>
            <w:vAlign w:val="bottom"/>
            <w:gridSpan w:val="3"/>
          </w:tcPr>
          <w:p>
            <w:pPr>
              <w:jc w:val="center"/>
              <w:ind w:left="2316"/>
              <w:spacing w:after="0"/>
              <w:rPr>
                <w:sz w:val="20"/>
                <w:szCs w:val="20"/>
                <w:color w:val="auto"/>
              </w:rPr>
            </w:pPr>
            <w:r>
              <w:rPr>
                <w:rFonts w:ascii="Times New Roman" w:cs="Times New Roman" w:eastAsia="Times New Roman" w:hAnsi="Times New Roman"/>
                <w:sz w:val="17"/>
                <w:szCs w:val="17"/>
                <w:b w:val="1"/>
                <w:bCs w:val="1"/>
                <w:color w:val="auto"/>
                <w:w w:val="98"/>
              </w:rPr>
              <w:t>435 Ericksen Ave, Suite 250</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2"/>
        </w:trPr>
        <w:tc>
          <w:tcPr>
            <w:tcW w:w="4980" w:type="dxa"/>
            <w:vAlign w:val="bottom"/>
            <w:tcBorders>
              <w:bottom w:val="single" w:sz="8" w:color="auto"/>
            </w:tcBorders>
            <w:gridSpan w:val="3"/>
          </w:tcPr>
          <w:p>
            <w:pPr>
              <w:jc w:val="center"/>
              <w:ind w:left="2376"/>
              <w:spacing w:after="0"/>
              <w:rPr>
                <w:sz w:val="20"/>
                <w:szCs w:val="20"/>
                <w:color w:val="auto"/>
              </w:rPr>
            </w:pPr>
            <w:r>
              <w:rPr>
                <w:rFonts w:ascii="Times New Roman" w:cs="Times New Roman" w:eastAsia="Times New Roman" w:hAnsi="Times New Roman"/>
                <w:sz w:val="17"/>
                <w:szCs w:val="17"/>
                <w:b w:val="1"/>
                <w:bCs w:val="1"/>
                <w:color w:val="auto"/>
                <w:w w:val="98"/>
              </w:rPr>
              <w:t>Bainbridge Island, Washington</w:t>
            </w:r>
          </w:p>
        </w:tc>
        <w:tc>
          <w:tcPr>
            <w:tcW w:w="24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Borders>
              <w:bottom w:val="single" w:sz="8" w:color="auto"/>
            </w:tcBorders>
          </w:tcPr>
          <w:p>
            <w:pPr>
              <w:jc w:val="right"/>
              <w:ind w:right="1496"/>
              <w:spacing w:after="0"/>
              <w:rPr>
                <w:sz w:val="20"/>
                <w:szCs w:val="20"/>
                <w:color w:val="auto"/>
              </w:rPr>
            </w:pPr>
            <w:r>
              <w:rPr>
                <w:rFonts w:ascii="Times New Roman" w:cs="Times New Roman" w:eastAsia="Times New Roman" w:hAnsi="Times New Roman"/>
                <w:sz w:val="17"/>
                <w:szCs w:val="17"/>
                <w:b w:val="1"/>
                <w:bCs w:val="1"/>
                <w:color w:val="auto"/>
              </w:rPr>
              <w:t>98110</w:t>
            </w:r>
          </w:p>
        </w:tc>
      </w:tr>
      <w:tr>
        <w:trPr>
          <w:trHeight w:val="215"/>
        </w:trPr>
        <w:tc>
          <w:tcPr>
            <w:tcW w:w="74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(Address of Principal Executive Offices)</w:t>
            </w:r>
          </w:p>
        </w:tc>
        <w:tc>
          <w:tcPr>
            <w:tcW w:w="240" w:type="dxa"/>
            <w:vAlign w:val="bottom"/>
            <w:gridSpan w:val="2"/>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(Zip Code)</w:t>
            </w:r>
          </w:p>
        </w:tc>
      </w:tr>
    </w:tbl>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(206) 414-1777</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12"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600" w:hanging="297"/>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07" w:lineRule="exact"/>
        <w:rPr>
          <w:rFonts w:ascii="MS PGothic" w:cs="MS PGothic" w:eastAsia="MS PGothic" w:hAnsi="MS PGothic"/>
          <w:sz w:val="17"/>
          <w:szCs w:val="17"/>
          <w:color w:val="auto"/>
        </w:rPr>
      </w:pPr>
    </w:p>
    <w:p>
      <w:pPr>
        <w:ind w:left="600" w:hanging="297"/>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07" w:lineRule="exact"/>
        <w:rPr>
          <w:rFonts w:ascii="MS PGothic" w:cs="MS PGothic" w:eastAsia="MS PGothic" w:hAnsi="MS PGothic"/>
          <w:sz w:val="17"/>
          <w:szCs w:val="17"/>
          <w:color w:val="auto"/>
        </w:rPr>
      </w:pPr>
    </w:p>
    <w:p>
      <w:pPr>
        <w:ind w:left="600" w:hanging="297"/>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07" w:lineRule="exact"/>
        <w:rPr>
          <w:rFonts w:ascii="MS PGothic" w:cs="MS PGothic" w:eastAsia="MS PGothic" w:hAnsi="MS PGothic"/>
          <w:sz w:val="17"/>
          <w:szCs w:val="17"/>
          <w:color w:val="auto"/>
        </w:rPr>
      </w:pPr>
    </w:p>
    <w:p>
      <w:pPr>
        <w:ind w:right="3120" w:firstLine="303"/>
        <w:spacing w:after="0" w:line="492" w:lineRule="auto"/>
        <w:tabs>
          <w:tab w:leader="none" w:pos="60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 of each exchange on which registered</w:t>
            </w:r>
          </w:p>
        </w:tc>
      </w:tr>
      <w:tr>
        <w:trPr>
          <w:trHeight w:val="178"/>
        </w:trPr>
        <w:tc>
          <w:tcPr>
            <w:tcW w:w="42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Class A common stock, par value $0.0001 per share</w:t>
            </w:r>
          </w:p>
        </w:tc>
        <w:tc>
          <w:tcPr>
            <w:tcW w:w="220" w:type="dxa"/>
            <w:vAlign w:val="bottom"/>
          </w:tcPr>
          <w:p>
            <w:pPr>
              <w:spacing w:after="0"/>
              <w:rPr>
                <w:sz w:val="15"/>
                <w:szCs w:val="15"/>
                <w:color w:val="auto"/>
              </w:rPr>
            </w:pPr>
          </w:p>
        </w:tc>
        <w:tc>
          <w:tcPr>
            <w:tcW w:w="226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5"/>
              </w:rPr>
              <w:t>BNZI</w:t>
            </w:r>
          </w:p>
        </w:tc>
        <w:tc>
          <w:tcPr>
            <w:tcW w:w="220" w:type="dxa"/>
            <w:vAlign w:val="bottom"/>
          </w:tcPr>
          <w:p>
            <w:pPr>
              <w:spacing w:after="0"/>
              <w:rPr>
                <w:sz w:val="15"/>
                <w:szCs w:val="15"/>
                <w:color w:val="auto"/>
              </w:rPr>
            </w:pPr>
          </w:p>
        </w:tc>
        <w:tc>
          <w:tcPr>
            <w:tcW w:w="426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The Nasdaq Capital Market</w:t>
            </w:r>
          </w:p>
        </w:tc>
      </w:tr>
      <w:tr>
        <w:trPr>
          <w:trHeight w:val="202"/>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Redeemable Warrants, each whole warrant exercisable for one</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BNZIW</w:t>
            </w:r>
          </w:p>
        </w:tc>
        <w:tc>
          <w:tcPr>
            <w:tcW w:w="4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The Nasdaq Capital Market</w:t>
            </w:r>
          </w:p>
        </w:tc>
      </w:tr>
      <w:tr>
        <w:trPr>
          <w:trHeight w:val="218"/>
        </w:trPr>
        <w:tc>
          <w:tcPr>
            <w:tcW w:w="45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share of Class A common stock at an exercise price of $575.00</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bl>
    <w:p>
      <w:pPr>
        <w:spacing w:after="0" w:line="186"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6"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128270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432435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1.02. Termination of a Material Definitive Agreement</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Banzai International, Inc., a Delaware corporation (“</w:t>
      </w:r>
      <w:r>
        <w:rPr>
          <w:rFonts w:ascii="Times New Roman" w:cs="Times New Roman" w:eastAsia="Times New Roman" w:hAnsi="Times New Roman"/>
          <w:sz w:val="16"/>
          <w:szCs w:val="16"/>
          <w:b w:val="1"/>
          <w:bCs w:val="1"/>
          <w:color w:val="auto"/>
        </w:rPr>
        <w:t>Banzai</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previously announced its entry into an Agreement and Plan of Merger (the “</w:t>
      </w:r>
      <w:r>
        <w:rPr>
          <w:rFonts w:ascii="Times New Roman" w:cs="Times New Roman" w:eastAsia="Times New Roman" w:hAnsi="Times New Roman"/>
          <w:sz w:val="16"/>
          <w:szCs w:val="16"/>
          <w:b w:val="1"/>
          <w:bCs w:val="1"/>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w:t>
      </w:r>
      <w:r>
        <w:rPr>
          <w:rFonts w:ascii="Times New Roman" w:cs="Times New Roman" w:eastAsia="Times New Roman" w:hAnsi="Times New Roman"/>
          <w:sz w:val="16"/>
          <w:szCs w:val="16"/>
          <w:color w:val="auto"/>
        </w:rPr>
        <w:t>t”), dated January 22, 2025, with Act-On Software, Inc., a Delaware corporation (“</w:t>
      </w:r>
      <w:r>
        <w:rPr>
          <w:rFonts w:ascii="Times New Roman" w:cs="Times New Roman" w:eastAsia="Times New Roman" w:hAnsi="Times New Roman"/>
          <w:sz w:val="16"/>
          <w:szCs w:val="16"/>
          <w:b w:val="1"/>
          <w:bCs w:val="1"/>
          <w:color w:val="auto"/>
        </w:rPr>
        <w:t>Act-On</w:t>
      </w:r>
      <w:r>
        <w:rPr>
          <w:rFonts w:ascii="Times New Roman" w:cs="Times New Roman" w:eastAsia="Times New Roman" w:hAnsi="Times New Roman"/>
          <w:sz w:val="16"/>
          <w:szCs w:val="16"/>
          <w:color w:val="auto"/>
        </w:rPr>
        <w:t>”), and Banzai Passage Inc., a Delaware corporation and wholly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owned subsidiary of Banzai (“</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Although the Company worked diligently to complete all closing conditions of the Merger Agreement, due to current market conditions, on June 6, 2025, Act-On served Banzai with a notice of termination to terminate the Merger Agreement and any related agreements (collectively, the “</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We are filing this amendment to the original announcement on Form 8-K to disclose same. As per the Transaction Documents, within five (5) calendar days, the Company is required to pay certain termination fees including $500,000 in liquidated damages to cover certain transaction expenses Act-On incurred in connection with the merger contemplated by the Merger Agreement and $882,029.82 in additional interest and extension fees associated with one of Act-On’s outstanding debts that the Company was going to payoff in connection with the merger contemplated by the Merger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1500" w:type="dxa"/>
            <w:vAlign w:val="bottom"/>
          </w:tcPr>
          <w:p>
            <w:pPr>
              <w:spacing w:after="0"/>
              <w:rPr>
                <w:sz w:val="18"/>
                <w:szCs w:val="18"/>
                <w:color w:val="auto"/>
              </w:rPr>
            </w:pPr>
          </w:p>
        </w:tc>
        <w:tc>
          <w:tcPr>
            <w:tcW w:w="8720" w:type="dxa"/>
            <w:vAlign w:val="bottom"/>
          </w:tcPr>
          <w:p>
            <w:pPr>
              <w:spacing w:after="0"/>
              <w:rPr>
                <w:sz w:val="18"/>
                <w:szCs w:val="18"/>
                <w:color w:val="auto"/>
              </w:rPr>
            </w:pPr>
          </w:p>
        </w:tc>
      </w:tr>
      <w:tr>
        <w:trPr>
          <w:trHeight w:val="403"/>
        </w:trPr>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0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57"/>
        </w:trPr>
        <w:tc>
          <w:tcPr>
            <w:tcW w:w="20" w:type="dxa"/>
            <w:vAlign w:val="bottom"/>
          </w:tcPr>
          <w:p>
            <w:pPr>
              <w:spacing w:after="0"/>
              <w:rPr>
                <w:sz w:val="13"/>
                <w:szCs w:val="13"/>
                <w:color w:val="auto"/>
              </w:rPr>
            </w:pPr>
          </w:p>
        </w:tc>
        <w:tc>
          <w:tcPr>
            <w:tcW w:w="88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3"/>
                <w:szCs w:val="13"/>
                <w:color w:val="auto"/>
              </w:rPr>
            </w:pPr>
          </w:p>
        </w:tc>
        <w:tc>
          <w:tcPr>
            <w:tcW w:w="1500" w:type="dxa"/>
            <w:vAlign w:val="bottom"/>
            <w:tcBorders>
              <w:top w:val="single" w:sz="8" w:color="auto"/>
              <w:bottom w:val="single" w:sz="8" w:color="0000EE"/>
            </w:tcBorders>
          </w:tcPr>
          <w:p>
            <w:pPr>
              <w:spacing w:after="0" w:line="157" w:lineRule="exact"/>
              <w:rPr>
                <w:sz w:val="20"/>
                <w:szCs w:val="20"/>
                <w:color w:val="auto"/>
              </w:rPr>
            </w:pPr>
            <w:r>
              <w:rPr>
                <w:rFonts w:ascii="Times New Roman" w:cs="Times New Roman" w:eastAsia="Times New Roman" w:hAnsi="Times New Roman"/>
                <w:sz w:val="17"/>
                <w:szCs w:val="17"/>
                <w:color w:val="0000EE"/>
                <w:w w:val="97"/>
              </w:rPr>
              <w:t>Notice of Termination</w:t>
            </w:r>
          </w:p>
        </w:tc>
        <w:tc>
          <w:tcPr>
            <w:tcW w:w="8720" w:type="dxa"/>
            <w:vAlign w:val="bottom"/>
            <w:tcBorders>
              <w:top w:val="single" w:sz="8" w:color="auto"/>
            </w:tcBorders>
          </w:tcPr>
          <w:p>
            <w:pPr>
              <w:spacing w:after="0"/>
              <w:rPr>
                <w:sz w:val="13"/>
                <w:szCs w:val="13"/>
                <w:color w:val="auto"/>
              </w:rPr>
            </w:pPr>
          </w:p>
        </w:tc>
      </w:tr>
      <w:tr>
        <w:trPr>
          <w:trHeight w:val="219"/>
        </w:trPr>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w:t>
            </w:r>
          </w:p>
        </w:tc>
      </w:tr>
      <w:tr>
        <w:trPr>
          <w:trHeight w:val="404"/>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Dated: June 10, 2025</w:t>
      </w:r>
    </w:p>
    <w:p>
      <w:pPr>
        <w:spacing w:after="0" w:line="2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BANZAI INTERNATIONAL, INC.</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Joseph Davy</w:t>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-123190</wp:posOffset>
            </wp:positionV>
            <wp:extent cx="3354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 w:name="page4"/>
    <w:bookmarkEnd w:id="3"/>
    <w:p>
      <w:pPr>
        <w:ind w:left="9080"/>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160655</wp:posOffset>
            </wp:positionV>
            <wp:extent cx="7200265" cy="9607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7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265" cy="96075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2025-06-10T16:03:49Z</dcterms:created>
  <dcterms:modified xsi:type="dcterms:W3CDTF">2025-06-10T16:03:49Z</dcterms:modified>
</cp:coreProperties>
</file>