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185420</wp:posOffset>
            </wp:positionH>
            <wp:positionV relativeFrom="page">
              <wp:posOffset>226060</wp:posOffset>
            </wp:positionV>
            <wp:extent cx="7178040" cy="2857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78040" cy="28575"/>
                    </a:xfrm>
                    <a:prstGeom prst="rect">
                      <a:avLst/>
                    </a:prstGeom>
                    <a:noFill/>
                  </pic:spPr>
                </pic:pic>
              </a:graphicData>
            </a:graphic>
          </wp:anchor>
        </w:drawing>
        <w:drawing>
          <wp:anchor simplePos="0" relativeHeight="251657728" behindDoc="1" locked="0" layoutInCell="0" allowOverlap="1">
            <wp:simplePos x="0" y="0"/>
            <wp:positionH relativeFrom="page">
              <wp:posOffset>185420</wp:posOffset>
            </wp:positionH>
            <wp:positionV relativeFrom="page">
              <wp:posOffset>260350</wp:posOffset>
            </wp:positionV>
            <wp:extent cx="7178040" cy="1143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78040" cy="11430"/>
                    </a:xfrm>
                    <a:prstGeom prst="rect">
                      <a:avLst/>
                    </a:prstGeom>
                    <a:noFill/>
                  </pic:spPr>
                </pic:pic>
              </a:graphicData>
            </a:graphic>
          </wp:anchor>
        </w:drawing>
        <w:t>UNITED STATES</w:t>
      </w:r>
    </w:p>
    <w:p>
      <w:pPr>
        <w:spacing w:after="0" w:line="18"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1"/>
          <w:szCs w:val="21"/>
          <w:b w:val="1"/>
          <w:bCs w:val="1"/>
          <w:color w:val="auto"/>
        </w:rPr>
        <w:t>SECURITIES AND EXCHANGE COMMISSION</w:t>
      </w:r>
    </w:p>
    <w:p>
      <w:pPr>
        <w:spacing w:after="0" w:line="3"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Washington, D.C. 20549</w:t>
      </w:r>
    </w:p>
    <w:p>
      <w:pPr>
        <w:spacing w:after="0" w:line="116"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FORM 8-K/A</w:t>
      </w:r>
    </w:p>
    <w:p>
      <w:pPr>
        <w:spacing w:after="0" w:line="15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CURRENT REPORT</w:t>
      </w:r>
    </w:p>
    <w:p>
      <w:pPr>
        <w:spacing w:after="0" w:line="150"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PURSUANT TO SECTION 13 OR 15(D)</w:t>
      </w:r>
    </w:p>
    <w:p>
      <w:pPr>
        <w:spacing w:after="0" w:line="2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OF THE SECURITIES EXCHANGE ACT OF 1934</w:t>
      </w:r>
    </w:p>
    <w:p>
      <w:pPr>
        <w:spacing w:after="0" w:line="135"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Date of Report (Date of earliest event reported): February 28, 2025 (December 19, 2024)</w:t>
      </w:r>
    </w:p>
    <w:p>
      <w:pPr>
        <w:spacing w:after="0" w:line="133"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Banzai International, Inc.</w:t>
      </w:r>
    </w:p>
    <w:p>
      <w:pPr>
        <w:spacing w:after="0" w:line="23"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(Exact name of registrant as specified in its charter)</w:t>
      </w:r>
    </w:p>
    <w:p>
      <w:pPr>
        <w:sectPr>
          <w:pgSz w:w="11900" w:h="16838" w:orient="portrait"/>
          <w:cols w:equalWidth="0" w:num="1">
            <w:col w:w="11300"/>
          </w:cols>
          <w:pgMar w:left="300" w:top="540" w:right="299" w:bottom="1440" w:gutter="0" w:footer="0" w:header="0"/>
        </w:sectPr>
      </w:pPr>
    </w:p>
    <w:p>
      <w:pPr>
        <w:spacing w:after="0" w:line="134" w:lineRule="exact"/>
        <w:rPr>
          <w:sz w:val="24"/>
          <w:szCs w:val="24"/>
          <w:color w:val="auto"/>
        </w:rPr>
      </w:pPr>
    </w:p>
    <w:p>
      <w:pPr>
        <w:ind w:left="1560"/>
        <w:spacing w:after="0"/>
        <w:rPr>
          <w:sz w:val="20"/>
          <w:szCs w:val="20"/>
          <w:color w:val="auto"/>
        </w:rPr>
      </w:pPr>
      <w:r>
        <w:rPr>
          <w:rFonts w:ascii="Times New Roman" w:cs="Times New Roman" w:eastAsia="Times New Roman" w:hAnsi="Times New Roman"/>
          <w:sz w:val="12"/>
          <w:szCs w:val="12"/>
          <w:b w:val="1"/>
          <w:bCs w:val="1"/>
          <w:color w:val="auto"/>
        </w:rPr>
        <w:t>Delaware</w:t>
      </w:r>
    </w:p>
    <w:p>
      <w:pPr>
        <w:spacing w:after="0" w:line="21" w:lineRule="exact"/>
        <w:rPr>
          <w:sz w:val="24"/>
          <w:szCs w:val="24"/>
          <w:color w:val="auto"/>
        </w:rPr>
      </w:pPr>
    </w:p>
    <w:p>
      <w:pPr>
        <w:ind w:left="1100"/>
        <w:spacing w:after="0"/>
        <w:rPr>
          <w:sz w:val="20"/>
          <w:szCs w:val="20"/>
          <w:color w:val="auto"/>
        </w:rPr>
      </w:pPr>
      <w:r>
        <w:rPr>
          <w:rFonts w:ascii="Times New Roman" w:cs="Times New Roman" w:eastAsia="Times New Roman" w:hAnsi="Times New Roman"/>
          <w:sz w:val="12"/>
          <w:szCs w:val="12"/>
          <w:b w:val="1"/>
          <w:bCs w:val="1"/>
          <w:color w:val="auto"/>
        </w:rPr>
        <w:t>(State or other jurisdiction</w:t>
      </w:r>
    </w:p>
    <w:p>
      <w:pPr>
        <w:spacing w:after="0" w:line="6" w:lineRule="exact"/>
        <w:rPr>
          <w:sz w:val="24"/>
          <w:szCs w:val="24"/>
          <w:color w:val="auto"/>
        </w:rPr>
      </w:pPr>
    </w:p>
    <w:p>
      <w:pPr>
        <w:ind w:left="1360"/>
        <w:spacing w:after="0"/>
        <w:rPr>
          <w:sz w:val="20"/>
          <w:szCs w:val="20"/>
          <w:color w:val="auto"/>
        </w:rPr>
      </w:pPr>
      <w:r>
        <w:rPr>
          <w:rFonts w:ascii="Times New Roman" w:cs="Times New Roman" w:eastAsia="Times New Roman" w:hAnsi="Times New Roman"/>
          <w:sz w:val="12"/>
          <w:szCs w:val="12"/>
          <w:b w:val="1"/>
          <w:bCs w:val="1"/>
          <w:color w:val="auto"/>
        </w:rPr>
        <w:t>of incorporation)</w:t>
      </w:r>
    </w:p>
    <w:p>
      <w:pPr>
        <w:spacing w:after="0" w:line="20" w:lineRule="exact"/>
        <w:rPr>
          <w:sz w:val="24"/>
          <w:szCs w:val="24"/>
          <w:color w:val="auto"/>
        </w:rPr>
      </w:pPr>
      <w:r>
        <w:rPr>
          <w:sz w:val="24"/>
          <w:szCs w:val="24"/>
          <w:color w:val="auto"/>
        </w:rPr>
        <w:br w:type="column"/>
      </w:r>
    </w:p>
    <w:p>
      <w:pPr>
        <w:spacing w:after="0" w:line="114" w:lineRule="exact"/>
        <w:rPr>
          <w:sz w:val="24"/>
          <w:szCs w:val="24"/>
          <w:color w:val="auto"/>
        </w:rPr>
      </w:pPr>
    </w:p>
    <w:p>
      <w:pPr>
        <w:ind w:left="100"/>
        <w:spacing w:after="0"/>
        <w:rPr>
          <w:sz w:val="20"/>
          <w:szCs w:val="20"/>
          <w:color w:val="auto"/>
        </w:rPr>
      </w:pPr>
      <w:r>
        <w:rPr>
          <w:rFonts w:ascii="Times New Roman" w:cs="Times New Roman" w:eastAsia="Times New Roman" w:hAnsi="Times New Roman"/>
          <w:sz w:val="12"/>
          <w:szCs w:val="12"/>
          <w:b w:val="1"/>
          <w:bCs w:val="1"/>
          <w:color w:val="auto"/>
        </w:rPr>
        <w:t>001-39826</w:t>
      </w:r>
    </w:p>
    <w:p>
      <w:pPr>
        <w:spacing w:after="0" w:line="21"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(Commission</w:t>
      </w:r>
    </w:p>
    <w:p>
      <w:pPr>
        <w:spacing w:after="0" w:line="6"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File Number)</w:t>
      </w:r>
    </w:p>
    <w:p>
      <w:pPr>
        <w:spacing w:after="0" w:line="20" w:lineRule="exact"/>
        <w:rPr>
          <w:sz w:val="24"/>
          <w:szCs w:val="24"/>
          <w:color w:val="auto"/>
        </w:rPr>
      </w:pPr>
      <w:r>
        <w:rPr>
          <w:sz w:val="24"/>
          <w:szCs w:val="24"/>
          <w:color w:val="auto"/>
        </w:rPr>
        <w:br w:type="column"/>
      </w:r>
    </w:p>
    <w:p>
      <w:pPr>
        <w:spacing w:after="0" w:line="114" w:lineRule="exact"/>
        <w:rPr>
          <w:sz w:val="24"/>
          <w:szCs w:val="24"/>
          <w:color w:val="auto"/>
        </w:rPr>
      </w:pPr>
    </w:p>
    <w:p>
      <w:pPr>
        <w:ind w:left="180"/>
        <w:spacing w:after="0"/>
        <w:rPr>
          <w:sz w:val="20"/>
          <w:szCs w:val="20"/>
          <w:color w:val="auto"/>
        </w:rPr>
      </w:pPr>
      <w:r>
        <w:rPr>
          <w:rFonts w:ascii="Times New Roman" w:cs="Times New Roman" w:eastAsia="Times New Roman" w:hAnsi="Times New Roman"/>
          <w:sz w:val="12"/>
          <w:szCs w:val="12"/>
          <w:b w:val="1"/>
          <w:bCs w:val="1"/>
          <w:color w:val="auto"/>
        </w:rPr>
        <w:t>85-3118980</w:t>
      </w:r>
    </w:p>
    <w:p>
      <w:pPr>
        <w:spacing w:after="0" w:line="21"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2"/>
          <w:szCs w:val="12"/>
          <w:b w:val="1"/>
          <w:bCs w:val="1"/>
          <w:color w:val="auto"/>
        </w:rPr>
        <w:t>(I.R.S. Employer</w:t>
      </w:r>
    </w:p>
    <w:p>
      <w:pPr>
        <w:spacing w:after="0" w:line="6" w:lineRule="exact"/>
        <w:rPr>
          <w:sz w:val="24"/>
          <w:szCs w:val="24"/>
          <w:color w:val="auto"/>
        </w:rPr>
      </w:pPr>
    </w:p>
    <w:p>
      <w:pPr>
        <w:spacing w:after="0"/>
        <w:rPr>
          <w:sz w:val="20"/>
          <w:szCs w:val="20"/>
          <w:color w:val="auto"/>
        </w:rPr>
      </w:pPr>
      <w:r>
        <w:rPr>
          <w:rFonts w:ascii="Times New Roman" w:cs="Times New Roman" w:eastAsia="Times New Roman" w:hAnsi="Times New Roman"/>
          <w:sz w:val="11"/>
          <w:szCs w:val="11"/>
          <w:b w:val="1"/>
          <w:bCs w:val="1"/>
          <w:color w:val="auto"/>
        </w:rPr>
        <w:t>Identification No.)</w:t>
      </w:r>
    </w:p>
    <w:p>
      <w:pPr>
        <w:spacing w:after="0" w:line="146" w:lineRule="exact"/>
        <w:rPr>
          <w:sz w:val="24"/>
          <w:szCs w:val="24"/>
          <w:color w:val="auto"/>
        </w:rPr>
      </w:pPr>
    </w:p>
    <w:p>
      <w:pPr>
        <w:sectPr>
          <w:pgSz w:w="11900" w:h="16838" w:orient="portrait"/>
          <w:cols w:equalWidth="0" w:num="3">
            <w:col w:w="4580" w:space="720"/>
            <w:col w:w="3000" w:space="720"/>
            <w:col w:w="2280"/>
          </w:cols>
          <w:pgMar w:left="300" w:top="540" w:right="299" w:bottom="1440" w:gutter="0" w:footer="0" w:header="0"/>
          <w:type w:val="continuous"/>
        </w:sectPr>
      </w:pPr>
    </w:p>
    <w:p>
      <w:pPr>
        <w:ind w:left="2040"/>
        <w:spacing w:after="0"/>
        <w:rPr>
          <w:sz w:val="20"/>
          <w:szCs w:val="20"/>
          <w:color w:val="auto"/>
        </w:rPr>
      </w:pPr>
      <w:r>
        <w:rPr>
          <w:rFonts w:ascii="Times New Roman" w:cs="Times New Roman" w:eastAsia="Times New Roman" w:hAnsi="Times New Roman"/>
          <w:sz w:val="12"/>
          <w:szCs w:val="12"/>
          <w:b w:val="1"/>
          <w:bCs w:val="1"/>
          <w:color w:val="auto"/>
        </w:rPr>
        <w:t>435 Ericksen Ave, Suite 250</w:t>
      </w:r>
    </w:p>
    <w:p>
      <w:pPr>
        <w:spacing w:after="0" w:line="21" w:lineRule="exact"/>
        <w:rPr>
          <w:sz w:val="24"/>
          <w:szCs w:val="24"/>
          <w:color w:val="auto"/>
        </w:rPr>
      </w:pPr>
    </w:p>
    <w:p>
      <w:pPr>
        <w:ind w:left="1960"/>
        <w:spacing w:after="0"/>
        <w:rPr>
          <w:sz w:val="20"/>
          <w:szCs w:val="20"/>
          <w:color w:val="auto"/>
        </w:rPr>
      </w:pPr>
      <w:r>
        <w:rPr>
          <w:rFonts w:ascii="Times New Roman" w:cs="Times New Roman" w:eastAsia="Times New Roman" w:hAnsi="Times New Roman"/>
          <w:sz w:val="12"/>
          <w:szCs w:val="12"/>
          <w:b w:val="1"/>
          <w:bCs w:val="1"/>
          <w:color w:val="auto"/>
        </w:rPr>
        <w:t>Bainbridge Island, Washington</w:t>
      </w:r>
    </w:p>
    <w:p>
      <w:pPr>
        <w:spacing w:after="0" w:line="6" w:lineRule="exact"/>
        <w:rPr>
          <w:sz w:val="24"/>
          <w:szCs w:val="24"/>
          <w:color w:val="auto"/>
        </w:rPr>
      </w:pPr>
    </w:p>
    <w:p>
      <w:pPr>
        <w:ind w:left="1740"/>
        <w:spacing w:after="0"/>
        <w:rPr>
          <w:sz w:val="20"/>
          <w:szCs w:val="20"/>
          <w:color w:val="auto"/>
        </w:rPr>
      </w:pPr>
      <w:r>
        <w:rPr>
          <w:rFonts w:ascii="Times New Roman" w:cs="Times New Roman" w:eastAsia="Times New Roman" w:hAnsi="Times New Roman"/>
          <w:sz w:val="11"/>
          <w:szCs w:val="11"/>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line="124" w:lineRule="exact"/>
        <w:rPr>
          <w:sz w:val="24"/>
          <w:szCs w:val="24"/>
          <w:color w:val="auto"/>
        </w:rPr>
      </w:pPr>
    </w:p>
    <w:p>
      <w:pPr>
        <w:jc w:val="center"/>
        <w:ind w:right="2500"/>
        <w:spacing w:after="0"/>
        <w:rPr>
          <w:sz w:val="20"/>
          <w:szCs w:val="20"/>
          <w:color w:val="auto"/>
        </w:rPr>
      </w:pPr>
      <w:r>
        <w:rPr>
          <w:rFonts w:ascii="Times New Roman" w:cs="Times New Roman" w:eastAsia="Times New Roman" w:hAnsi="Times New Roman"/>
          <w:sz w:val="12"/>
          <w:szCs w:val="12"/>
          <w:b w:val="1"/>
          <w:bCs w:val="1"/>
          <w:color w:val="auto"/>
        </w:rPr>
        <w:t>98110</w:t>
      </w:r>
    </w:p>
    <w:p>
      <w:pPr>
        <w:spacing w:after="0" w:line="21" w:lineRule="exact"/>
        <w:rPr>
          <w:sz w:val="24"/>
          <w:szCs w:val="24"/>
          <w:color w:val="auto"/>
        </w:rPr>
      </w:pPr>
    </w:p>
    <w:p>
      <w:pPr>
        <w:jc w:val="center"/>
        <w:ind w:right="2500"/>
        <w:spacing w:after="0"/>
        <w:rPr>
          <w:sz w:val="20"/>
          <w:szCs w:val="20"/>
          <w:color w:val="auto"/>
        </w:rPr>
      </w:pPr>
      <w:r>
        <w:rPr>
          <w:rFonts w:ascii="Times New Roman" w:cs="Times New Roman" w:eastAsia="Times New Roman" w:hAnsi="Times New Roman"/>
          <w:sz w:val="11"/>
          <w:szCs w:val="11"/>
          <w:b w:val="1"/>
          <w:bCs w:val="1"/>
          <w:color w:val="auto"/>
        </w:rPr>
        <w:t>(Zip Code)</w:t>
      </w:r>
    </w:p>
    <w:p>
      <w:pPr>
        <w:spacing w:after="0" w:line="147" w:lineRule="exact"/>
        <w:rPr>
          <w:sz w:val="24"/>
          <w:szCs w:val="24"/>
          <w:color w:val="auto"/>
        </w:rPr>
      </w:pPr>
    </w:p>
    <w:p>
      <w:pPr>
        <w:sectPr>
          <w:pgSz w:w="11900" w:h="16838" w:orient="portrait"/>
          <w:cols w:equalWidth="0" w:num="2">
            <w:col w:w="7540" w:space="720"/>
            <w:col w:w="3040"/>
          </w:cols>
          <w:pgMar w:left="300" w:top="540" w:right="299" w:bottom="1440" w:gutter="0" w:footer="0" w:header="0"/>
          <w:type w:val="continuous"/>
        </w:sectPr>
      </w:pPr>
    </w:p>
    <w:p>
      <w:pPr>
        <w:jc w:val="center"/>
        <w:spacing w:after="0"/>
        <w:rPr>
          <w:sz w:val="20"/>
          <w:szCs w:val="20"/>
          <w:color w:val="auto"/>
        </w:rPr>
      </w:pPr>
      <w:r>
        <w:rPr>
          <w:rFonts w:ascii="Times New Roman" w:cs="Times New Roman" w:eastAsia="Times New Roman" w:hAnsi="Times New Roman"/>
          <w:sz w:val="12"/>
          <w:szCs w:val="12"/>
          <w:b w:val="1"/>
          <w:bCs w:val="1"/>
          <w:color w:val="auto"/>
        </w:rPr>
        <w:t>Registrant’s telephone number, including area code: (206) 414-1777</w:t>
      </w:r>
    </w:p>
    <w:p>
      <w:pPr>
        <w:spacing w:after="0" w:line="15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(Former name or former address, if changed since last report)</w:t>
      </w:r>
    </w:p>
    <w:p>
      <w:pPr>
        <w:spacing w:after="0" w:line="154"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color w:val="auto"/>
        </w:rPr>
        <w:t>Check the appropriate box below if the Form 8-K filing is intended to simultaneously satisfy the filing obligation of the registrant under any of the following provisions:</w:t>
      </w:r>
    </w:p>
    <w:p>
      <w:pPr>
        <w:spacing w:after="0" w:line="150" w:lineRule="exact"/>
        <w:rPr>
          <w:sz w:val="24"/>
          <w:szCs w:val="24"/>
          <w:color w:val="auto"/>
        </w:rPr>
      </w:pPr>
    </w:p>
    <w:p>
      <w:pPr>
        <w:ind w:left="420" w:hanging="212"/>
        <w:spacing w:after="0"/>
        <w:tabs>
          <w:tab w:leader="none" w:pos="420"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Written communications pursuant to Rule 425 under the Securities Act (17 CFR 230.425)</w:t>
      </w:r>
    </w:p>
    <w:p>
      <w:pPr>
        <w:spacing w:after="0" w:line="150" w:lineRule="exact"/>
        <w:rPr>
          <w:rFonts w:ascii="MS PGothic" w:cs="MS PGothic" w:eastAsia="MS PGothic" w:hAnsi="MS PGothic"/>
          <w:sz w:val="12"/>
          <w:szCs w:val="12"/>
          <w:color w:val="auto"/>
        </w:rPr>
      </w:pPr>
    </w:p>
    <w:p>
      <w:pPr>
        <w:ind w:left="420" w:hanging="212"/>
        <w:spacing w:after="0"/>
        <w:tabs>
          <w:tab w:leader="none" w:pos="420"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Soliciting material pursuant to Rule 14a-12 under the Exchange Act (17 CFR 240.14a-12)</w:t>
      </w:r>
    </w:p>
    <w:p>
      <w:pPr>
        <w:spacing w:after="0" w:line="150" w:lineRule="exact"/>
        <w:rPr>
          <w:rFonts w:ascii="MS PGothic" w:cs="MS PGothic" w:eastAsia="MS PGothic" w:hAnsi="MS PGothic"/>
          <w:sz w:val="12"/>
          <w:szCs w:val="12"/>
          <w:color w:val="auto"/>
        </w:rPr>
      </w:pPr>
    </w:p>
    <w:p>
      <w:pPr>
        <w:ind w:left="420" w:hanging="212"/>
        <w:spacing w:after="0"/>
        <w:tabs>
          <w:tab w:leader="none" w:pos="420"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Pre-commencement communications pursuant to Rule 14d-2(b) under the Exchange Act (17 CFR 240.14d-2(b))</w:t>
      </w:r>
    </w:p>
    <w:p>
      <w:pPr>
        <w:spacing w:after="0" w:line="150" w:lineRule="exact"/>
        <w:rPr>
          <w:rFonts w:ascii="MS PGothic" w:cs="MS PGothic" w:eastAsia="MS PGothic" w:hAnsi="MS PGothic"/>
          <w:sz w:val="12"/>
          <w:szCs w:val="12"/>
          <w:color w:val="auto"/>
        </w:rPr>
      </w:pPr>
    </w:p>
    <w:p>
      <w:pPr>
        <w:ind w:right="5520" w:firstLine="208"/>
        <w:spacing w:after="0" w:line="497" w:lineRule="auto"/>
        <w:tabs>
          <w:tab w:leader="none" w:pos="432"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Pre-commencement communications pursuant to Rule 13e-4(c) under the Exchange Act (17 CFR 240.13e-4(c)) Securities registered pursuant to Section 12(b) of the Act:</w:t>
      </w:r>
    </w:p>
    <w:tbl>
      <w:tblPr>
        <w:tblLayout w:type="fixed"/>
        <w:tblInd w:w="0" w:type="dxa"/>
        <w:tblCellMar>
          <w:top w:w="0" w:type="dxa"/>
          <w:left w:w="0" w:type="dxa"/>
          <w:bottom w:w="0" w:type="dxa"/>
          <w:right w:w="0" w:type="dxa"/>
        </w:tblCellMar>
      </w:tblPr>
      <w:tr>
        <w:trPr>
          <w:trHeight w:val="159"/>
        </w:trPr>
        <w:tc>
          <w:tcPr>
            <w:tcW w:w="4520" w:type="dxa"/>
            <w:vAlign w:val="bottom"/>
            <w:gridSpan w:val="2"/>
          </w:tcPr>
          <w:p>
            <w:pPr>
              <w:jc w:val="center"/>
              <w:ind w:right="220"/>
              <w:spacing w:after="0"/>
              <w:rPr>
                <w:sz w:val="20"/>
                <w:szCs w:val="20"/>
                <w:color w:val="auto"/>
              </w:rPr>
            </w:pPr>
            <w:r>
              <w:rPr>
                <w:rFonts w:ascii="Times New Roman" w:cs="Times New Roman" w:eastAsia="Times New Roman" w:hAnsi="Times New Roman"/>
                <w:sz w:val="12"/>
                <w:szCs w:val="12"/>
                <w:b w:val="1"/>
                <w:bCs w:val="1"/>
                <w:color w:val="auto"/>
                <w:w w:val="99"/>
              </w:rPr>
              <w:t>Title of each class</w:t>
            </w:r>
          </w:p>
        </w:tc>
        <w:tc>
          <w:tcPr>
            <w:tcW w:w="2480" w:type="dxa"/>
            <w:vAlign w:val="bottom"/>
            <w:gridSpan w:val="2"/>
          </w:tcPr>
          <w:p>
            <w:pPr>
              <w:jc w:val="center"/>
              <w:ind w:right="220"/>
              <w:spacing w:after="0"/>
              <w:rPr>
                <w:sz w:val="20"/>
                <w:szCs w:val="20"/>
                <w:color w:val="auto"/>
              </w:rPr>
            </w:pPr>
            <w:r>
              <w:rPr>
                <w:rFonts w:ascii="Times New Roman" w:cs="Times New Roman" w:eastAsia="Times New Roman" w:hAnsi="Times New Roman"/>
                <w:sz w:val="12"/>
                <w:szCs w:val="12"/>
                <w:b w:val="1"/>
                <w:bCs w:val="1"/>
                <w:color w:val="auto"/>
                <w:w w:val="97"/>
              </w:rPr>
              <w:t>Trading Symbol(s)</w:t>
            </w:r>
          </w:p>
        </w:tc>
        <w:tc>
          <w:tcPr>
            <w:tcW w:w="430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Name of each exchange on which registered</w:t>
            </w:r>
          </w:p>
        </w:tc>
      </w:tr>
      <w:tr>
        <w:trPr>
          <w:trHeight w:val="144"/>
        </w:trPr>
        <w:tc>
          <w:tcPr>
            <w:tcW w:w="43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Class A common stock, par value $0.0001 per share</w:t>
            </w:r>
          </w:p>
        </w:tc>
        <w:tc>
          <w:tcPr>
            <w:tcW w:w="220" w:type="dxa"/>
            <w:vAlign w:val="bottom"/>
          </w:tcPr>
          <w:p>
            <w:pPr>
              <w:spacing w:after="0"/>
              <w:rPr>
                <w:sz w:val="12"/>
                <w:szCs w:val="12"/>
                <w:color w:val="auto"/>
              </w:rPr>
            </w:pPr>
          </w:p>
        </w:tc>
        <w:tc>
          <w:tcPr>
            <w:tcW w:w="22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BNZI</w:t>
            </w:r>
          </w:p>
        </w:tc>
        <w:tc>
          <w:tcPr>
            <w:tcW w:w="220" w:type="dxa"/>
            <w:vAlign w:val="bottom"/>
          </w:tcPr>
          <w:p>
            <w:pPr>
              <w:spacing w:after="0"/>
              <w:rPr>
                <w:sz w:val="12"/>
                <w:szCs w:val="12"/>
                <w:color w:val="auto"/>
              </w:rPr>
            </w:pPr>
          </w:p>
        </w:tc>
        <w:tc>
          <w:tcPr>
            <w:tcW w:w="43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rPr>
              <w:t>The Nasdaq Capital Market</w:t>
            </w:r>
          </w:p>
        </w:tc>
      </w:tr>
      <w:tr>
        <w:trPr>
          <w:trHeight w:val="266"/>
        </w:trPr>
        <w:tc>
          <w:tcPr>
            <w:tcW w:w="4520" w:type="dxa"/>
            <w:vAlign w:val="bottom"/>
            <w:gridSpan w:val="2"/>
          </w:tcPr>
          <w:p>
            <w:pPr>
              <w:jc w:val="center"/>
              <w:ind w:right="220"/>
              <w:spacing w:after="0"/>
              <w:rPr>
                <w:sz w:val="20"/>
                <w:szCs w:val="20"/>
                <w:color w:val="auto"/>
              </w:rPr>
            </w:pPr>
            <w:r>
              <w:rPr>
                <w:rFonts w:ascii="Times New Roman" w:cs="Times New Roman" w:eastAsia="Times New Roman" w:hAnsi="Times New Roman"/>
                <w:sz w:val="12"/>
                <w:szCs w:val="12"/>
                <w:color w:val="auto"/>
                <w:w w:val="99"/>
              </w:rPr>
              <w:t>Redeemable Warrants, each whole warrant exercisable for one share of Class A common</w:t>
            </w:r>
          </w:p>
        </w:tc>
        <w:tc>
          <w:tcPr>
            <w:tcW w:w="2480" w:type="dxa"/>
            <w:vAlign w:val="bottom"/>
            <w:gridSpan w:val="2"/>
          </w:tcPr>
          <w:p>
            <w:pPr>
              <w:jc w:val="center"/>
              <w:ind w:right="220"/>
              <w:spacing w:after="0"/>
              <w:rPr>
                <w:sz w:val="20"/>
                <w:szCs w:val="20"/>
                <w:color w:val="auto"/>
              </w:rPr>
            </w:pPr>
            <w:r>
              <w:rPr>
                <w:rFonts w:ascii="Times New Roman" w:cs="Times New Roman" w:eastAsia="Times New Roman" w:hAnsi="Times New Roman"/>
                <w:sz w:val="12"/>
                <w:szCs w:val="12"/>
                <w:color w:val="auto"/>
                <w:w w:val="96"/>
              </w:rPr>
              <w:t>BNZIW</w:t>
            </w:r>
          </w:p>
        </w:tc>
        <w:tc>
          <w:tcPr>
            <w:tcW w:w="430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The Nasdaq Capital Market</w:t>
            </w:r>
          </w:p>
        </w:tc>
      </w:tr>
      <w:tr>
        <w:trPr>
          <w:trHeight w:val="155"/>
        </w:trPr>
        <w:tc>
          <w:tcPr>
            <w:tcW w:w="4520" w:type="dxa"/>
            <w:vAlign w:val="bottom"/>
            <w:gridSpan w:val="2"/>
          </w:tcPr>
          <w:p>
            <w:pPr>
              <w:jc w:val="center"/>
              <w:ind w:right="240"/>
              <w:spacing w:after="0"/>
              <w:rPr>
                <w:sz w:val="20"/>
                <w:szCs w:val="20"/>
                <w:color w:val="auto"/>
              </w:rPr>
            </w:pPr>
            <w:r>
              <w:rPr>
                <w:rFonts w:ascii="Times New Roman" w:cs="Times New Roman" w:eastAsia="Times New Roman" w:hAnsi="Times New Roman"/>
                <w:sz w:val="12"/>
                <w:szCs w:val="12"/>
                <w:color w:val="auto"/>
                <w:w w:val="99"/>
              </w:rPr>
              <w:t>stock at an exercise price of $11.50</w:t>
            </w:r>
          </w:p>
        </w:tc>
        <w:tc>
          <w:tcPr>
            <w:tcW w:w="2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300" w:type="dxa"/>
            <w:vAlign w:val="bottom"/>
          </w:tcPr>
          <w:p>
            <w:pPr>
              <w:spacing w:after="0"/>
              <w:rPr>
                <w:sz w:val="13"/>
                <w:szCs w:val="13"/>
                <w:color w:val="auto"/>
              </w:rPr>
            </w:pPr>
          </w:p>
        </w:tc>
      </w:tr>
    </w:tbl>
    <w:p>
      <w:pPr>
        <w:spacing w:after="0" w:line="133" w:lineRule="exact"/>
        <w:rPr>
          <w:sz w:val="24"/>
          <w:szCs w:val="24"/>
          <w:color w:val="auto"/>
        </w:rPr>
      </w:pPr>
    </w:p>
    <w:p>
      <w:pPr>
        <w:jc w:val="both"/>
        <w:ind w:right="20"/>
        <w:spacing w:after="0" w:line="279" w:lineRule="auto"/>
        <w:rPr>
          <w:sz w:val="20"/>
          <w:szCs w:val="20"/>
          <w:color w:val="auto"/>
        </w:rPr>
      </w:pPr>
      <w:r>
        <w:rPr>
          <w:rFonts w:ascii="Times New Roman" w:cs="Times New Roman" w:eastAsia="Times New Roman" w:hAnsi="Times New Roman"/>
          <w:sz w:val="12"/>
          <w:szCs w:val="12"/>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83" w:lineRule="exact"/>
        <w:rPr>
          <w:sz w:val="24"/>
          <w:szCs w:val="24"/>
          <w:color w:val="auto"/>
        </w:rPr>
      </w:pPr>
    </w:p>
    <w:p>
      <w:pPr>
        <w:spacing w:after="0" w:line="138" w:lineRule="exact"/>
        <w:rPr>
          <w:sz w:val="20"/>
          <w:szCs w:val="20"/>
          <w:color w:val="auto"/>
        </w:rPr>
      </w:pPr>
      <w:r>
        <w:rPr>
          <w:rFonts w:ascii="Times New Roman" w:cs="Times New Roman" w:eastAsia="Times New Roman" w:hAnsi="Times New Roman"/>
          <w:sz w:val="12"/>
          <w:szCs w:val="12"/>
          <w:color w:val="auto"/>
        </w:rPr>
        <w:t xml:space="preserve">Emerging growth company </w:t>
      </w:r>
      <w:r>
        <w:rPr>
          <w:rFonts w:ascii="MS PGothic" w:cs="MS PGothic" w:eastAsia="MS PGothic" w:hAnsi="MS PGothic"/>
          <w:sz w:val="12"/>
          <w:szCs w:val="12"/>
          <w:color w:val="auto"/>
        </w:rPr>
        <w:t>☒</w:t>
      </w:r>
    </w:p>
    <w:p>
      <w:pPr>
        <w:spacing w:after="0" w:line="178" w:lineRule="exact"/>
        <w:rPr>
          <w:sz w:val="24"/>
          <w:szCs w:val="24"/>
          <w:color w:val="auto"/>
        </w:rPr>
      </w:pPr>
    </w:p>
    <w:p>
      <w:pPr>
        <w:jc w:val="both"/>
        <w:ind w:right="20"/>
        <w:spacing w:after="0" w:line="159" w:lineRule="exact"/>
        <w:rPr>
          <w:sz w:val="20"/>
          <w:szCs w:val="20"/>
          <w:color w:val="auto"/>
        </w:rPr>
      </w:pPr>
      <w:r>
        <w:rPr>
          <w:rFonts w:ascii="Times New Roman" w:cs="Times New Roman" w:eastAsia="Times New Roman" w:hAnsi="Times New Roman"/>
          <w:sz w:val="12"/>
          <w:szCs w:val="12"/>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80645</wp:posOffset>
            </wp:positionV>
            <wp:extent cx="7178040" cy="1143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78040" cy="1143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103505</wp:posOffset>
            </wp:positionV>
            <wp:extent cx="7178040" cy="285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78040" cy="2857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314960</wp:posOffset>
            </wp:positionV>
            <wp:extent cx="7178040" cy="5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540" w:right="299" w:bottom="1440"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12"/>
          <w:szCs w:val="12"/>
          <w:b w:val="1"/>
          <w:bCs w:val="1"/>
          <w:color w:val="auto"/>
        </w:rPr>
        <w:t>Explanatory Note</w:t>
      </w:r>
    </w:p>
    <w:p>
      <w:pPr>
        <w:spacing w:after="0" w:line="150"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2"/>
          <w:szCs w:val="12"/>
          <w:color w:val="auto"/>
        </w:rPr>
        <w:t>As previously disclosed in its Current Report on Form 8-K filed with the Securities and Exchange Commission on December 19, 2024 (the “</w:t>
      </w:r>
      <w:r>
        <w:rPr>
          <w:rFonts w:ascii="Times New Roman" w:cs="Times New Roman" w:eastAsia="Times New Roman" w:hAnsi="Times New Roman"/>
          <w:sz w:val="12"/>
          <w:szCs w:val="12"/>
          <w:b w:val="1"/>
          <w:bCs w:val="1"/>
          <w:color w:val="auto"/>
        </w:rPr>
        <w:t>Original Form 8-K</w:t>
      </w:r>
      <w:r>
        <w:rPr>
          <w:rFonts w:ascii="Times New Roman" w:cs="Times New Roman" w:eastAsia="Times New Roman" w:hAnsi="Times New Roman"/>
          <w:sz w:val="12"/>
          <w:szCs w:val="12"/>
          <w:color w:val="auto"/>
        </w:rPr>
        <w:t>”), on December 18, 2024 (the “Closing Date”), Banzai International, Inc., a Delaware corporation (“</w:t>
      </w:r>
      <w:r>
        <w:rPr>
          <w:rFonts w:ascii="Times New Roman" w:cs="Times New Roman" w:eastAsia="Times New Roman" w:hAnsi="Times New Roman"/>
          <w:sz w:val="12"/>
          <w:szCs w:val="12"/>
          <w:b w:val="1"/>
          <w:bCs w:val="1"/>
          <w:color w:val="auto"/>
        </w:rPr>
        <w:t>Banzai</w:t>
      </w:r>
      <w:r>
        <w:rPr>
          <w:rFonts w:ascii="Times New Roman" w:cs="Times New Roman" w:eastAsia="Times New Roman" w:hAnsi="Times New Roman"/>
          <w:sz w:val="12"/>
          <w:szCs w:val="12"/>
          <w:color w:val="auto"/>
        </w:rPr>
        <w:t>” or the “</w:t>
      </w:r>
      <w:r>
        <w:rPr>
          <w:rFonts w:ascii="Times New Roman" w:cs="Times New Roman" w:eastAsia="Times New Roman" w:hAnsi="Times New Roman"/>
          <w:sz w:val="12"/>
          <w:szCs w:val="12"/>
          <w:b w:val="1"/>
          <w:bCs w:val="1"/>
          <w:color w:val="auto"/>
        </w:rPr>
        <w:t>Company</w:t>
      </w:r>
      <w:r>
        <w:rPr>
          <w:rFonts w:ascii="Times New Roman" w:cs="Times New Roman" w:eastAsia="Times New Roman" w:hAnsi="Times New Roman"/>
          <w:sz w:val="12"/>
          <w:szCs w:val="12"/>
          <w:color w:val="auto"/>
        </w:rPr>
        <w:t>”), closed a merger (the “</w:t>
      </w:r>
      <w:r>
        <w:rPr>
          <w:rFonts w:ascii="Times New Roman" w:cs="Times New Roman" w:eastAsia="Times New Roman" w:hAnsi="Times New Roman"/>
          <w:sz w:val="12"/>
          <w:szCs w:val="12"/>
          <w:b w:val="1"/>
          <w:bCs w:val="1"/>
          <w:color w:val="auto"/>
        </w:rPr>
        <w:t>Merger</w:t>
      </w:r>
      <w:r>
        <w:rPr>
          <w:rFonts w:ascii="Times New Roman" w:cs="Times New Roman" w:eastAsia="Times New Roman" w:hAnsi="Times New Roman"/>
          <w:sz w:val="12"/>
          <w:szCs w:val="12"/>
          <w:color w:val="auto"/>
        </w:rPr>
        <w:t>”, the consummation of the Merger, the “</w:t>
      </w:r>
      <w:r>
        <w:rPr>
          <w:rFonts w:ascii="Times New Roman" w:cs="Times New Roman" w:eastAsia="Times New Roman" w:hAnsi="Times New Roman"/>
          <w:sz w:val="12"/>
          <w:szCs w:val="12"/>
          <w:b w:val="1"/>
          <w:bCs w:val="1"/>
          <w:color w:val="auto"/>
        </w:rPr>
        <w:t>Closing</w:t>
      </w:r>
      <w:r>
        <w:rPr>
          <w:rFonts w:ascii="Times New Roman" w:cs="Times New Roman" w:eastAsia="Times New Roman" w:hAnsi="Times New Roman"/>
          <w:sz w:val="12"/>
          <w:szCs w:val="12"/>
          <w:color w:val="auto"/>
        </w:rPr>
        <w:t>”) with ClearDoc, Inc., a Delaware corporation doing business as OpenReel (“</w:t>
      </w:r>
      <w:r>
        <w:rPr>
          <w:rFonts w:ascii="Times New Roman" w:cs="Times New Roman" w:eastAsia="Times New Roman" w:hAnsi="Times New Roman"/>
          <w:sz w:val="12"/>
          <w:szCs w:val="12"/>
          <w:b w:val="1"/>
          <w:bCs w:val="1"/>
          <w:color w:val="auto"/>
        </w:rPr>
        <w:t>OpenReel</w:t>
      </w:r>
      <w:r>
        <w:rPr>
          <w:rFonts w:ascii="Times New Roman" w:cs="Times New Roman" w:eastAsia="Times New Roman" w:hAnsi="Times New Roman"/>
          <w:sz w:val="12"/>
          <w:szCs w:val="12"/>
          <w:color w:val="auto"/>
        </w:rPr>
        <w:t>”), pursuant to an Agreement and Plan of Merger (the “</w:t>
      </w:r>
      <w:r>
        <w:rPr>
          <w:rFonts w:ascii="Times New Roman" w:cs="Times New Roman" w:eastAsia="Times New Roman" w:hAnsi="Times New Roman"/>
          <w:sz w:val="12"/>
          <w:szCs w:val="12"/>
          <w:b w:val="1"/>
          <w:bCs w:val="1"/>
          <w:color w:val="auto"/>
        </w:rPr>
        <w:t>Merger Agreemen</w:t>
      </w:r>
      <w:r>
        <w:rPr>
          <w:rFonts w:ascii="Times New Roman" w:cs="Times New Roman" w:eastAsia="Times New Roman" w:hAnsi="Times New Roman"/>
          <w:sz w:val="12"/>
          <w:szCs w:val="12"/>
          <w:color w:val="auto"/>
        </w:rPr>
        <w:t>t”), dated December 10, 2024, by and among the Company, OpenReel, certain stockholders of OpenReel (the “</w:t>
      </w:r>
      <w:r>
        <w:rPr>
          <w:rFonts w:ascii="Times New Roman" w:cs="Times New Roman" w:eastAsia="Times New Roman" w:hAnsi="Times New Roman"/>
          <w:sz w:val="12"/>
          <w:szCs w:val="12"/>
          <w:b w:val="1"/>
          <w:bCs w:val="1"/>
          <w:color w:val="auto"/>
        </w:rPr>
        <w:t>OpenReel Stockholders</w:t>
      </w:r>
      <w:r>
        <w:rPr>
          <w:rFonts w:ascii="Times New Roman" w:cs="Times New Roman" w:eastAsia="Times New Roman" w:hAnsi="Times New Roman"/>
          <w:sz w:val="12"/>
          <w:szCs w:val="12"/>
          <w:color w:val="auto"/>
        </w:rPr>
        <w:t>”), and Banzai Reel Acquisition, Inc., a Delaware corporation and wholly owned subsidiary of Banzai (“</w:t>
      </w:r>
      <w:r>
        <w:rPr>
          <w:rFonts w:ascii="Times New Roman" w:cs="Times New Roman" w:eastAsia="Times New Roman" w:hAnsi="Times New Roman"/>
          <w:sz w:val="12"/>
          <w:szCs w:val="12"/>
          <w:b w:val="1"/>
          <w:bCs w:val="1"/>
          <w:color w:val="auto"/>
        </w:rPr>
        <w:t>Merger Sub</w:t>
      </w:r>
      <w:r>
        <w:rPr>
          <w:rFonts w:ascii="Times New Roman" w:cs="Times New Roman" w:eastAsia="Times New Roman" w:hAnsi="Times New Roman"/>
          <w:sz w:val="12"/>
          <w:szCs w:val="12"/>
          <w:color w:val="auto"/>
        </w:rPr>
        <w:t>”), that was formed solely for purposes of consummating the Merger. Upon Closing, the Merger Sub merged with and into OpenReel, with OpenReel being the surviving entity (the “</w:t>
      </w:r>
      <w:r>
        <w:rPr>
          <w:rFonts w:ascii="Times New Roman" w:cs="Times New Roman" w:eastAsia="Times New Roman" w:hAnsi="Times New Roman"/>
          <w:sz w:val="12"/>
          <w:szCs w:val="12"/>
          <w:b w:val="1"/>
          <w:bCs w:val="1"/>
          <w:color w:val="auto"/>
        </w:rPr>
        <w:t>Surviving Entity</w:t>
      </w:r>
      <w:r>
        <w:rPr>
          <w:rFonts w:ascii="Times New Roman" w:cs="Times New Roman" w:eastAsia="Times New Roman" w:hAnsi="Times New Roman"/>
          <w:sz w:val="12"/>
          <w:szCs w:val="12"/>
          <w:color w:val="auto"/>
        </w:rPr>
        <w:t>”) thereafter as a direct and wholly owned subsidiary of Banzai named “OpenReel, Inc.”</w:t>
      </w:r>
    </w:p>
    <w:p>
      <w:pPr>
        <w:spacing w:after="0" w:line="123" w:lineRule="exact"/>
        <w:rPr>
          <w:sz w:val="20"/>
          <w:szCs w:val="20"/>
          <w:color w:val="auto"/>
        </w:rPr>
      </w:pPr>
    </w:p>
    <w:p>
      <w:pPr>
        <w:jc w:val="both"/>
        <w:ind w:right="20"/>
        <w:spacing w:after="0" w:line="279" w:lineRule="auto"/>
        <w:rPr>
          <w:sz w:val="20"/>
          <w:szCs w:val="20"/>
          <w:color w:val="auto"/>
        </w:rPr>
      </w:pPr>
      <w:r>
        <w:rPr>
          <w:rFonts w:ascii="Times New Roman" w:cs="Times New Roman" w:eastAsia="Times New Roman" w:hAnsi="Times New Roman"/>
          <w:sz w:val="12"/>
          <w:szCs w:val="12"/>
          <w:color w:val="auto"/>
        </w:rPr>
        <w:t>This Amendment to the Original Form 8-K is being filed to amend and supplement the Original Form 8-K, the sole purpose of which is to provide the financial statements required by Item 9.01(a), which were excluded from the Original Form 8-K and are filed as exhibits hereto and are incorporated herein by reference. All other items in the Original Form 8-K remain the same.</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Item 9.01 Exhibits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(a) Financial Statements of Businesses Acquired.</w:t>
      </w:r>
    </w:p>
    <w:p>
      <w:pPr>
        <w:spacing w:after="0" w:line="150"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2"/>
          <w:szCs w:val="12"/>
          <w:color w:val="auto"/>
        </w:rPr>
        <w:t>The audited financial statements of OpenReel, which comprise the balance sheets as of December 31, 2023 and 2022, the related statements of operations, members’ equity, and cash flows for the years then ended, and the related notes to the audited financial statements, are filed as Exhibit 99.1 hereto and incorporated by reference herein.</w:t>
      </w:r>
    </w:p>
    <w:p>
      <w:pPr>
        <w:spacing w:after="0" w:line="111"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2"/>
          <w:szCs w:val="12"/>
          <w:color w:val="auto"/>
        </w:rPr>
        <w:t>The unaudited quarterly financial statements of OpenReel, which comprise the balance sheet as of September 30, 2024, the related statements of operations, members’ equity, and cash flows for the nine-month periods ended September 30, 2024 and 2023, and the related notes to the unaudited quarterly financial statements, are filed as Exhibit 99.2 hereto and incorporated by reference herein.</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(b) Pro Forma Financial Information.</w:t>
      </w:r>
    </w:p>
    <w:p>
      <w:pPr>
        <w:spacing w:after="0" w:line="150"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2"/>
          <w:szCs w:val="12"/>
          <w:color w:val="auto"/>
        </w:rPr>
        <w:t>The unaudited pro forma condensed combined financial statements as of and for the nine-month period ended September 30, 2024 and for the year ended December 31, 2023, and the related notes thereto, are filed as Exhibit 99.3 hereto and incorporated by reference herein.</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72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(d) Exhibits</w:t>
            </w:r>
          </w:p>
        </w:tc>
        <w:tc>
          <w:tcPr>
            <w:tcW w:w="1340" w:type="dxa"/>
            <w:vAlign w:val="bottom"/>
          </w:tcPr>
          <w:p>
            <w:pPr>
              <w:spacing w:after="0"/>
              <w:rPr>
                <w:sz w:val="13"/>
                <w:szCs w:val="13"/>
                <w:color w:val="auto"/>
              </w:rPr>
            </w:pPr>
          </w:p>
        </w:tc>
        <w:tc>
          <w:tcPr>
            <w:tcW w:w="380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2940" w:type="dxa"/>
            <w:vAlign w:val="bottom"/>
          </w:tcPr>
          <w:p>
            <w:pPr>
              <w:spacing w:after="0"/>
              <w:rPr>
                <w:sz w:val="13"/>
                <w:szCs w:val="13"/>
                <w:color w:val="auto"/>
              </w:rPr>
            </w:pPr>
          </w:p>
        </w:tc>
        <w:tc>
          <w:tcPr>
            <w:tcW w:w="1020" w:type="dxa"/>
            <w:vAlign w:val="bottom"/>
          </w:tcPr>
          <w:p>
            <w:pPr>
              <w:spacing w:after="0"/>
              <w:rPr>
                <w:sz w:val="13"/>
                <w:szCs w:val="13"/>
                <w:color w:val="auto"/>
              </w:rPr>
            </w:pPr>
          </w:p>
        </w:tc>
      </w:tr>
      <w:tr>
        <w:trPr>
          <w:trHeight w:val="288"/>
        </w:trPr>
        <w:tc>
          <w:tcPr>
            <w:tcW w:w="72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Exhibit No.</w:t>
            </w:r>
          </w:p>
        </w:tc>
        <w:tc>
          <w:tcPr>
            <w:tcW w:w="10580" w:type="dxa"/>
            <w:vAlign w:val="bottom"/>
            <w:gridSpan w:val="5"/>
          </w:tcPr>
          <w:p>
            <w:pPr>
              <w:spacing w:after="0"/>
              <w:rPr>
                <w:sz w:val="20"/>
                <w:szCs w:val="20"/>
                <w:color w:val="auto"/>
              </w:rPr>
            </w:pPr>
            <w:r>
              <w:rPr>
                <w:rFonts w:ascii="Times New Roman" w:cs="Times New Roman" w:eastAsia="Times New Roman" w:hAnsi="Times New Roman"/>
                <w:sz w:val="12"/>
                <w:szCs w:val="12"/>
                <w:b w:val="1"/>
                <w:bCs w:val="1"/>
                <w:color w:val="auto"/>
              </w:rPr>
              <w:t>Description</w:t>
            </w:r>
          </w:p>
        </w:tc>
      </w:tr>
      <w:tr>
        <w:trPr>
          <w:trHeight w:val="106"/>
        </w:trPr>
        <w:tc>
          <w:tcPr>
            <w:tcW w:w="640" w:type="dxa"/>
            <w:vAlign w:val="bottom"/>
            <w:tcBorders>
              <w:top w:val="single" w:sz="8" w:color="auto"/>
            </w:tcBorders>
            <w:shd w:val="clear" w:color="auto" w:fill="CCEEFF"/>
          </w:tcPr>
          <w:p>
            <w:pPr>
              <w:spacing w:after="0" w:line="106" w:lineRule="exact"/>
              <w:rPr>
                <w:sz w:val="20"/>
                <w:szCs w:val="20"/>
                <w:color w:val="auto"/>
              </w:rPr>
            </w:pPr>
            <w:r>
              <w:rPr>
                <w:rFonts w:ascii="Times New Roman" w:cs="Times New Roman" w:eastAsia="Times New Roman" w:hAnsi="Times New Roman"/>
                <w:sz w:val="12"/>
                <w:szCs w:val="12"/>
                <w:color w:val="auto"/>
              </w:rPr>
              <w:t>23.1</w:t>
            </w:r>
          </w:p>
        </w:tc>
        <w:tc>
          <w:tcPr>
            <w:tcW w:w="80" w:type="dxa"/>
            <w:vAlign w:val="bottom"/>
            <w:tcBorders>
              <w:top w:val="single" w:sz="8" w:color="CCEEFF"/>
            </w:tcBorders>
            <w:shd w:val="clear" w:color="auto" w:fill="CCEEFF"/>
          </w:tcPr>
          <w:p>
            <w:pPr>
              <w:spacing w:after="0"/>
              <w:rPr>
                <w:sz w:val="9"/>
                <w:szCs w:val="9"/>
                <w:color w:val="auto"/>
              </w:rPr>
            </w:pPr>
          </w:p>
        </w:tc>
        <w:tc>
          <w:tcPr>
            <w:tcW w:w="10580" w:type="dxa"/>
            <w:vAlign w:val="bottom"/>
            <w:tcBorders>
              <w:top w:val="single" w:sz="8" w:color="auto"/>
            </w:tcBorders>
            <w:gridSpan w:val="5"/>
            <w:shd w:val="clear" w:color="auto" w:fill="CCEEFF"/>
          </w:tcPr>
          <w:p>
            <w:pPr>
              <w:spacing w:after="0" w:line="106" w:lineRule="exact"/>
              <w:rPr>
                <w:sz w:val="20"/>
                <w:szCs w:val="20"/>
                <w:color w:val="auto"/>
              </w:rPr>
            </w:pPr>
            <w:r>
              <w:rPr>
                <w:rFonts w:ascii="Times New Roman" w:cs="Times New Roman" w:eastAsia="Times New Roman" w:hAnsi="Times New Roman"/>
                <w:sz w:val="12"/>
                <w:szCs w:val="12"/>
                <w:color w:val="0000EE"/>
              </w:rPr>
              <w:t>Consent of CBIZ CPAs P.C.</w:t>
            </w:r>
          </w:p>
        </w:tc>
      </w:tr>
      <w:tr>
        <w:trPr>
          <w:trHeight w:val="27"/>
        </w:trPr>
        <w:tc>
          <w:tcPr>
            <w:tcW w:w="6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340" w:type="dxa"/>
            <w:vAlign w:val="bottom"/>
            <w:shd w:val="clear" w:color="auto" w:fill="0000EE"/>
          </w:tcPr>
          <w:p>
            <w:pPr>
              <w:spacing w:after="0"/>
              <w:rPr>
                <w:sz w:val="2"/>
                <w:szCs w:val="2"/>
                <w:color w:val="auto"/>
              </w:rPr>
            </w:pPr>
          </w:p>
        </w:tc>
        <w:tc>
          <w:tcPr>
            <w:tcW w:w="380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c>
          <w:tcPr>
            <w:tcW w:w="294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r>
      <w:tr>
        <w:trPr>
          <w:trHeight w:val="124"/>
        </w:trPr>
        <w:tc>
          <w:tcPr>
            <w:tcW w:w="640" w:type="dxa"/>
            <w:vAlign w:val="bottom"/>
          </w:tcPr>
          <w:p>
            <w:pPr>
              <w:spacing w:after="0" w:line="117" w:lineRule="exact"/>
              <w:rPr>
                <w:sz w:val="20"/>
                <w:szCs w:val="20"/>
                <w:color w:val="auto"/>
              </w:rPr>
            </w:pPr>
            <w:r>
              <w:rPr>
                <w:rFonts w:ascii="Times New Roman" w:cs="Times New Roman" w:eastAsia="Times New Roman" w:hAnsi="Times New Roman"/>
                <w:sz w:val="12"/>
                <w:szCs w:val="12"/>
                <w:color w:val="auto"/>
              </w:rPr>
              <w:t>99.1</w:t>
            </w:r>
          </w:p>
        </w:tc>
        <w:tc>
          <w:tcPr>
            <w:tcW w:w="80" w:type="dxa"/>
            <w:vAlign w:val="bottom"/>
          </w:tcPr>
          <w:p>
            <w:pPr>
              <w:spacing w:after="0"/>
              <w:rPr>
                <w:sz w:val="10"/>
                <w:szCs w:val="10"/>
                <w:color w:val="auto"/>
              </w:rPr>
            </w:pPr>
          </w:p>
        </w:tc>
        <w:tc>
          <w:tcPr>
            <w:tcW w:w="5140" w:type="dxa"/>
            <w:vAlign w:val="bottom"/>
            <w:tcBorders>
              <w:bottom w:val="single" w:sz="8" w:color="0000EE"/>
            </w:tcBorders>
            <w:gridSpan w:val="2"/>
          </w:tcPr>
          <w:p>
            <w:pPr>
              <w:spacing w:after="0" w:line="117" w:lineRule="exact"/>
              <w:rPr>
                <w:sz w:val="20"/>
                <w:szCs w:val="20"/>
                <w:color w:val="auto"/>
              </w:rPr>
            </w:pPr>
            <w:r>
              <w:rPr>
                <w:rFonts w:ascii="Times New Roman" w:cs="Times New Roman" w:eastAsia="Times New Roman" w:hAnsi="Times New Roman"/>
                <w:sz w:val="12"/>
                <w:szCs w:val="12"/>
                <w:color w:val="0000EE"/>
                <w:w w:val="99"/>
              </w:rPr>
              <w:t>Audited financial statements of OpenReel as of December 31, 2023 and 2022 and for the years then ended.</w:t>
            </w:r>
          </w:p>
        </w:tc>
        <w:tc>
          <w:tcPr>
            <w:tcW w:w="5440" w:type="dxa"/>
            <w:vAlign w:val="bottom"/>
            <w:gridSpan w:val="3"/>
          </w:tcPr>
          <w:p>
            <w:pPr>
              <w:spacing w:after="0"/>
              <w:rPr>
                <w:sz w:val="10"/>
                <w:szCs w:val="10"/>
                <w:color w:val="auto"/>
              </w:rPr>
            </w:pPr>
          </w:p>
        </w:tc>
      </w:tr>
      <w:tr>
        <w:trPr>
          <w:trHeight w:val="117"/>
        </w:trPr>
        <w:tc>
          <w:tcPr>
            <w:tcW w:w="640" w:type="dxa"/>
            <w:vAlign w:val="bottom"/>
            <w:shd w:val="clear" w:color="auto" w:fill="CCEEFF"/>
          </w:tcPr>
          <w:p>
            <w:pPr>
              <w:spacing w:after="0" w:line="117" w:lineRule="exact"/>
              <w:rPr>
                <w:sz w:val="20"/>
                <w:szCs w:val="20"/>
                <w:color w:val="auto"/>
              </w:rPr>
            </w:pPr>
            <w:r>
              <w:rPr>
                <w:rFonts w:ascii="Times New Roman" w:cs="Times New Roman" w:eastAsia="Times New Roman" w:hAnsi="Times New Roman"/>
                <w:sz w:val="12"/>
                <w:szCs w:val="12"/>
                <w:color w:val="auto"/>
              </w:rPr>
              <w:t>99.2</w:t>
            </w:r>
          </w:p>
        </w:tc>
        <w:tc>
          <w:tcPr>
            <w:tcW w:w="80" w:type="dxa"/>
            <w:vAlign w:val="bottom"/>
            <w:shd w:val="clear" w:color="auto" w:fill="CCEEFF"/>
          </w:tcPr>
          <w:p>
            <w:pPr>
              <w:spacing w:after="0"/>
              <w:rPr>
                <w:sz w:val="10"/>
                <w:szCs w:val="10"/>
                <w:color w:val="auto"/>
              </w:rPr>
            </w:pPr>
          </w:p>
        </w:tc>
        <w:tc>
          <w:tcPr>
            <w:tcW w:w="10580" w:type="dxa"/>
            <w:vAlign w:val="bottom"/>
            <w:gridSpan w:val="5"/>
            <w:shd w:val="clear" w:color="auto" w:fill="CCEEFF"/>
          </w:tcPr>
          <w:p>
            <w:pPr>
              <w:spacing w:after="0" w:line="117" w:lineRule="exact"/>
              <w:rPr>
                <w:sz w:val="20"/>
                <w:szCs w:val="20"/>
                <w:color w:val="auto"/>
              </w:rPr>
            </w:pPr>
            <w:r>
              <w:rPr>
                <w:rFonts w:ascii="Times New Roman" w:cs="Times New Roman" w:eastAsia="Times New Roman" w:hAnsi="Times New Roman"/>
                <w:sz w:val="12"/>
                <w:szCs w:val="12"/>
                <w:color w:val="0000EE"/>
              </w:rPr>
              <w:t>Unaudted financial statements of OpenReel as of September 30, 2024 and for the nine-month period ended September 30, 2024 and 2023.</w:t>
            </w:r>
          </w:p>
        </w:tc>
      </w:tr>
      <w:tr>
        <w:trPr>
          <w:trHeight w:val="27"/>
        </w:trPr>
        <w:tc>
          <w:tcPr>
            <w:tcW w:w="6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340" w:type="dxa"/>
            <w:vAlign w:val="bottom"/>
            <w:shd w:val="clear" w:color="auto" w:fill="0000EE"/>
          </w:tcPr>
          <w:p>
            <w:pPr>
              <w:spacing w:after="0"/>
              <w:rPr>
                <w:sz w:val="2"/>
                <w:szCs w:val="2"/>
                <w:color w:val="auto"/>
              </w:rPr>
            </w:pPr>
          </w:p>
        </w:tc>
        <w:tc>
          <w:tcPr>
            <w:tcW w:w="3800" w:type="dxa"/>
            <w:vAlign w:val="bottom"/>
            <w:shd w:val="clear" w:color="auto" w:fill="0000EE"/>
          </w:tcPr>
          <w:p>
            <w:pPr>
              <w:spacing w:after="0"/>
              <w:rPr>
                <w:sz w:val="2"/>
                <w:szCs w:val="2"/>
                <w:color w:val="auto"/>
              </w:rPr>
            </w:pPr>
          </w:p>
        </w:tc>
        <w:tc>
          <w:tcPr>
            <w:tcW w:w="1480" w:type="dxa"/>
            <w:vAlign w:val="bottom"/>
            <w:shd w:val="clear" w:color="auto" w:fill="0000EE"/>
          </w:tcPr>
          <w:p>
            <w:pPr>
              <w:spacing w:after="0"/>
              <w:rPr>
                <w:sz w:val="2"/>
                <w:szCs w:val="2"/>
                <w:color w:val="auto"/>
              </w:rPr>
            </w:pPr>
          </w:p>
        </w:tc>
        <w:tc>
          <w:tcPr>
            <w:tcW w:w="294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r>
      <w:tr>
        <w:trPr>
          <w:trHeight w:val="124"/>
        </w:trPr>
        <w:tc>
          <w:tcPr>
            <w:tcW w:w="640" w:type="dxa"/>
            <w:vAlign w:val="bottom"/>
          </w:tcPr>
          <w:p>
            <w:pPr>
              <w:spacing w:after="0" w:line="117" w:lineRule="exact"/>
              <w:rPr>
                <w:sz w:val="20"/>
                <w:szCs w:val="20"/>
                <w:color w:val="auto"/>
              </w:rPr>
            </w:pPr>
            <w:r>
              <w:rPr>
                <w:rFonts w:ascii="Times New Roman" w:cs="Times New Roman" w:eastAsia="Times New Roman" w:hAnsi="Times New Roman"/>
                <w:sz w:val="12"/>
                <w:szCs w:val="12"/>
                <w:color w:val="auto"/>
              </w:rPr>
              <w:t>99.3</w:t>
            </w:r>
          </w:p>
        </w:tc>
        <w:tc>
          <w:tcPr>
            <w:tcW w:w="80" w:type="dxa"/>
            <w:vAlign w:val="bottom"/>
          </w:tcPr>
          <w:p>
            <w:pPr>
              <w:spacing w:after="0"/>
              <w:rPr>
                <w:sz w:val="10"/>
                <w:szCs w:val="10"/>
                <w:color w:val="auto"/>
              </w:rPr>
            </w:pPr>
          </w:p>
        </w:tc>
        <w:tc>
          <w:tcPr>
            <w:tcW w:w="9560" w:type="dxa"/>
            <w:vAlign w:val="bottom"/>
            <w:tcBorders>
              <w:bottom w:val="single" w:sz="8" w:color="0000EE"/>
            </w:tcBorders>
            <w:gridSpan w:val="4"/>
          </w:tcPr>
          <w:p>
            <w:pPr>
              <w:spacing w:after="0" w:line="117" w:lineRule="exact"/>
              <w:rPr>
                <w:sz w:val="20"/>
                <w:szCs w:val="20"/>
                <w:color w:val="auto"/>
              </w:rPr>
            </w:pPr>
            <w:r>
              <w:rPr>
                <w:rFonts w:ascii="Times New Roman" w:cs="Times New Roman" w:eastAsia="Times New Roman" w:hAnsi="Times New Roman"/>
                <w:sz w:val="12"/>
                <w:szCs w:val="12"/>
                <w:color w:val="0000EE"/>
                <w:w w:val="99"/>
              </w:rPr>
              <w:t>Unaudited pro forma condensed combined financial statements as of and for the nine-month period ended September 30, 2024 and for the year ended December 31, 2023, and the related notes thereto</w:t>
            </w:r>
          </w:p>
        </w:tc>
        <w:tc>
          <w:tcPr>
            <w:tcW w:w="1020" w:type="dxa"/>
            <w:vAlign w:val="bottom"/>
          </w:tcPr>
          <w:p>
            <w:pPr>
              <w:spacing w:after="0"/>
              <w:rPr>
                <w:sz w:val="10"/>
                <w:szCs w:val="10"/>
                <w:color w:val="auto"/>
              </w:rPr>
            </w:pPr>
          </w:p>
        </w:tc>
      </w:tr>
      <w:tr>
        <w:trPr>
          <w:trHeight w:val="144"/>
        </w:trPr>
        <w:tc>
          <w:tcPr>
            <w:tcW w:w="6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104</w:t>
            </w:r>
          </w:p>
        </w:tc>
        <w:tc>
          <w:tcPr>
            <w:tcW w:w="80" w:type="dxa"/>
            <w:vAlign w:val="bottom"/>
            <w:shd w:val="clear" w:color="auto" w:fill="CCEEFF"/>
          </w:tcPr>
          <w:p>
            <w:pPr>
              <w:spacing w:after="0"/>
              <w:rPr>
                <w:sz w:val="12"/>
                <w:szCs w:val="12"/>
                <w:color w:val="auto"/>
              </w:rPr>
            </w:pPr>
          </w:p>
        </w:tc>
        <w:tc>
          <w:tcPr>
            <w:tcW w:w="1058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2"/>
                <w:szCs w:val="12"/>
                <w:color w:val="auto"/>
              </w:rPr>
              <w:t>Cover Page Interactive Data File, formatted in Inline XBRL</w:t>
            </w:r>
          </w:p>
        </w:tc>
      </w:tr>
      <w:tr>
        <w:trPr>
          <w:trHeight w:val="144"/>
        </w:trPr>
        <w:tc>
          <w:tcPr>
            <w:tcW w:w="6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340" w:type="dxa"/>
            <w:vAlign w:val="bottom"/>
            <w:tcBorders>
              <w:bottom w:val="single" w:sz="8" w:color="auto"/>
            </w:tcBorders>
          </w:tcPr>
          <w:p>
            <w:pPr>
              <w:spacing w:after="0"/>
              <w:rPr>
                <w:sz w:val="12"/>
                <w:szCs w:val="12"/>
                <w:color w:val="auto"/>
              </w:rPr>
            </w:pPr>
          </w:p>
        </w:tc>
        <w:tc>
          <w:tcPr>
            <w:tcW w:w="3800" w:type="dxa"/>
            <w:vAlign w:val="bottom"/>
            <w:tcBorders>
              <w:bottom w:val="single" w:sz="8" w:color="auto"/>
            </w:tcBorders>
          </w:tcPr>
          <w:p>
            <w:pPr>
              <w:spacing w:after="0"/>
              <w:rPr>
                <w:sz w:val="12"/>
                <w:szCs w:val="12"/>
                <w:color w:val="auto"/>
              </w:rPr>
            </w:pPr>
          </w:p>
        </w:tc>
        <w:tc>
          <w:tcPr>
            <w:tcW w:w="1480" w:type="dxa"/>
            <w:vAlign w:val="bottom"/>
            <w:tcBorders>
              <w:bottom w:val="single" w:sz="8" w:color="auto"/>
            </w:tcBorders>
          </w:tcPr>
          <w:p>
            <w:pPr>
              <w:spacing w:after="0"/>
              <w:rPr>
                <w:sz w:val="12"/>
                <w:szCs w:val="12"/>
                <w:color w:val="auto"/>
              </w:rPr>
            </w:pPr>
          </w:p>
        </w:tc>
        <w:tc>
          <w:tcPr>
            <w:tcW w:w="294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spacing w:after="0"/>
              <w:rPr>
                <w:sz w:val="12"/>
                <w:szCs w:val="12"/>
                <w:color w:val="auto"/>
              </w:rPr>
            </w:pPr>
          </w:p>
        </w:tc>
      </w:tr>
      <w:tr>
        <w:trPr>
          <w:trHeight w:val="295"/>
        </w:trPr>
        <w:tc>
          <w:tcPr>
            <w:tcW w:w="6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380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29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r>
    </w:tbl>
    <w:p>
      <w:pPr>
        <w:sectPr>
          <w:pgSz w:w="11900" w:h="16838" w:orient="portrait"/>
          <w:cols w:equalWidth="0" w:num="1">
            <w:col w:w="11300"/>
          </w:cols>
          <w:pgMar w:left="300" w:top="503" w:right="299" w:bottom="1440" w:gutter="0" w:footer="0" w:header="0"/>
        </w:sectPr>
      </w:pPr>
    </w:p>
    <w:bookmarkStart w:id="2" w:name="page3"/>
    <w:bookmarkEnd w:id="2"/>
    <w:p>
      <w:pPr>
        <w:ind w:left="4880"/>
        <w:spacing w:after="0"/>
        <w:rPr>
          <w:sz w:val="20"/>
          <w:szCs w:val="20"/>
          <w:color w:val="auto"/>
        </w:rPr>
      </w:pPr>
      <w:r>
        <w:rPr>
          <w:rFonts w:ascii="Times New Roman" w:cs="Times New Roman" w:eastAsia="Times New Roman" w:hAnsi="Times New Roman"/>
          <w:sz w:val="12"/>
          <w:szCs w:val="12"/>
          <w:b w:val="1"/>
          <w:bCs w:val="1"/>
          <w:color w:val="auto"/>
        </w:rPr>
        <w:t>SIGNATURE</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Dated: February 28, 2025</w:t>
      </w:r>
    </w:p>
    <w:p>
      <w:pPr>
        <w:spacing w:after="0" w:line="146"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2"/>
          <w:szCs w:val="12"/>
          <w:b w:val="1"/>
          <w:bCs w:val="1"/>
          <w:color w:val="auto"/>
        </w:rPr>
        <w:t>BANZAI INTERNATIONAL, INC.</w:t>
      </w:r>
    </w:p>
    <w:p>
      <w:pPr>
        <w:spacing w:after="0" w:line="152" w:lineRule="exact"/>
        <w:rPr>
          <w:sz w:val="20"/>
          <w:szCs w:val="20"/>
          <w:color w:val="auto"/>
        </w:rPr>
      </w:pPr>
    </w:p>
    <w:p>
      <w:pPr>
        <w:ind w:left="5240"/>
        <w:spacing w:after="0"/>
        <w:tabs>
          <w:tab w:leader="none" w:pos="5540" w:val="left"/>
        </w:tabs>
        <w:rPr>
          <w:sz w:val="20"/>
          <w:szCs w:val="20"/>
          <w:color w:val="auto"/>
        </w:rPr>
      </w:pPr>
      <w:r>
        <w:rPr>
          <w:rFonts w:ascii="Times New Roman" w:cs="Times New Roman" w:eastAsia="Times New Roman" w:hAnsi="Times New Roman"/>
          <w:sz w:val="12"/>
          <w:szCs w:val="12"/>
          <w:color w:val="auto"/>
        </w:rPr>
        <w:t>By:</w:t>
      </w:r>
      <w:r>
        <w:rPr>
          <w:sz w:val="20"/>
          <w:szCs w:val="20"/>
          <w:color w:val="auto"/>
        </w:rPr>
        <w:tab/>
      </w:r>
      <w:r>
        <w:rPr>
          <w:rFonts w:ascii="Times New Roman" w:cs="Times New Roman" w:eastAsia="Times New Roman" w:hAnsi="Times New Roman"/>
          <w:sz w:val="12"/>
          <w:szCs w:val="12"/>
          <w:i w:val="1"/>
          <w:iCs w:val="1"/>
          <w:color w:val="auto"/>
        </w:rPr>
        <w:t>/s/ Joseph Davy</w:t>
      </w:r>
    </w:p>
    <w:p>
      <w:pPr>
        <w:spacing w:after="0" w:line="19"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2"/>
          <w:szCs w:val="12"/>
          <w:color w:val="auto"/>
        </w:rPr>
        <w:t>Joseph Davy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3534410</wp:posOffset>
            </wp:positionH>
            <wp:positionV relativeFrom="paragraph">
              <wp:posOffset>-86995</wp:posOffset>
            </wp:positionV>
            <wp:extent cx="3371850" cy="57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71850" cy="5715"/>
                    </a:xfrm>
                    <a:prstGeom prst="rect">
                      <a:avLst/>
                    </a:prstGeom>
                    <a:noFill/>
                  </pic:spPr>
                </pic:pic>
              </a:graphicData>
            </a:graphic>
          </wp:anchor>
        </w:drawing>
      </w:r>
    </w:p>
    <w:p>
      <w:pPr>
        <w:ind w:left="5560"/>
        <w:spacing w:after="0"/>
        <w:rPr>
          <w:sz w:val="20"/>
          <w:szCs w:val="20"/>
          <w:color w:val="auto"/>
        </w:rPr>
      </w:pPr>
      <w:r>
        <w:rPr>
          <w:rFonts w:ascii="Times New Roman" w:cs="Times New Roman" w:eastAsia="Times New Roman" w:hAnsi="Times New Roman"/>
          <w:sz w:val="12"/>
          <w:szCs w:val="12"/>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-271145</wp:posOffset>
            </wp:positionH>
            <wp:positionV relativeFrom="paragraph">
              <wp:posOffset>186690</wp:posOffset>
            </wp:positionV>
            <wp:extent cx="7178040" cy="57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9739"/>
          </w:cols>
          <w:pgMar w:left="720" w:top="503" w:right="1440"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2"/>
          <w:szCs w:val="12"/>
          <w:b w:val="1"/>
          <w:bCs w:val="1"/>
          <w:color w:val="auto"/>
        </w:rPr>
        <w:t>Exhibit 23.1</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CONSENT OF INDEPENDENT REGISTERED PUBLIC ACCOUNTING FIRM</w:t>
      </w:r>
    </w:p>
    <w:p>
      <w:pPr>
        <w:spacing w:after="0" w:line="154" w:lineRule="exact"/>
        <w:rPr>
          <w:sz w:val="20"/>
          <w:szCs w:val="20"/>
          <w:color w:val="auto"/>
        </w:rPr>
      </w:pPr>
    </w:p>
    <w:p>
      <w:pPr>
        <w:spacing w:after="0" w:line="279" w:lineRule="auto"/>
        <w:rPr>
          <w:sz w:val="20"/>
          <w:szCs w:val="20"/>
          <w:color w:val="auto"/>
        </w:rPr>
      </w:pPr>
      <w:r>
        <w:rPr>
          <w:rFonts w:ascii="Times New Roman" w:cs="Times New Roman" w:eastAsia="Times New Roman" w:hAnsi="Times New Roman"/>
          <w:sz w:val="12"/>
          <w:szCs w:val="12"/>
          <w:color w:val="auto"/>
        </w:rPr>
        <w:t>We consent to the inclusion in this Current Report on Form 8-K/A of our reports dated February 28, 2025, with respect to the consolidated financial statements of ClearDoc, Inc and Subsidiary (Company) as of December 31, 2023 and 2022 and for the two years then ended.</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/s/ CBIZ CPAs P.C.</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Kansas City, Missouri</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February 28,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186690</wp:posOffset>
            </wp:positionV>
            <wp:extent cx="7178040" cy="57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269" w:right="29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159"/>
        </w:trPr>
        <w:tc>
          <w:tcPr>
            <w:tcW w:w="276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30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2"/>
                <w:szCs w:val="12"/>
                <w:b w:val="1"/>
                <w:bCs w:val="1"/>
                <w:color w:val="auto"/>
              </w:rPr>
              <w:t>Exhibit 99.1</w:t>
            </w:r>
          </w:p>
        </w:tc>
      </w:tr>
      <w:tr>
        <w:trPr>
          <w:trHeight w:val="288"/>
        </w:trPr>
        <w:tc>
          <w:tcPr>
            <w:tcW w:w="27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5060" w:type="dxa"/>
            <w:vAlign w:val="bottom"/>
            <w:gridSpan w:val="3"/>
          </w:tcPr>
          <w:p>
            <w:pPr>
              <w:jc w:val="center"/>
              <w:ind w:right="2200"/>
              <w:spacing w:after="0"/>
              <w:rPr>
                <w:sz w:val="20"/>
                <w:szCs w:val="20"/>
                <w:color w:val="auto"/>
              </w:rPr>
            </w:pPr>
            <w:r>
              <w:rPr>
                <w:rFonts w:ascii="Times New Roman" w:cs="Times New Roman" w:eastAsia="Times New Roman" w:hAnsi="Times New Roman"/>
                <w:sz w:val="12"/>
                <w:szCs w:val="12"/>
                <w:b w:val="1"/>
                <w:bCs w:val="1"/>
                <w:color w:val="auto"/>
              </w:rPr>
              <w:t>CLEARDOC, INC. AND SUBSIDIARY</w:t>
            </w:r>
          </w:p>
        </w:tc>
        <w:tc>
          <w:tcPr>
            <w:tcW w:w="6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88"/>
        </w:trPr>
        <w:tc>
          <w:tcPr>
            <w:tcW w:w="27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5060" w:type="dxa"/>
            <w:vAlign w:val="bottom"/>
            <w:gridSpan w:val="3"/>
          </w:tcPr>
          <w:p>
            <w:pPr>
              <w:jc w:val="center"/>
              <w:ind w:right="2220"/>
              <w:spacing w:after="0"/>
              <w:rPr>
                <w:sz w:val="20"/>
                <w:szCs w:val="20"/>
                <w:color w:val="auto"/>
              </w:rPr>
            </w:pPr>
            <w:r>
              <w:rPr>
                <w:rFonts w:ascii="Times New Roman" w:cs="Times New Roman" w:eastAsia="Times New Roman" w:hAnsi="Times New Roman"/>
                <w:sz w:val="12"/>
                <w:szCs w:val="12"/>
                <w:b w:val="1"/>
                <w:bCs w:val="1"/>
                <w:color w:val="auto"/>
                <w:w w:val="98"/>
              </w:rPr>
              <w:t>CONSOLIDATED BALANCE SHEET</w:t>
            </w:r>
          </w:p>
        </w:tc>
        <w:tc>
          <w:tcPr>
            <w:tcW w:w="6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88"/>
        </w:trPr>
        <w:tc>
          <w:tcPr>
            <w:tcW w:w="27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460" w:type="dxa"/>
            <w:vAlign w:val="bottom"/>
            <w:gridSpan w:val="2"/>
          </w:tcPr>
          <w:p>
            <w:pPr>
              <w:jc w:val="center"/>
              <w:ind w:right="2800"/>
              <w:spacing w:after="0"/>
              <w:rPr>
                <w:sz w:val="20"/>
                <w:szCs w:val="20"/>
                <w:color w:val="auto"/>
              </w:rPr>
            </w:pPr>
            <w:r>
              <w:rPr>
                <w:rFonts w:ascii="Times New Roman" w:cs="Times New Roman" w:eastAsia="Times New Roman" w:hAnsi="Times New Roman"/>
                <w:sz w:val="12"/>
                <w:szCs w:val="12"/>
                <w:color w:val="auto"/>
                <w:w w:val="99"/>
              </w:rPr>
              <w:t>December 31, 2023</w:t>
            </w:r>
          </w:p>
        </w:tc>
        <w:tc>
          <w:tcPr>
            <w:tcW w:w="6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44"/>
        </w:trPr>
        <w:tc>
          <w:tcPr>
            <w:tcW w:w="276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30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24"/>
        </w:trPr>
        <w:tc>
          <w:tcPr>
            <w:tcW w:w="2760" w:type="dxa"/>
            <w:vAlign w:val="bottom"/>
            <w:shd w:val="clear" w:color="auto" w:fill="CCEEFF"/>
          </w:tcPr>
          <w:p>
            <w:pPr>
              <w:spacing w:after="0"/>
              <w:rPr>
                <w:sz w:val="10"/>
                <w:szCs w:val="10"/>
                <w:color w:val="auto"/>
              </w:rPr>
            </w:pPr>
          </w:p>
        </w:tc>
        <w:tc>
          <w:tcPr>
            <w:tcW w:w="6520" w:type="dxa"/>
            <w:vAlign w:val="bottom"/>
            <w:gridSpan w:val="4"/>
            <w:shd w:val="clear" w:color="auto" w:fill="CCEEFF"/>
          </w:tcPr>
          <w:p>
            <w:pPr>
              <w:jc w:val="center"/>
              <w:ind w:right="3000"/>
              <w:spacing w:after="0" w:line="117" w:lineRule="exact"/>
              <w:rPr>
                <w:sz w:val="20"/>
                <w:szCs w:val="20"/>
                <w:color w:val="auto"/>
              </w:rPr>
            </w:pPr>
            <w:r>
              <w:rPr>
                <w:rFonts w:ascii="Times New Roman" w:cs="Times New Roman" w:eastAsia="Times New Roman" w:hAnsi="Times New Roman"/>
                <w:sz w:val="12"/>
                <w:szCs w:val="12"/>
                <w:b w:val="1"/>
                <w:bCs w:val="1"/>
                <w:color w:val="auto"/>
              </w:rPr>
              <w:t>A S S E T S</w:t>
            </w:r>
          </w:p>
        </w:tc>
        <w:tc>
          <w:tcPr>
            <w:tcW w:w="680" w:type="dxa"/>
            <w:vAlign w:val="bottom"/>
            <w:shd w:val="clear" w:color="auto" w:fill="CCEEFF"/>
          </w:tcPr>
          <w:p>
            <w:pPr>
              <w:spacing w:after="0"/>
              <w:rPr>
                <w:sz w:val="10"/>
                <w:szCs w:val="10"/>
                <w:color w:val="auto"/>
              </w:rPr>
            </w:pPr>
          </w:p>
        </w:tc>
        <w:tc>
          <w:tcPr>
            <w:tcW w:w="12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r>
      <w:tr>
        <w:trPr>
          <w:trHeight w:val="144"/>
        </w:trPr>
        <w:tc>
          <w:tcPr>
            <w:tcW w:w="4220" w:type="dxa"/>
            <w:vAlign w:val="bottom"/>
            <w:tcBorders>
              <w:top w:val="single" w:sz="8" w:color="CCEEFF"/>
            </w:tcBorders>
            <w:gridSpan w:val="2"/>
          </w:tcPr>
          <w:p>
            <w:pPr>
              <w:spacing w:after="0"/>
              <w:rPr>
                <w:sz w:val="20"/>
                <w:szCs w:val="20"/>
                <w:color w:val="auto"/>
              </w:rPr>
            </w:pPr>
            <w:r>
              <w:rPr>
                <w:rFonts w:ascii="Times New Roman" w:cs="Times New Roman" w:eastAsia="Times New Roman" w:hAnsi="Times New Roman"/>
                <w:sz w:val="12"/>
                <w:szCs w:val="12"/>
                <w:color w:val="auto"/>
              </w:rPr>
              <w:t>CURRENT ASSETS</w:t>
            </w:r>
          </w:p>
        </w:tc>
        <w:tc>
          <w:tcPr>
            <w:tcW w:w="600" w:type="dxa"/>
            <w:vAlign w:val="bottom"/>
            <w:tcBorders>
              <w:top w:val="single" w:sz="8" w:color="auto"/>
            </w:tcBorders>
          </w:tcPr>
          <w:p>
            <w:pPr>
              <w:spacing w:after="0"/>
              <w:rPr>
                <w:sz w:val="12"/>
                <w:szCs w:val="12"/>
                <w:color w:val="auto"/>
              </w:rPr>
            </w:pPr>
          </w:p>
        </w:tc>
        <w:tc>
          <w:tcPr>
            <w:tcW w:w="4460" w:type="dxa"/>
            <w:vAlign w:val="bottom"/>
            <w:tcBorders>
              <w:top w:val="single" w:sz="8" w:color="CCEEFF"/>
            </w:tcBorders>
            <w:gridSpan w:val="2"/>
          </w:tcPr>
          <w:p>
            <w:pPr>
              <w:spacing w:after="0"/>
              <w:rPr>
                <w:sz w:val="12"/>
                <w:szCs w:val="12"/>
                <w:color w:val="auto"/>
              </w:rPr>
            </w:pPr>
          </w:p>
        </w:tc>
        <w:tc>
          <w:tcPr>
            <w:tcW w:w="680" w:type="dxa"/>
            <w:vAlign w:val="bottom"/>
            <w:tcBorders>
              <w:top w:val="single" w:sz="8" w:color="CCEEFF"/>
            </w:tcBorders>
          </w:tcPr>
          <w:p>
            <w:pPr>
              <w:spacing w:after="0"/>
              <w:rPr>
                <w:sz w:val="12"/>
                <w:szCs w:val="12"/>
                <w:color w:val="auto"/>
              </w:rPr>
            </w:pPr>
          </w:p>
        </w:tc>
        <w:tc>
          <w:tcPr>
            <w:tcW w:w="1220" w:type="dxa"/>
            <w:vAlign w:val="bottom"/>
            <w:tcBorders>
              <w:top w:val="single" w:sz="8" w:color="CCEEFF"/>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r>
      <w:tr>
        <w:trPr>
          <w:trHeight w:val="144"/>
        </w:trPr>
        <w:tc>
          <w:tcPr>
            <w:tcW w:w="9280" w:type="dxa"/>
            <w:vAlign w:val="bottom"/>
            <w:gridSpan w:val="5"/>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Cash</w:t>
            </w:r>
          </w:p>
        </w:tc>
        <w:tc>
          <w:tcPr>
            <w:tcW w:w="680" w:type="dxa"/>
            <w:vAlign w:val="bottom"/>
            <w:shd w:val="clear" w:color="auto" w:fill="CCEEFF"/>
          </w:tcPr>
          <w:p>
            <w:pPr>
              <w:jc w:val="right"/>
              <w:ind w:right="566"/>
              <w:spacing w:after="0"/>
              <w:rPr>
                <w:sz w:val="20"/>
                <w:szCs w:val="20"/>
                <w:color w:val="auto"/>
              </w:rPr>
            </w:pPr>
            <w:r>
              <w:rPr>
                <w:rFonts w:ascii="Times New Roman" w:cs="Times New Roman" w:eastAsia="Times New Roman" w:hAnsi="Times New Roman"/>
                <w:sz w:val="11"/>
                <w:szCs w:val="11"/>
                <w:color w:val="auto"/>
                <w:w w:val="71"/>
              </w:rPr>
              <w:t>$</w:t>
            </w:r>
          </w:p>
        </w:tc>
        <w:tc>
          <w:tcPr>
            <w:tcW w:w="1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720,633</w:t>
            </w:r>
          </w:p>
        </w:tc>
      </w:tr>
      <w:tr>
        <w:trPr>
          <w:trHeight w:val="144"/>
        </w:trPr>
        <w:tc>
          <w:tcPr>
            <w:tcW w:w="9280" w:type="dxa"/>
            <w:vAlign w:val="bottom"/>
            <w:gridSpan w:val="5"/>
          </w:tcPr>
          <w:p>
            <w:pPr>
              <w:ind w:left="120"/>
              <w:spacing w:after="0"/>
              <w:rPr>
                <w:sz w:val="20"/>
                <w:szCs w:val="20"/>
                <w:color w:val="auto"/>
              </w:rPr>
            </w:pPr>
            <w:r>
              <w:rPr>
                <w:rFonts w:ascii="Times New Roman" w:cs="Times New Roman" w:eastAsia="Times New Roman" w:hAnsi="Times New Roman"/>
                <w:sz w:val="12"/>
                <w:szCs w:val="12"/>
                <w:color w:val="auto"/>
              </w:rPr>
              <w:t>Accounts receivable, net</w:t>
            </w:r>
          </w:p>
        </w:tc>
        <w:tc>
          <w:tcPr>
            <w:tcW w:w="680" w:type="dxa"/>
            <w:vAlign w:val="bottom"/>
          </w:tcPr>
          <w:p>
            <w:pPr>
              <w:spacing w:after="0"/>
              <w:rPr>
                <w:sz w:val="12"/>
                <w:szCs w:val="12"/>
                <w:color w:val="auto"/>
              </w:rPr>
            </w:pPr>
          </w:p>
        </w:tc>
        <w:tc>
          <w:tcPr>
            <w:tcW w:w="134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810,408</w:t>
            </w:r>
          </w:p>
        </w:tc>
      </w:tr>
      <w:tr>
        <w:trPr>
          <w:trHeight w:val="144"/>
        </w:trPr>
        <w:tc>
          <w:tcPr>
            <w:tcW w:w="9280" w:type="dxa"/>
            <w:vAlign w:val="bottom"/>
            <w:gridSpan w:val="5"/>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Current portion of deferred sales commissions</w:t>
            </w:r>
          </w:p>
        </w:tc>
        <w:tc>
          <w:tcPr>
            <w:tcW w:w="680" w:type="dxa"/>
            <w:vAlign w:val="bottom"/>
            <w:shd w:val="clear" w:color="auto" w:fill="CCEEFF"/>
          </w:tcPr>
          <w:p>
            <w:pPr>
              <w:spacing w:after="0"/>
              <w:rPr>
                <w:sz w:val="12"/>
                <w:szCs w:val="12"/>
                <w:color w:val="auto"/>
              </w:rPr>
            </w:pPr>
          </w:p>
        </w:tc>
        <w:tc>
          <w:tcPr>
            <w:tcW w:w="1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638,647</w:t>
            </w:r>
          </w:p>
        </w:tc>
      </w:tr>
      <w:tr>
        <w:trPr>
          <w:trHeight w:val="153"/>
        </w:trPr>
        <w:tc>
          <w:tcPr>
            <w:tcW w:w="9280" w:type="dxa"/>
            <w:vAlign w:val="bottom"/>
            <w:gridSpan w:val="5"/>
          </w:tcPr>
          <w:p>
            <w:pPr>
              <w:ind w:left="120"/>
              <w:spacing w:after="0"/>
              <w:rPr>
                <w:sz w:val="20"/>
                <w:szCs w:val="20"/>
                <w:color w:val="auto"/>
              </w:rPr>
            </w:pPr>
            <w:r>
              <w:rPr>
                <w:rFonts w:ascii="Times New Roman" w:cs="Times New Roman" w:eastAsia="Times New Roman" w:hAnsi="Times New Roman"/>
                <w:sz w:val="12"/>
                <w:szCs w:val="12"/>
                <w:color w:val="auto"/>
              </w:rPr>
              <w:t>Prepaid expenses</w:t>
            </w:r>
          </w:p>
        </w:tc>
        <w:tc>
          <w:tcPr>
            <w:tcW w:w="680" w:type="dxa"/>
            <w:vAlign w:val="bottom"/>
          </w:tcPr>
          <w:p>
            <w:pPr>
              <w:spacing w:after="0"/>
              <w:rPr>
                <w:sz w:val="13"/>
                <w:szCs w:val="13"/>
                <w:color w:val="auto"/>
              </w:rPr>
            </w:pPr>
          </w:p>
        </w:tc>
        <w:tc>
          <w:tcPr>
            <w:tcW w:w="134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72,824</w:t>
            </w:r>
          </w:p>
        </w:tc>
      </w:tr>
      <w:tr>
        <w:trPr>
          <w:trHeight w:val="133"/>
        </w:trPr>
        <w:tc>
          <w:tcPr>
            <w:tcW w:w="9280" w:type="dxa"/>
            <w:vAlign w:val="bottom"/>
            <w:tcBorders>
              <w:top w:val="single" w:sz="8" w:color="CCEEFF"/>
            </w:tcBorders>
            <w:gridSpan w:val="5"/>
            <w:shd w:val="clear" w:color="auto" w:fill="CCEEFF"/>
          </w:tcPr>
          <w:p>
            <w:pPr>
              <w:ind w:left="240"/>
              <w:spacing w:after="0" w:line="133" w:lineRule="exact"/>
              <w:rPr>
                <w:sz w:val="20"/>
                <w:szCs w:val="20"/>
                <w:color w:val="auto"/>
              </w:rPr>
            </w:pPr>
            <w:r>
              <w:rPr>
                <w:rFonts w:ascii="Times New Roman" w:cs="Times New Roman" w:eastAsia="Times New Roman" w:hAnsi="Times New Roman"/>
                <w:sz w:val="12"/>
                <w:szCs w:val="12"/>
                <w:color w:val="auto"/>
              </w:rPr>
              <w:t>TOTAL CURRENT ASSETS</w:t>
            </w:r>
          </w:p>
        </w:tc>
        <w:tc>
          <w:tcPr>
            <w:tcW w:w="680" w:type="dxa"/>
            <w:vAlign w:val="bottom"/>
            <w:tcBorders>
              <w:top w:val="single" w:sz="8" w:color="auto"/>
            </w:tcBorders>
            <w:shd w:val="clear" w:color="auto" w:fill="CCEEFF"/>
          </w:tcPr>
          <w:p>
            <w:pPr>
              <w:spacing w:after="0"/>
              <w:rPr>
                <w:sz w:val="11"/>
                <w:szCs w:val="11"/>
                <w:color w:val="auto"/>
              </w:rPr>
            </w:pPr>
          </w:p>
        </w:tc>
        <w:tc>
          <w:tcPr>
            <w:tcW w:w="122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2,242,512</w:t>
            </w:r>
          </w:p>
        </w:tc>
        <w:tc>
          <w:tcPr>
            <w:tcW w:w="120" w:type="dxa"/>
            <w:vAlign w:val="bottom"/>
            <w:tcBorders>
              <w:top w:val="single" w:sz="8" w:color="CCEEFF"/>
            </w:tcBorders>
            <w:shd w:val="clear" w:color="auto" w:fill="CCEEFF"/>
          </w:tcPr>
          <w:p>
            <w:pPr>
              <w:spacing w:after="0"/>
              <w:rPr>
                <w:sz w:val="11"/>
                <w:szCs w:val="11"/>
                <w:color w:val="auto"/>
              </w:rPr>
            </w:pPr>
          </w:p>
        </w:tc>
      </w:tr>
      <w:tr>
        <w:trPr>
          <w:trHeight w:val="144"/>
        </w:trPr>
        <w:tc>
          <w:tcPr>
            <w:tcW w:w="9280" w:type="dxa"/>
            <w:vAlign w:val="bottom"/>
            <w:gridSpan w:val="5"/>
          </w:tcPr>
          <w:p>
            <w:pPr>
              <w:spacing w:after="0"/>
              <w:rPr>
                <w:sz w:val="20"/>
                <w:szCs w:val="20"/>
                <w:color w:val="auto"/>
              </w:rPr>
            </w:pPr>
            <w:r>
              <w:rPr>
                <w:rFonts w:ascii="Times New Roman" w:cs="Times New Roman" w:eastAsia="Times New Roman" w:hAnsi="Times New Roman"/>
                <w:sz w:val="12"/>
                <w:szCs w:val="12"/>
                <w:color w:val="auto"/>
              </w:rPr>
              <w:t>DEFERRED SALES COMMISSIONS, less current</w:t>
            </w:r>
          </w:p>
        </w:tc>
        <w:tc>
          <w:tcPr>
            <w:tcW w:w="680" w:type="dxa"/>
            <w:vAlign w:val="bottom"/>
          </w:tcPr>
          <w:p>
            <w:pPr>
              <w:spacing w:after="0"/>
              <w:rPr>
                <w:sz w:val="12"/>
                <w:szCs w:val="12"/>
                <w:color w:val="auto"/>
              </w:rPr>
            </w:pPr>
          </w:p>
        </w:tc>
        <w:tc>
          <w:tcPr>
            <w:tcW w:w="134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372,571</w:t>
            </w:r>
          </w:p>
        </w:tc>
      </w:tr>
      <w:tr>
        <w:trPr>
          <w:trHeight w:val="144"/>
        </w:trPr>
        <w:tc>
          <w:tcPr>
            <w:tcW w:w="928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2"/>
                <w:szCs w:val="12"/>
                <w:color w:val="auto"/>
              </w:rPr>
              <w:t>PROPERTY AND EQUIPMENT, net</w:t>
            </w:r>
          </w:p>
        </w:tc>
        <w:tc>
          <w:tcPr>
            <w:tcW w:w="680" w:type="dxa"/>
            <w:vAlign w:val="bottom"/>
            <w:shd w:val="clear" w:color="auto" w:fill="CCEEFF"/>
          </w:tcPr>
          <w:p>
            <w:pPr>
              <w:spacing w:after="0"/>
              <w:rPr>
                <w:sz w:val="12"/>
                <w:szCs w:val="12"/>
                <w:color w:val="auto"/>
              </w:rPr>
            </w:pPr>
          </w:p>
        </w:tc>
        <w:tc>
          <w:tcPr>
            <w:tcW w:w="1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5,977</w:t>
            </w:r>
          </w:p>
        </w:tc>
      </w:tr>
      <w:tr>
        <w:trPr>
          <w:trHeight w:val="144"/>
        </w:trPr>
        <w:tc>
          <w:tcPr>
            <w:tcW w:w="9280" w:type="dxa"/>
            <w:vAlign w:val="bottom"/>
            <w:gridSpan w:val="5"/>
          </w:tcPr>
          <w:p>
            <w:pPr>
              <w:spacing w:after="0"/>
              <w:rPr>
                <w:sz w:val="20"/>
                <w:szCs w:val="20"/>
                <w:color w:val="auto"/>
              </w:rPr>
            </w:pPr>
            <w:r>
              <w:rPr>
                <w:rFonts w:ascii="Times New Roman" w:cs="Times New Roman" w:eastAsia="Times New Roman" w:hAnsi="Times New Roman"/>
                <w:sz w:val="12"/>
                <w:szCs w:val="12"/>
                <w:color w:val="auto"/>
              </w:rPr>
              <w:t>IDENTIFIABLE INTANGIBLE ASSETS, net</w:t>
            </w:r>
          </w:p>
        </w:tc>
        <w:tc>
          <w:tcPr>
            <w:tcW w:w="680" w:type="dxa"/>
            <w:vAlign w:val="bottom"/>
          </w:tcPr>
          <w:p>
            <w:pPr>
              <w:spacing w:after="0"/>
              <w:rPr>
                <w:sz w:val="12"/>
                <w:szCs w:val="12"/>
                <w:color w:val="auto"/>
              </w:rPr>
            </w:pPr>
          </w:p>
        </w:tc>
        <w:tc>
          <w:tcPr>
            <w:tcW w:w="134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363,376</w:t>
            </w:r>
          </w:p>
        </w:tc>
      </w:tr>
      <w:tr>
        <w:trPr>
          <w:trHeight w:val="153"/>
        </w:trPr>
        <w:tc>
          <w:tcPr>
            <w:tcW w:w="928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2"/>
                <w:szCs w:val="12"/>
                <w:color w:val="auto"/>
              </w:rPr>
              <w:t>GOODWILL</w:t>
            </w:r>
          </w:p>
        </w:tc>
        <w:tc>
          <w:tcPr>
            <w:tcW w:w="680" w:type="dxa"/>
            <w:vAlign w:val="bottom"/>
            <w:shd w:val="clear" w:color="auto" w:fill="CCEEFF"/>
          </w:tcPr>
          <w:p>
            <w:pPr>
              <w:spacing w:after="0"/>
              <w:rPr>
                <w:sz w:val="13"/>
                <w:szCs w:val="13"/>
                <w:color w:val="auto"/>
              </w:rPr>
            </w:pPr>
          </w:p>
        </w:tc>
        <w:tc>
          <w:tcPr>
            <w:tcW w:w="1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312,883</w:t>
            </w:r>
          </w:p>
        </w:tc>
      </w:tr>
      <w:tr>
        <w:trPr>
          <w:trHeight w:val="133"/>
        </w:trPr>
        <w:tc>
          <w:tcPr>
            <w:tcW w:w="276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3020" w:type="dxa"/>
            <w:vAlign w:val="bottom"/>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122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r>
      <w:tr>
        <w:trPr>
          <w:trHeight w:val="182"/>
        </w:trPr>
        <w:tc>
          <w:tcPr>
            <w:tcW w:w="9280" w:type="dxa"/>
            <w:vAlign w:val="bottom"/>
            <w:gridSpan w:val="5"/>
            <w:shd w:val="clear" w:color="auto" w:fill="CCEEFF"/>
          </w:tcPr>
          <w:p>
            <w:pPr>
              <w:ind w:left="240"/>
              <w:spacing w:after="0"/>
              <w:rPr>
                <w:sz w:val="20"/>
                <w:szCs w:val="20"/>
                <w:color w:val="auto"/>
              </w:rPr>
            </w:pPr>
            <w:r>
              <w:rPr>
                <w:rFonts w:ascii="Times New Roman" w:cs="Times New Roman" w:eastAsia="Times New Roman" w:hAnsi="Times New Roman"/>
                <w:sz w:val="12"/>
                <w:szCs w:val="12"/>
                <w:color w:val="auto"/>
              </w:rPr>
              <w:t>TOTAL ASSETS</w:t>
            </w:r>
          </w:p>
        </w:tc>
        <w:tc>
          <w:tcPr>
            <w:tcW w:w="680" w:type="dxa"/>
            <w:vAlign w:val="bottom"/>
            <w:shd w:val="clear" w:color="auto" w:fill="CCEEFF"/>
          </w:tcPr>
          <w:p>
            <w:pPr>
              <w:jc w:val="right"/>
              <w:ind w:right="566"/>
              <w:spacing w:after="0"/>
              <w:rPr>
                <w:sz w:val="20"/>
                <w:szCs w:val="20"/>
                <w:color w:val="auto"/>
              </w:rPr>
            </w:pPr>
            <w:r>
              <w:rPr>
                <w:rFonts w:ascii="Times New Roman" w:cs="Times New Roman" w:eastAsia="Times New Roman" w:hAnsi="Times New Roman"/>
                <w:sz w:val="11"/>
                <w:szCs w:val="11"/>
                <w:color w:val="auto"/>
                <w:w w:val="71"/>
              </w:rPr>
              <w:t>$</w:t>
            </w:r>
          </w:p>
        </w:tc>
        <w:tc>
          <w:tcPr>
            <w:tcW w:w="1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3,297,319</w:t>
            </w:r>
          </w:p>
        </w:tc>
      </w:tr>
      <w:tr>
        <w:trPr>
          <w:trHeight w:val="111"/>
        </w:trPr>
        <w:tc>
          <w:tcPr>
            <w:tcW w:w="9280" w:type="dxa"/>
            <w:vAlign w:val="bottom"/>
            <w:tcBorders>
              <w:top w:val="single" w:sz="8" w:color="CCEEFF"/>
            </w:tcBorders>
            <w:gridSpan w:val="5"/>
          </w:tcPr>
          <w:p>
            <w:pPr>
              <w:jc w:val="center"/>
              <w:ind w:right="260"/>
              <w:spacing w:after="0" w:line="104" w:lineRule="exact"/>
              <w:rPr>
                <w:sz w:val="20"/>
                <w:szCs w:val="20"/>
                <w:color w:val="auto"/>
              </w:rPr>
            </w:pPr>
            <w:r>
              <w:rPr>
                <w:rFonts w:ascii="Times New Roman" w:cs="Times New Roman" w:eastAsia="Times New Roman" w:hAnsi="Times New Roman"/>
                <w:sz w:val="12"/>
                <w:szCs w:val="12"/>
                <w:b w:val="1"/>
                <w:bCs w:val="1"/>
                <w:color w:val="auto"/>
                <w:w w:val="99"/>
              </w:rPr>
              <w:t>L I A B I L I T I E S A N D S T O C K H O L D E R S’ D E F I C I T</w:t>
            </w:r>
          </w:p>
        </w:tc>
        <w:tc>
          <w:tcPr>
            <w:tcW w:w="680" w:type="dxa"/>
            <w:vAlign w:val="bottom"/>
            <w:tcBorders>
              <w:top w:val="single" w:sz="8" w:color="auto"/>
            </w:tcBorders>
          </w:tcPr>
          <w:p>
            <w:pPr>
              <w:spacing w:after="0"/>
              <w:rPr>
                <w:sz w:val="9"/>
                <w:szCs w:val="9"/>
                <w:color w:val="auto"/>
              </w:rPr>
            </w:pPr>
          </w:p>
        </w:tc>
        <w:tc>
          <w:tcPr>
            <w:tcW w:w="1220" w:type="dxa"/>
            <w:vAlign w:val="bottom"/>
            <w:tcBorders>
              <w:top w:val="single" w:sz="8" w:color="auto"/>
            </w:tcBorders>
          </w:tcPr>
          <w:p>
            <w:pPr>
              <w:spacing w:after="0"/>
              <w:rPr>
                <w:sz w:val="9"/>
                <w:szCs w:val="9"/>
                <w:color w:val="auto"/>
              </w:rPr>
            </w:pPr>
          </w:p>
        </w:tc>
        <w:tc>
          <w:tcPr>
            <w:tcW w:w="120" w:type="dxa"/>
            <w:vAlign w:val="bottom"/>
            <w:tcBorders>
              <w:top w:val="single" w:sz="8" w:color="CCEEFF"/>
            </w:tcBorders>
          </w:tcPr>
          <w:p>
            <w:pPr>
              <w:spacing w:after="0"/>
              <w:rPr>
                <w:sz w:val="9"/>
                <w:szCs w:val="9"/>
                <w:color w:val="auto"/>
              </w:rPr>
            </w:pPr>
          </w:p>
        </w:tc>
      </w:tr>
      <w:tr>
        <w:trPr>
          <w:trHeight w:val="144"/>
        </w:trPr>
        <w:tc>
          <w:tcPr>
            <w:tcW w:w="2760" w:type="dxa"/>
            <w:vAlign w:val="bottom"/>
            <w:shd w:val="clear" w:color="auto" w:fill="CCEEFF"/>
          </w:tcPr>
          <w:p>
            <w:pPr>
              <w:spacing w:after="0"/>
              <w:rPr>
                <w:sz w:val="12"/>
                <w:szCs w:val="12"/>
                <w:color w:val="auto"/>
              </w:rPr>
            </w:pPr>
          </w:p>
        </w:tc>
        <w:tc>
          <w:tcPr>
            <w:tcW w:w="1460" w:type="dxa"/>
            <w:vAlign w:val="bottom"/>
            <w:tcBorders>
              <w:top w:val="single" w:sz="8" w:color="auto"/>
            </w:tcBorders>
            <w:shd w:val="clear" w:color="auto" w:fill="CCEEFF"/>
          </w:tcPr>
          <w:p>
            <w:pPr>
              <w:spacing w:after="0"/>
              <w:rPr>
                <w:sz w:val="12"/>
                <w:szCs w:val="12"/>
                <w:color w:val="auto"/>
              </w:rPr>
            </w:pPr>
          </w:p>
        </w:tc>
        <w:tc>
          <w:tcPr>
            <w:tcW w:w="600" w:type="dxa"/>
            <w:vAlign w:val="bottom"/>
            <w:tcBorders>
              <w:top w:val="single" w:sz="8" w:color="auto"/>
            </w:tcBorders>
            <w:shd w:val="clear" w:color="auto" w:fill="CCEEFF"/>
          </w:tcPr>
          <w:p>
            <w:pPr>
              <w:spacing w:after="0"/>
              <w:rPr>
                <w:sz w:val="12"/>
                <w:szCs w:val="12"/>
                <w:color w:val="auto"/>
              </w:rPr>
            </w:pPr>
          </w:p>
        </w:tc>
        <w:tc>
          <w:tcPr>
            <w:tcW w:w="1440" w:type="dxa"/>
            <w:vAlign w:val="bottom"/>
            <w:tcBorders>
              <w:top w:val="single" w:sz="8" w:color="auto"/>
            </w:tcBorders>
            <w:shd w:val="clear" w:color="auto" w:fill="CCEEFF"/>
          </w:tcPr>
          <w:p>
            <w:pPr>
              <w:spacing w:after="0"/>
              <w:rPr>
                <w:sz w:val="12"/>
                <w:szCs w:val="12"/>
                <w:color w:val="auto"/>
              </w:rPr>
            </w:pPr>
          </w:p>
        </w:tc>
        <w:tc>
          <w:tcPr>
            <w:tcW w:w="30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r>
      <w:tr>
        <w:trPr>
          <w:trHeight w:val="144"/>
        </w:trPr>
        <w:tc>
          <w:tcPr>
            <w:tcW w:w="9280" w:type="dxa"/>
            <w:vAlign w:val="bottom"/>
            <w:gridSpan w:val="5"/>
          </w:tcPr>
          <w:p>
            <w:pPr>
              <w:spacing w:after="0"/>
              <w:rPr>
                <w:sz w:val="20"/>
                <w:szCs w:val="20"/>
                <w:color w:val="auto"/>
              </w:rPr>
            </w:pPr>
            <w:r>
              <w:rPr>
                <w:rFonts w:ascii="Times New Roman" w:cs="Times New Roman" w:eastAsia="Times New Roman" w:hAnsi="Times New Roman"/>
                <w:sz w:val="12"/>
                <w:szCs w:val="12"/>
                <w:color w:val="auto"/>
              </w:rPr>
              <w:t>CURRENT LIABILITIES</w:t>
            </w:r>
          </w:p>
        </w:tc>
        <w:tc>
          <w:tcPr>
            <w:tcW w:w="6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4"/>
        </w:trPr>
        <w:tc>
          <w:tcPr>
            <w:tcW w:w="9280" w:type="dxa"/>
            <w:vAlign w:val="bottom"/>
            <w:gridSpan w:val="5"/>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Accounts payable</w:t>
            </w:r>
          </w:p>
        </w:tc>
        <w:tc>
          <w:tcPr>
            <w:tcW w:w="680" w:type="dxa"/>
            <w:vAlign w:val="bottom"/>
            <w:shd w:val="clear" w:color="auto" w:fill="CCEEFF"/>
          </w:tcPr>
          <w:p>
            <w:pPr>
              <w:jc w:val="right"/>
              <w:ind w:right="566"/>
              <w:spacing w:after="0"/>
              <w:rPr>
                <w:sz w:val="20"/>
                <w:szCs w:val="20"/>
                <w:color w:val="auto"/>
              </w:rPr>
            </w:pPr>
            <w:r>
              <w:rPr>
                <w:rFonts w:ascii="Times New Roman" w:cs="Times New Roman" w:eastAsia="Times New Roman" w:hAnsi="Times New Roman"/>
                <w:sz w:val="11"/>
                <w:szCs w:val="11"/>
                <w:color w:val="auto"/>
                <w:w w:val="71"/>
              </w:rPr>
              <w:t>$</w:t>
            </w:r>
          </w:p>
        </w:tc>
        <w:tc>
          <w:tcPr>
            <w:tcW w:w="1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236,653</w:t>
            </w:r>
          </w:p>
        </w:tc>
      </w:tr>
      <w:tr>
        <w:trPr>
          <w:trHeight w:val="144"/>
        </w:trPr>
        <w:tc>
          <w:tcPr>
            <w:tcW w:w="9280" w:type="dxa"/>
            <w:vAlign w:val="bottom"/>
            <w:gridSpan w:val="5"/>
          </w:tcPr>
          <w:p>
            <w:pPr>
              <w:ind w:left="120"/>
              <w:spacing w:after="0"/>
              <w:rPr>
                <w:sz w:val="20"/>
                <w:szCs w:val="20"/>
                <w:color w:val="auto"/>
              </w:rPr>
            </w:pPr>
            <w:r>
              <w:rPr>
                <w:rFonts w:ascii="Times New Roman" w:cs="Times New Roman" w:eastAsia="Times New Roman" w:hAnsi="Times New Roman"/>
                <w:sz w:val="12"/>
                <w:szCs w:val="12"/>
                <w:color w:val="auto"/>
              </w:rPr>
              <w:t>Accrued expenses</w:t>
            </w:r>
          </w:p>
        </w:tc>
        <w:tc>
          <w:tcPr>
            <w:tcW w:w="680" w:type="dxa"/>
            <w:vAlign w:val="bottom"/>
          </w:tcPr>
          <w:p>
            <w:pPr>
              <w:spacing w:after="0"/>
              <w:rPr>
                <w:sz w:val="12"/>
                <w:szCs w:val="12"/>
                <w:color w:val="auto"/>
              </w:rPr>
            </w:pPr>
          </w:p>
        </w:tc>
        <w:tc>
          <w:tcPr>
            <w:tcW w:w="134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432,710</w:t>
            </w:r>
          </w:p>
        </w:tc>
      </w:tr>
      <w:tr>
        <w:trPr>
          <w:trHeight w:val="144"/>
        </w:trPr>
        <w:tc>
          <w:tcPr>
            <w:tcW w:w="9280" w:type="dxa"/>
            <w:vAlign w:val="bottom"/>
            <w:gridSpan w:val="5"/>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Current portion of long term debt</w:t>
            </w:r>
          </w:p>
        </w:tc>
        <w:tc>
          <w:tcPr>
            <w:tcW w:w="680" w:type="dxa"/>
            <w:vAlign w:val="bottom"/>
            <w:shd w:val="clear" w:color="auto" w:fill="CCEEFF"/>
          </w:tcPr>
          <w:p>
            <w:pPr>
              <w:spacing w:after="0"/>
              <w:rPr>
                <w:sz w:val="12"/>
                <w:szCs w:val="12"/>
                <w:color w:val="auto"/>
              </w:rPr>
            </w:pPr>
          </w:p>
        </w:tc>
        <w:tc>
          <w:tcPr>
            <w:tcW w:w="1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300,000</w:t>
            </w:r>
          </w:p>
        </w:tc>
      </w:tr>
      <w:tr>
        <w:trPr>
          <w:trHeight w:val="144"/>
        </w:trPr>
        <w:tc>
          <w:tcPr>
            <w:tcW w:w="9280" w:type="dxa"/>
            <w:vAlign w:val="bottom"/>
            <w:gridSpan w:val="5"/>
          </w:tcPr>
          <w:p>
            <w:pPr>
              <w:ind w:left="120"/>
              <w:spacing w:after="0"/>
              <w:rPr>
                <w:sz w:val="20"/>
                <w:szCs w:val="20"/>
                <w:color w:val="auto"/>
              </w:rPr>
            </w:pPr>
            <w:r>
              <w:rPr>
                <w:rFonts w:ascii="Times New Roman" w:cs="Times New Roman" w:eastAsia="Times New Roman" w:hAnsi="Times New Roman"/>
                <w:sz w:val="12"/>
                <w:szCs w:val="12"/>
                <w:color w:val="auto"/>
              </w:rPr>
              <w:t>Current portion of line of credit</w:t>
            </w:r>
          </w:p>
        </w:tc>
        <w:tc>
          <w:tcPr>
            <w:tcW w:w="680" w:type="dxa"/>
            <w:vAlign w:val="bottom"/>
          </w:tcPr>
          <w:p>
            <w:pPr>
              <w:spacing w:after="0"/>
              <w:rPr>
                <w:sz w:val="12"/>
                <w:szCs w:val="12"/>
                <w:color w:val="auto"/>
              </w:rPr>
            </w:pPr>
          </w:p>
        </w:tc>
        <w:tc>
          <w:tcPr>
            <w:tcW w:w="134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109,520</w:t>
            </w:r>
          </w:p>
        </w:tc>
      </w:tr>
      <w:tr>
        <w:trPr>
          <w:trHeight w:val="153"/>
        </w:trPr>
        <w:tc>
          <w:tcPr>
            <w:tcW w:w="9280" w:type="dxa"/>
            <w:vAlign w:val="bottom"/>
            <w:gridSpan w:val="5"/>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Current portion of deferred revenue</w:t>
            </w:r>
          </w:p>
        </w:tc>
        <w:tc>
          <w:tcPr>
            <w:tcW w:w="680" w:type="dxa"/>
            <w:vAlign w:val="bottom"/>
            <w:shd w:val="clear" w:color="auto" w:fill="CCEEFF"/>
          </w:tcPr>
          <w:p>
            <w:pPr>
              <w:spacing w:after="0"/>
              <w:rPr>
                <w:sz w:val="13"/>
                <w:szCs w:val="13"/>
                <w:color w:val="auto"/>
              </w:rPr>
            </w:pPr>
          </w:p>
        </w:tc>
        <w:tc>
          <w:tcPr>
            <w:tcW w:w="1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3,022,841</w:t>
            </w:r>
          </w:p>
        </w:tc>
      </w:tr>
      <w:tr>
        <w:trPr>
          <w:trHeight w:val="133"/>
        </w:trPr>
        <w:tc>
          <w:tcPr>
            <w:tcW w:w="9280" w:type="dxa"/>
            <w:vAlign w:val="bottom"/>
            <w:gridSpan w:val="5"/>
          </w:tcPr>
          <w:p>
            <w:pPr>
              <w:ind w:left="240"/>
              <w:spacing w:after="0" w:line="133" w:lineRule="exact"/>
              <w:rPr>
                <w:sz w:val="20"/>
                <w:szCs w:val="20"/>
                <w:color w:val="auto"/>
              </w:rPr>
            </w:pPr>
            <w:r>
              <w:rPr>
                <w:rFonts w:ascii="Times New Roman" w:cs="Times New Roman" w:eastAsia="Times New Roman" w:hAnsi="Times New Roman"/>
                <w:sz w:val="12"/>
                <w:szCs w:val="12"/>
                <w:color w:val="auto"/>
              </w:rPr>
              <w:t>TOTAL CURRENT LIABILITIES</w:t>
            </w:r>
          </w:p>
        </w:tc>
        <w:tc>
          <w:tcPr>
            <w:tcW w:w="680" w:type="dxa"/>
            <w:vAlign w:val="bottom"/>
            <w:tcBorders>
              <w:top w:val="single" w:sz="8" w:color="auto"/>
            </w:tcBorders>
          </w:tcPr>
          <w:p>
            <w:pPr>
              <w:spacing w:after="0"/>
              <w:rPr>
                <w:sz w:val="11"/>
                <w:szCs w:val="11"/>
                <w:color w:val="auto"/>
              </w:rPr>
            </w:pPr>
          </w:p>
        </w:tc>
        <w:tc>
          <w:tcPr>
            <w:tcW w:w="1220" w:type="dxa"/>
            <w:vAlign w:val="bottom"/>
            <w:tcBorders>
              <w:top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4,101,724</w:t>
            </w:r>
          </w:p>
        </w:tc>
        <w:tc>
          <w:tcPr>
            <w:tcW w:w="120" w:type="dxa"/>
            <w:vAlign w:val="bottom"/>
          </w:tcPr>
          <w:p>
            <w:pPr>
              <w:spacing w:after="0"/>
              <w:rPr>
                <w:sz w:val="11"/>
                <w:szCs w:val="11"/>
                <w:color w:val="auto"/>
              </w:rPr>
            </w:pPr>
          </w:p>
        </w:tc>
      </w:tr>
      <w:tr>
        <w:trPr>
          <w:trHeight w:val="144"/>
        </w:trPr>
        <w:tc>
          <w:tcPr>
            <w:tcW w:w="928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2"/>
                <w:szCs w:val="12"/>
                <w:color w:val="auto"/>
              </w:rPr>
              <w:t>DEFERRED REVENUE, less current portion above</w:t>
            </w:r>
          </w:p>
        </w:tc>
        <w:tc>
          <w:tcPr>
            <w:tcW w:w="680" w:type="dxa"/>
            <w:vAlign w:val="bottom"/>
            <w:shd w:val="clear" w:color="auto" w:fill="CCEEFF"/>
          </w:tcPr>
          <w:p>
            <w:pPr>
              <w:spacing w:after="0"/>
              <w:rPr>
                <w:sz w:val="12"/>
                <w:szCs w:val="12"/>
                <w:color w:val="auto"/>
              </w:rPr>
            </w:pPr>
          </w:p>
        </w:tc>
        <w:tc>
          <w:tcPr>
            <w:tcW w:w="1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149,033</w:t>
            </w:r>
          </w:p>
        </w:tc>
      </w:tr>
      <w:tr>
        <w:trPr>
          <w:trHeight w:val="144"/>
        </w:trPr>
        <w:tc>
          <w:tcPr>
            <w:tcW w:w="9280" w:type="dxa"/>
            <w:vAlign w:val="bottom"/>
            <w:gridSpan w:val="5"/>
          </w:tcPr>
          <w:p>
            <w:pPr>
              <w:spacing w:after="0"/>
              <w:rPr>
                <w:sz w:val="20"/>
                <w:szCs w:val="20"/>
                <w:color w:val="auto"/>
              </w:rPr>
            </w:pPr>
            <w:r>
              <w:rPr>
                <w:rFonts w:ascii="Times New Roman" w:cs="Times New Roman" w:eastAsia="Times New Roman" w:hAnsi="Times New Roman"/>
                <w:sz w:val="12"/>
                <w:szCs w:val="12"/>
                <w:color w:val="auto"/>
              </w:rPr>
              <w:t>LONG TERM DEBT, less current portion above</w:t>
            </w:r>
          </w:p>
        </w:tc>
        <w:tc>
          <w:tcPr>
            <w:tcW w:w="680" w:type="dxa"/>
            <w:vAlign w:val="bottom"/>
          </w:tcPr>
          <w:p>
            <w:pPr>
              <w:spacing w:after="0"/>
              <w:rPr>
                <w:sz w:val="12"/>
                <w:szCs w:val="12"/>
                <w:color w:val="auto"/>
              </w:rPr>
            </w:pPr>
          </w:p>
        </w:tc>
        <w:tc>
          <w:tcPr>
            <w:tcW w:w="134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275,000</w:t>
            </w:r>
          </w:p>
        </w:tc>
      </w:tr>
      <w:tr>
        <w:trPr>
          <w:trHeight w:val="153"/>
        </w:trPr>
        <w:tc>
          <w:tcPr>
            <w:tcW w:w="928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2"/>
                <w:szCs w:val="12"/>
                <w:color w:val="auto"/>
              </w:rPr>
              <w:t>LINE OF CREDIT, less current portion above</w:t>
            </w:r>
          </w:p>
        </w:tc>
        <w:tc>
          <w:tcPr>
            <w:tcW w:w="680" w:type="dxa"/>
            <w:vAlign w:val="bottom"/>
            <w:shd w:val="clear" w:color="auto" w:fill="CCEEFF"/>
          </w:tcPr>
          <w:p>
            <w:pPr>
              <w:spacing w:after="0"/>
              <w:rPr>
                <w:sz w:val="13"/>
                <w:szCs w:val="13"/>
                <w:color w:val="auto"/>
              </w:rPr>
            </w:pPr>
          </w:p>
        </w:tc>
        <w:tc>
          <w:tcPr>
            <w:tcW w:w="1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120,480</w:t>
            </w:r>
          </w:p>
        </w:tc>
      </w:tr>
      <w:tr>
        <w:trPr>
          <w:trHeight w:val="133"/>
        </w:trPr>
        <w:tc>
          <w:tcPr>
            <w:tcW w:w="9280" w:type="dxa"/>
            <w:vAlign w:val="bottom"/>
            <w:tcBorders>
              <w:bottom w:val="single" w:sz="8" w:color="CCEEFF"/>
            </w:tcBorders>
            <w:gridSpan w:val="5"/>
          </w:tcPr>
          <w:p>
            <w:pPr>
              <w:ind w:left="240"/>
              <w:spacing w:after="0" w:line="133" w:lineRule="exact"/>
              <w:rPr>
                <w:sz w:val="20"/>
                <w:szCs w:val="20"/>
                <w:color w:val="auto"/>
              </w:rPr>
            </w:pPr>
            <w:r>
              <w:rPr>
                <w:rFonts w:ascii="Times New Roman" w:cs="Times New Roman" w:eastAsia="Times New Roman" w:hAnsi="Times New Roman"/>
                <w:sz w:val="12"/>
                <w:szCs w:val="12"/>
                <w:color w:val="auto"/>
              </w:rPr>
              <w:t>TOTAL LIABILITIES</w:t>
            </w:r>
          </w:p>
        </w:tc>
        <w:tc>
          <w:tcPr>
            <w:tcW w:w="680" w:type="dxa"/>
            <w:vAlign w:val="bottom"/>
            <w:tcBorders>
              <w:top w:val="single" w:sz="8" w:color="auto"/>
              <w:bottom w:val="single" w:sz="8" w:color="auto"/>
            </w:tcBorders>
          </w:tcPr>
          <w:p>
            <w:pPr>
              <w:spacing w:after="0"/>
              <w:rPr>
                <w:sz w:val="11"/>
                <w:szCs w:val="11"/>
                <w:color w:val="auto"/>
              </w:rPr>
            </w:pPr>
          </w:p>
        </w:tc>
        <w:tc>
          <w:tcPr>
            <w:tcW w:w="1220" w:type="dxa"/>
            <w:vAlign w:val="bottom"/>
            <w:tcBorders>
              <w:top w:val="single" w:sz="8" w:color="auto"/>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4,646,238</w:t>
            </w:r>
          </w:p>
        </w:tc>
        <w:tc>
          <w:tcPr>
            <w:tcW w:w="120" w:type="dxa"/>
            <w:vAlign w:val="bottom"/>
            <w:tcBorders>
              <w:bottom w:val="single" w:sz="8" w:color="CCEEFF"/>
            </w:tcBorders>
          </w:tcPr>
          <w:p>
            <w:pPr>
              <w:spacing w:after="0"/>
              <w:rPr>
                <w:sz w:val="11"/>
                <w:szCs w:val="11"/>
                <w:color w:val="auto"/>
              </w:rPr>
            </w:pPr>
          </w:p>
        </w:tc>
      </w:tr>
      <w:tr>
        <w:trPr>
          <w:trHeight w:val="133"/>
        </w:trPr>
        <w:tc>
          <w:tcPr>
            <w:tcW w:w="2760" w:type="dxa"/>
            <w:vAlign w:val="bottom"/>
            <w:shd w:val="clear" w:color="auto" w:fill="CCEEFF"/>
          </w:tcPr>
          <w:p>
            <w:pPr>
              <w:spacing w:after="0"/>
              <w:rPr>
                <w:sz w:val="11"/>
                <w:szCs w:val="11"/>
                <w:color w:val="auto"/>
              </w:rPr>
            </w:pPr>
          </w:p>
        </w:tc>
        <w:tc>
          <w:tcPr>
            <w:tcW w:w="14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440" w:type="dxa"/>
            <w:vAlign w:val="bottom"/>
            <w:shd w:val="clear" w:color="auto" w:fill="CCEEFF"/>
          </w:tcPr>
          <w:p>
            <w:pPr>
              <w:spacing w:after="0"/>
              <w:rPr>
                <w:sz w:val="11"/>
                <w:szCs w:val="11"/>
                <w:color w:val="auto"/>
              </w:rPr>
            </w:pPr>
          </w:p>
        </w:tc>
        <w:tc>
          <w:tcPr>
            <w:tcW w:w="30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r>
      <w:tr>
        <w:trPr>
          <w:trHeight w:val="144"/>
        </w:trPr>
        <w:tc>
          <w:tcPr>
            <w:tcW w:w="9280" w:type="dxa"/>
            <w:vAlign w:val="bottom"/>
            <w:gridSpan w:val="5"/>
          </w:tcPr>
          <w:p>
            <w:pPr>
              <w:spacing w:after="0"/>
              <w:rPr>
                <w:sz w:val="20"/>
                <w:szCs w:val="20"/>
                <w:color w:val="auto"/>
              </w:rPr>
            </w:pPr>
            <w:r>
              <w:rPr>
                <w:rFonts w:ascii="Times New Roman" w:cs="Times New Roman" w:eastAsia="Times New Roman" w:hAnsi="Times New Roman"/>
                <w:sz w:val="12"/>
                <w:szCs w:val="12"/>
                <w:color w:val="auto"/>
              </w:rPr>
              <w:t>MEZZANINE EQUITY</w:t>
            </w:r>
          </w:p>
        </w:tc>
        <w:tc>
          <w:tcPr>
            <w:tcW w:w="6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4"/>
        </w:trPr>
        <w:tc>
          <w:tcPr>
            <w:tcW w:w="9280" w:type="dxa"/>
            <w:vAlign w:val="bottom"/>
            <w:gridSpan w:val="5"/>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Series A convertible preferred stock, value of $7.8941 per share; 2,501,849 shares authorized, 2,415,046 shares issued and outstanding as of December 31, 2023, net of issuance costs</w:t>
            </w:r>
          </w:p>
        </w:tc>
        <w:tc>
          <w:tcPr>
            <w:tcW w:w="680" w:type="dxa"/>
            <w:vAlign w:val="bottom"/>
            <w:shd w:val="clear" w:color="auto" w:fill="CCEEFF"/>
          </w:tcPr>
          <w:p>
            <w:pPr>
              <w:spacing w:after="0"/>
              <w:rPr>
                <w:sz w:val="12"/>
                <w:szCs w:val="12"/>
                <w:color w:val="auto"/>
              </w:rPr>
            </w:pPr>
          </w:p>
        </w:tc>
        <w:tc>
          <w:tcPr>
            <w:tcW w:w="1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18,900,800</w:t>
            </w:r>
          </w:p>
        </w:tc>
      </w:tr>
      <w:tr>
        <w:trPr>
          <w:trHeight w:val="133"/>
        </w:trPr>
        <w:tc>
          <w:tcPr>
            <w:tcW w:w="9280" w:type="dxa"/>
            <w:vAlign w:val="bottom"/>
            <w:gridSpan w:val="5"/>
          </w:tcPr>
          <w:p>
            <w:pPr>
              <w:ind w:left="120"/>
              <w:spacing w:after="0" w:line="133" w:lineRule="exact"/>
              <w:rPr>
                <w:sz w:val="20"/>
                <w:szCs w:val="20"/>
                <w:color w:val="auto"/>
              </w:rPr>
            </w:pPr>
            <w:r>
              <w:rPr>
                <w:rFonts w:ascii="Times New Roman" w:cs="Times New Roman" w:eastAsia="Times New Roman" w:hAnsi="Times New Roman"/>
                <w:sz w:val="12"/>
                <w:szCs w:val="12"/>
                <w:color w:val="auto"/>
              </w:rPr>
              <w:t>Series Seed-1 convertible preferred stock, value of $1.6819 per share; 1,525,654 shares authorized, 1,451,191 shares issued and outstanding as of December 31, 2023, net of issuance</w:t>
            </w:r>
          </w:p>
        </w:tc>
        <w:tc>
          <w:tcPr>
            <w:tcW w:w="68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55"/>
        </w:trPr>
        <w:tc>
          <w:tcPr>
            <w:tcW w:w="9280" w:type="dxa"/>
            <w:vAlign w:val="bottom"/>
            <w:gridSpan w:val="5"/>
          </w:tcPr>
          <w:p>
            <w:pPr>
              <w:ind w:left="120"/>
              <w:spacing w:after="0"/>
              <w:rPr>
                <w:sz w:val="20"/>
                <w:szCs w:val="20"/>
                <w:color w:val="auto"/>
              </w:rPr>
            </w:pPr>
            <w:r>
              <w:rPr>
                <w:rFonts w:ascii="Times New Roman" w:cs="Times New Roman" w:eastAsia="Times New Roman" w:hAnsi="Times New Roman"/>
                <w:sz w:val="12"/>
                <w:szCs w:val="12"/>
                <w:color w:val="auto"/>
              </w:rPr>
              <w:t>costs</w:t>
            </w:r>
          </w:p>
        </w:tc>
        <w:tc>
          <w:tcPr>
            <w:tcW w:w="680" w:type="dxa"/>
            <w:vAlign w:val="bottom"/>
          </w:tcPr>
          <w:p>
            <w:pPr>
              <w:spacing w:after="0"/>
              <w:rPr>
                <w:sz w:val="13"/>
                <w:szCs w:val="13"/>
                <w:color w:val="auto"/>
              </w:rPr>
            </w:pPr>
          </w:p>
        </w:tc>
        <w:tc>
          <w:tcPr>
            <w:tcW w:w="134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2,412,888</w:t>
            </w:r>
          </w:p>
        </w:tc>
      </w:tr>
      <w:tr>
        <w:trPr>
          <w:trHeight w:val="133"/>
        </w:trPr>
        <w:tc>
          <w:tcPr>
            <w:tcW w:w="9280" w:type="dxa"/>
            <w:vAlign w:val="bottom"/>
            <w:gridSpan w:val="5"/>
            <w:shd w:val="clear" w:color="auto" w:fill="CCEEFF"/>
          </w:tcPr>
          <w:p>
            <w:pPr>
              <w:ind w:left="120"/>
              <w:spacing w:after="0" w:line="133" w:lineRule="exact"/>
              <w:rPr>
                <w:sz w:val="20"/>
                <w:szCs w:val="20"/>
                <w:color w:val="auto"/>
              </w:rPr>
            </w:pPr>
            <w:r>
              <w:rPr>
                <w:rFonts w:ascii="Times New Roman" w:cs="Times New Roman" w:eastAsia="Times New Roman" w:hAnsi="Times New Roman"/>
                <w:sz w:val="12"/>
                <w:szCs w:val="12"/>
                <w:color w:val="auto"/>
              </w:rPr>
              <w:t>Series Seed-2 convertible preferred stock, value of $.9687 per share; 1,261,530 shares authorized, 1,121,610 shares issued and outstanding as of December 31, 2023, net of issuance</w:t>
            </w:r>
          </w:p>
        </w:tc>
        <w:tc>
          <w:tcPr>
            <w:tcW w:w="680" w:type="dxa"/>
            <w:vAlign w:val="bottom"/>
            <w:shd w:val="clear" w:color="auto" w:fill="CCEEFF"/>
          </w:tcPr>
          <w:p>
            <w:pPr>
              <w:spacing w:after="0"/>
              <w:rPr>
                <w:sz w:val="11"/>
                <w:szCs w:val="11"/>
                <w:color w:val="auto"/>
              </w:rPr>
            </w:pPr>
          </w:p>
        </w:tc>
        <w:tc>
          <w:tcPr>
            <w:tcW w:w="12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r>
      <w:tr>
        <w:trPr>
          <w:trHeight w:val="155"/>
        </w:trPr>
        <w:tc>
          <w:tcPr>
            <w:tcW w:w="9280" w:type="dxa"/>
            <w:vAlign w:val="bottom"/>
            <w:gridSpan w:val="5"/>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costs</w:t>
            </w:r>
          </w:p>
        </w:tc>
        <w:tc>
          <w:tcPr>
            <w:tcW w:w="680" w:type="dxa"/>
            <w:vAlign w:val="bottom"/>
            <w:shd w:val="clear" w:color="auto" w:fill="CCEEFF"/>
          </w:tcPr>
          <w:p>
            <w:pPr>
              <w:spacing w:after="0"/>
              <w:rPr>
                <w:sz w:val="13"/>
                <w:szCs w:val="13"/>
                <w:color w:val="auto"/>
              </w:rPr>
            </w:pPr>
          </w:p>
        </w:tc>
        <w:tc>
          <w:tcPr>
            <w:tcW w:w="1340" w:type="dxa"/>
            <w:vAlign w:val="bottom"/>
            <w:gridSpan w:val="2"/>
            <w:shd w:val="clear" w:color="auto" w:fill="CCEEFF"/>
          </w:tcPr>
          <w:p>
            <w:pPr>
              <w:jc w:val="right"/>
              <w:ind w:right="120"/>
              <w:spacing w:after="0"/>
              <w:rPr>
                <w:sz w:val="20"/>
                <w:szCs w:val="20"/>
                <w:color w:val="auto"/>
              </w:rPr>
            </w:pPr>
            <w:r>
              <w:rPr>
                <w:rFonts w:ascii="Arial" w:cs="Arial" w:eastAsia="Arial" w:hAnsi="Arial"/>
                <w:sz w:val="10"/>
                <w:szCs w:val="10"/>
                <w:color w:val="auto"/>
              </w:rPr>
              <w:t>1,074,097</w:t>
            </w:r>
          </w:p>
        </w:tc>
      </w:tr>
      <w:tr>
        <w:trPr>
          <w:trHeight w:val="133"/>
        </w:trPr>
        <w:tc>
          <w:tcPr>
            <w:tcW w:w="9280" w:type="dxa"/>
            <w:vAlign w:val="bottom"/>
            <w:gridSpan w:val="5"/>
          </w:tcPr>
          <w:p>
            <w:pPr>
              <w:ind w:left="120"/>
              <w:spacing w:after="0" w:line="133" w:lineRule="exact"/>
              <w:rPr>
                <w:sz w:val="20"/>
                <w:szCs w:val="20"/>
                <w:color w:val="auto"/>
              </w:rPr>
            </w:pPr>
            <w:r>
              <w:rPr>
                <w:rFonts w:ascii="Times New Roman" w:cs="Times New Roman" w:eastAsia="Times New Roman" w:hAnsi="Times New Roman"/>
                <w:sz w:val="12"/>
                <w:szCs w:val="12"/>
                <w:color w:val="auto"/>
              </w:rPr>
              <w:t>Series Seed-3 convertible preferred stock, par value of $1.2916 per share; 547,837 shares authorized, 519,963 shares issued and outstanding as of December 31, 2023, net of issuance</w:t>
            </w:r>
          </w:p>
        </w:tc>
        <w:tc>
          <w:tcPr>
            <w:tcW w:w="68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55"/>
        </w:trPr>
        <w:tc>
          <w:tcPr>
            <w:tcW w:w="9280" w:type="dxa"/>
            <w:vAlign w:val="bottom"/>
            <w:gridSpan w:val="5"/>
          </w:tcPr>
          <w:p>
            <w:pPr>
              <w:ind w:left="120"/>
              <w:spacing w:after="0"/>
              <w:rPr>
                <w:sz w:val="20"/>
                <w:szCs w:val="20"/>
                <w:color w:val="auto"/>
              </w:rPr>
            </w:pPr>
            <w:r>
              <w:rPr>
                <w:rFonts w:ascii="Times New Roman" w:cs="Times New Roman" w:eastAsia="Times New Roman" w:hAnsi="Times New Roman"/>
                <w:sz w:val="12"/>
                <w:szCs w:val="12"/>
                <w:color w:val="auto"/>
              </w:rPr>
              <w:t>costs</w:t>
            </w:r>
          </w:p>
        </w:tc>
        <w:tc>
          <w:tcPr>
            <w:tcW w:w="680" w:type="dxa"/>
            <w:vAlign w:val="bottom"/>
          </w:tcPr>
          <w:p>
            <w:pPr>
              <w:spacing w:after="0"/>
              <w:rPr>
                <w:sz w:val="13"/>
                <w:szCs w:val="13"/>
                <w:color w:val="auto"/>
              </w:rPr>
            </w:pPr>
          </w:p>
        </w:tc>
        <w:tc>
          <w:tcPr>
            <w:tcW w:w="134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663,920</w:t>
            </w:r>
          </w:p>
        </w:tc>
      </w:tr>
      <w:tr>
        <w:trPr>
          <w:trHeight w:val="144"/>
        </w:trPr>
        <w:tc>
          <w:tcPr>
            <w:tcW w:w="9280" w:type="dxa"/>
            <w:vAlign w:val="bottom"/>
            <w:gridSpan w:val="5"/>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Series Seed-4 convertible preferred stock, value of $1.7868 per share; 85,458 shares authorized, 74,379 shares issued and outstanding as of December 31, 2023, net of issuance costs</w:t>
            </w:r>
          </w:p>
        </w:tc>
        <w:tc>
          <w:tcPr>
            <w:tcW w:w="680" w:type="dxa"/>
            <w:vAlign w:val="bottom"/>
            <w:shd w:val="clear" w:color="auto" w:fill="CCEEFF"/>
          </w:tcPr>
          <w:p>
            <w:pPr>
              <w:spacing w:after="0"/>
              <w:rPr>
                <w:sz w:val="12"/>
                <w:szCs w:val="12"/>
                <w:color w:val="auto"/>
              </w:rPr>
            </w:pPr>
          </w:p>
        </w:tc>
        <w:tc>
          <w:tcPr>
            <w:tcW w:w="1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131,384</w:t>
            </w:r>
          </w:p>
        </w:tc>
      </w:tr>
      <w:tr>
        <w:trPr>
          <w:trHeight w:val="144"/>
        </w:trPr>
        <w:tc>
          <w:tcPr>
            <w:tcW w:w="9280" w:type="dxa"/>
            <w:vAlign w:val="bottom"/>
            <w:gridSpan w:val="5"/>
          </w:tcPr>
          <w:p>
            <w:pPr>
              <w:ind w:left="120"/>
              <w:spacing w:after="0"/>
              <w:rPr>
                <w:sz w:val="20"/>
                <w:szCs w:val="20"/>
                <w:color w:val="auto"/>
              </w:rPr>
            </w:pPr>
            <w:r>
              <w:rPr>
                <w:rFonts w:ascii="Times New Roman" w:cs="Times New Roman" w:eastAsia="Times New Roman" w:hAnsi="Times New Roman"/>
                <w:sz w:val="12"/>
                <w:szCs w:val="12"/>
                <w:color w:val="auto"/>
              </w:rPr>
              <w:t>TOTAL MEZZANINE EQUITY</w:t>
            </w:r>
          </w:p>
        </w:tc>
        <w:tc>
          <w:tcPr>
            <w:tcW w:w="680" w:type="dxa"/>
            <w:vAlign w:val="bottom"/>
          </w:tcPr>
          <w:p>
            <w:pPr>
              <w:spacing w:after="0"/>
              <w:rPr>
                <w:sz w:val="12"/>
                <w:szCs w:val="12"/>
                <w:color w:val="auto"/>
              </w:rPr>
            </w:pPr>
          </w:p>
        </w:tc>
        <w:tc>
          <w:tcPr>
            <w:tcW w:w="134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23,183,089</w:t>
            </w:r>
          </w:p>
        </w:tc>
      </w:tr>
      <w:tr>
        <w:trPr>
          <w:trHeight w:val="144"/>
        </w:trPr>
        <w:tc>
          <w:tcPr>
            <w:tcW w:w="9280" w:type="dxa"/>
            <w:vAlign w:val="bottom"/>
            <w:gridSpan w:val="5"/>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Common stock, par value of $0.00001 per share; 11,000,000 shares authorized; 2,885,943 shares issued and outstanding as of December 31, 2023,</w:t>
            </w:r>
          </w:p>
        </w:tc>
        <w:tc>
          <w:tcPr>
            <w:tcW w:w="680" w:type="dxa"/>
            <w:vAlign w:val="bottom"/>
            <w:shd w:val="clear" w:color="auto" w:fill="CCEEFF"/>
          </w:tcPr>
          <w:p>
            <w:pPr>
              <w:spacing w:after="0"/>
              <w:rPr>
                <w:sz w:val="12"/>
                <w:szCs w:val="12"/>
                <w:color w:val="auto"/>
              </w:rPr>
            </w:pPr>
          </w:p>
        </w:tc>
        <w:tc>
          <w:tcPr>
            <w:tcW w:w="1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29</w:t>
            </w:r>
          </w:p>
        </w:tc>
      </w:tr>
      <w:tr>
        <w:trPr>
          <w:trHeight w:val="153"/>
        </w:trPr>
        <w:tc>
          <w:tcPr>
            <w:tcW w:w="9280" w:type="dxa"/>
            <w:vAlign w:val="bottom"/>
            <w:gridSpan w:val="5"/>
          </w:tcPr>
          <w:p>
            <w:pPr>
              <w:ind w:left="120"/>
              <w:spacing w:after="0"/>
              <w:rPr>
                <w:sz w:val="20"/>
                <w:szCs w:val="20"/>
                <w:color w:val="auto"/>
              </w:rPr>
            </w:pPr>
            <w:r>
              <w:rPr>
                <w:rFonts w:ascii="Times New Roman" w:cs="Times New Roman" w:eastAsia="Times New Roman" w:hAnsi="Times New Roman"/>
                <w:sz w:val="12"/>
                <w:szCs w:val="12"/>
                <w:color w:val="auto"/>
              </w:rPr>
              <w:t>Additional paid in capital</w:t>
            </w:r>
          </w:p>
        </w:tc>
        <w:tc>
          <w:tcPr>
            <w:tcW w:w="680" w:type="dxa"/>
            <w:vAlign w:val="bottom"/>
          </w:tcPr>
          <w:p>
            <w:pPr>
              <w:spacing w:after="0"/>
              <w:rPr>
                <w:sz w:val="13"/>
                <w:szCs w:val="13"/>
                <w:color w:val="auto"/>
              </w:rPr>
            </w:pPr>
          </w:p>
        </w:tc>
        <w:tc>
          <w:tcPr>
            <w:tcW w:w="134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1,871,690</w:t>
            </w:r>
          </w:p>
        </w:tc>
      </w:tr>
      <w:tr>
        <w:trPr>
          <w:trHeight w:val="133"/>
        </w:trPr>
        <w:tc>
          <w:tcPr>
            <w:tcW w:w="9280" w:type="dxa"/>
            <w:vAlign w:val="bottom"/>
            <w:tcBorders>
              <w:top w:val="single" w:sz="8" w:color="CCEEFF"/>
            </w:tcBorders>
            <w:gridSpan w:val="5"/>
            <w:shd w:val="clear" w:color="auto" w:fill="CCEEFF"/>
          </w:tcPr>
          <w:p>
            <w:pPr>
              <w:ind w:left="240"/>
              <w:spacing w:after="0" w:line="133" w:lineRule="exact"/>
              <w:rPr>
                <w:sz w:val="20"/>
                <w:szCs w:val="20"/>
                <w:color w:val="auto"/>
              </w:rPr>
            </w:pPr>
            <w:r>
              <w:rPr>
                <w:rFonts w:ascii="Times New Roman" w:cs="Times New Roman" w:eastAsia="Times New Roman" w:hAnsi="Times New Roman"/>
                <w:sz w:val="12"/>
                <w:szCs w:val="12"/>
                <w:color w:val="auto"/>
              </w:rPr>
              <w:t>TOTAL CAPITAL CONTRIBUTED</w:t>
            </w:r>
          </w:p>
        </w:tc>
        <w:tc>
          <w:tcPr>
            <w:tcW w:w="680" w:type="dxa"/>
            <w:vAlign w:val="bottom"/>
            <w:tcBorders>
              <w:top w:val="single" w:sz="8" w:color="auto"/>
            </w:tcBorders>
            <w:shd w:val="clear" w:color="auto" w:fill="CCEEFF"/>
          </w:tcPr>
          <w:p>
            <w:pPr>
              <w:spacing w:after="0"/>
              <w:rPr>
                <w:sz w:val="11"/>
                <w:szCs w:val="11"/>
                <w:color w:val="auto"/>
              </w:rPr>
            </w:pPr>
          </w:p>
        </w:tc>
        <w:tc>
          <w:tcPr>
            <w:tcW w:w="122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25,054,808</w:t>
            </w:r>
          </w:p>
        </w:tc>
        <w:tc>
          <w:tcPr>
            <w:tcW w:w="120" w:type="dxa"/>
            <w:vAlign w:val="bottom"/>
            <w:tcBorders>
              <w:top w:val="single" w:sz="8" w:color="CCEEFF"/>
            </w:tcBorders>
            <w:shd w:val="clear" w:color="auto" w:fill="CCEEFF"/>
          </w:tcPr>
          <w:p>
            <w:pPr>
              <w:spacing w:after="0"/>
              <w:rPr>
                <w:sz w:val="11"/>
                <w:szCs w:val="11"/>
                <w:color w:val="auto"/>
              </w:rPr>
            </w:pPr>
          </w:p>
        </w:tc>
      </w:tr>
      <w:tr>
        <w:trPr>
          <w:trHeight w:val="153"/>
        </w:trPr>
        <w:tc>
          <w:tcPr>
            <w:tcW w:w="9280" w:type="dxa"/>
            <w:vAlign w:val="bottom"/>
            <w:gridSpan w:val="5"/>
          </w:tcPr>
          <w:p>
            <w:pPr>
              <w:ind w:left="120"/>
              <w:spacing w:after="0"/>
              <w:rPr>
                <w:sz w:val="20"/>
                <w:szCs w:val="20"/>
                <w:color w:val="auto"/>
              </w:rPr>
            </w:pPr>
            <w:r>
              <w:rPr>
                <w:rFonts w:ascii="Times New Roman" w:cs="Times New Roman" w:eastAsia="Times New Roman" w:hAnsi="Times New Roman"/>
                <w:sz w:val="12"/>
                <w:szCs w:val="12"/>
                <w:color w:val="auto"/>
              </w:rPr>
              <w:t>Accumulated deficit</w:t>
            </w:r>
          </w:p>
        </w:tc>
        <w:tc>
          <w:tcPr>
            <w:tcW w:w="680" w:type="dxa"/>
            <w:vAlign w:val="bottom"/>
          </w:tcPr>
          <w:p>
            <w:pPr>
              <w:spacing w:after="0"/>
              <w:rPr>
                <w:sz w:val="13"/>
                <w:szCs w:val="13"/>
                <w:color w:val="auto"/>
              </w:rPr>
            </w:pPr>
          </w:p>
        </w:tc>
        <w:tc>
          <w:tcPr>
            <w:tcW w:w="134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(26,403,727)</w:t>
            </w:r>
          </w:p>
        </w:tc>
      </w:tr>
      <w:tr>
        <w:trPr>
          <w:trHeight w:val="133"/>
        </w:trPr>
        <w:tc>
          <w:tcPr>
            <w:tcW w:w="2760" w:type="dxa"/>
            <w:vAlign w:val="bottom"/>
            <w:tcBorders>
              <w:top w:val="single" w:sz="8" w:color="CCEEFF"/>
            </w:tcBorders>
            <w:shd w:val="clear" w:color="auto" w:fill="CCEEFF"/>
          </w:tcPr>
          <w:p>
            <w:pPr>
              <w:spacing w:after="0"/>
              <w:rPr>
                <w:sz w:val="11"/>
                <w:szCs w:val="11"/>
                <w:color w:val="auto"/>
              </w:rPr>
            </w:pPr>
          </w:p>
        </w:tc>
        <w:tc>
          <w:tcPr>
            <w:tcW w:w="1460" w:type="dxa"/>
            <w:vAlign w:val="bottom"/>
            <w:tcBorders>
              <w:top w:val="single" w:sz="8" w:color="CCEEFF"/>
            </w:tcBorders>
            <w:shd w:val="clear" w:color="auto" w:fill="CCEEFF"/>
          </w:tcPr>
          <w:p>
            <w:pPr>
              <w:spacing w:after="0"/>
              <w:rPr>
                <w:sz w:val="11"/>
                <w:szCs w:val="11"/>
                <w:color w:val="auto"/>
              </w:rPr>
            </w:pPr>
          </w:p>
        </w:tc>
        <w:tc>
          <w:tcPr>
            <w:tcW w:w="600" w:type="dxa"/>
            <w:vAlign w:val="bottom"/>
            <w:tcBorders>
              <w:top w:val="single" w:sz="8" w:color="CCEEFF"/>
            </w:tcBorders>
            <w:shd w:val="clear" w:color="auto" w:fill="CCEEFF"/>
          </w:tcPr>
          <w:p>
            <w:pPr>
              <w:spacing w:after="0"/>
              <w:rPr>
                <w:sz w:val="11"/>
                <w:szCs w:val="11"/>
                <w:color w:val="auto"/>
              </w:rPr>
            </w:pPr>
          </w:p>
        </w:tc>
        <w:tc>
          <w:tcPr>
            <w:tcW w:w="1440" w:type="dxa"/>
            <w:vAlign w:val="bottom"/>
            <w:tcBorders>
              <w:top w:val="single" w:sz="8" w:color="CCEEFF"/>
            </w:tcBorders>
            <w:shd w:val="clear" w:color="auto" w:fill="CCEEFF"/>
          </w:tcPr>
          <w:p>
            <w:pPr>
              <w:spacing w:after="0"/>
              <w:rPr>
                <w:sz w:val="11"/>
                <w:szCs w:val="11"/>
                <w:color w:val="auto"/>
              </w:rPr>
            </w:pPr>
          </w:p>
        </w:tc>
        <w:tc>
          <w:tcPr>
            <w:tcW w:w="3020" w:type="dxa"/>
            <w:vAlign w:val="bottom"/>
            <w:tcBorders>
              <w:top w:val="single" w:sz="8" w:color="CCEEFF"/>
            </w:tcBorders>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spacing w:after="0"/>
              <w:rPr>
                <w:sz w:val="11"/>
                <w:szCs w:val="11"/>
                <w:color w:val="auto"/>
              </w:rPr>
            </w:pPr>
          </w:p>
        </w:tc>
        <w:tc>
          <w:tcPr>
            <w:tcW w:w="122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r>
      <w:tr>
        <w:trPr>
          <w:trHeight w:val="153"/>
        </w:trPr>
        <w:tc>
          <w:tcPr>
            <w:tcW w:w="9280" w:type="dxa"/>
            <w:vAlign w:val="bottom"/>
            <w:gridSpan w:val="5"/>
          </w:tcPr>
          <w:p>
            <w:pPr>
              <w:ind w:left="240"/>
              <w:spacing w:after="0"/>
              <w:rPr>
                <w:sz w:val="20"/>
                <w:szCs w:val="20"/>
                <w:color w:val="auto"/>
              </w:rPr>
            </w:pPr>
            <w:r>
              <w:rPr>
                <w:rFonts w:ascii="Times New Roman" w:cs="Times New Roman" w:eastAsia="Times New Roman" w:hAnsi="Times New Roman"/>
                <w:sz w:val="12"/>
                <w:szCs w:val="12"/>
                <w:color w:val="auto"/>
              </w:rPr>
              <w:t>TOTAL STOCKHOLDERS’ DEFICIT</w:t>
            </w:r>
          </w:p>
        </w:tc>
        <w:tc>
          <w:tcPr>
            <w:tcW w:w="680" w:type="dxa"/>
            <w:vAlign w:val="bottom"/>
          </w:tcPr>
          <w:p>
            <w:pPr>
              <w:spacing w:after="0"/>
              <w:rPr>
                <w:sz w:val="13"/>
                <w:szCs w:val="13"/>
                <w:color w:val="auto"/>
              </w:rPr>
            </w:pPr>
          </w:p>
        </w:tc>
        <w:tc>
          <w:tcPr>
            <w:tcW w:w="134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(1,348,919)</w:t>
            </w:r>
          </w:p>
        </w:tc>
      </w:tr>
      <w:tr>
        <w:trPr>
          <w:trHeight w:val="133"/>
        </w:trPr>
        <w:tc>
          <w:tcPr>
            <w:tcW w:w="2760" w:type="dxa"/>
            <w:vAlign w:val="bottom"/>
            <w:tcBorders>
              <w:top w:val="single" w:sz="8" w:color="CCEEFF"/>
            </w:tcBorders>
            <w:shd w:val="clear" w:color="auto" w:fill="CCEEFF"/>
          </w:tcPr>
          <w:p>
            <w:pPr>
              <w:spacing w:after="0"/>
              <w:rPr>
                <w:sz w:val="11"/>
                <w:szCs w:val="11"/>
                <w:color w:val="auto"/>
              </w:rPr>
            </w:pPr>
          </w:p>
        </w:tc>
        <w:tc>
          <w:tcPr>
            <w:tcW w:w="1460" w:type="dxa"/>
            <w:vAlign w:val="bottom"/>
            <w:tcBorders>
              <w:top w:val="single" w:sz="8" w:color="CCEEFF"/>
            </w:tcBorders>
            <w:shd w:val="clear" w:color="auto" w:fill="CCEEFF"/>
          </w:tcPr>
          <w:p>
            <w:pPr>
              <w:spacing w:after="0"/>
              <w:rPr>
                <w:sz w:val="11"/>
                <w:szCs w:val="11"/>
                <w:color w:val="auto"/>
              </w:rPr>
            </w:pPr>
          </w:p>
        </w:tc>
        <w:tc>
          <w:tcPr>
            <w:tcW w:w="600" w:type="dxa"/>
            <w:vAlign w:val="bottom"/>
            <w:tcBorders>
              <w:top w:val="single" w:sz="8" w:color="CCEEFF"/>
            </w:tcBorders>
            <w:shd w:val="clear" w:color="auto" w:fill="CCEEFF"/>
          </w:tcPr>
          <w:p>
            <w:pPr>
              <w:spacing w:after="0"/>
              <w:rPr>
                <w:sz w:val="11"/>
                <w:szCs w:val="11"/>
                <w:color w:val="auto"/>
              </w:rPr>
            </w:pPr>
          </w:p>
        </w:tc>
        <w:tc>
          <w:tcPr>
            <w:tcW w:w="1440" w:type="dxa"/>
            <w:vAlign w:val="bottom"/>
            <w:tcBorders>
              <w:top w:val="single" w:sz="8" w:color="CCEEFF"/>
            </w:tcBorders>
            <w:shd w:val="clear" w:color="auto" w:fill="CCEEFF"/>
          </w:tcPr>
          <w:p>
            <w:pPr>
              <w:spacing w:after="0"/>
              <w:rPr>
                <w:sz w:val="11"/>
                <w:szCs w:val="11"/>
                <w:color w:val="auto"/>
              </w:rPr>
            </w:pPr>
          </w:p>
        </w:tc>
        <w:tc>
          <w:tcPr>
            <w:tcW w:w="3020" w:type="dxa"/>
            <w:vAlign w:val="bottom"/>
            <w:tcBorders>
              <w:top w:val="single" w:sz="8" w:color="CCEEFF"/>
            </w:tcBorders>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spacing w:after="0"/>
              <w:rPr>
                <w:sz w:val="11"/>
                <w:szCs w:val="11"/>
                <w:color w:val="auto"/>
              </w:rPr>
            </w:pPr>
          </w:p>
        </w:tc>
        <w:tc>
          <w:tcPr>
            <w:tcW w:w="122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r>
      <w:tr>
        <w:trPr>
          <w:trHeight w:val="169"/>
        </w:trPr>
        <w:tc>
          <w:tcPr>
            <w:tcW w:w="9280" w:type="dxa"/>
            <w:vAlign w:val="bottom"/>
            <w:gridSpan w:val="5"/>
          </w:tcPr>
          <w:p>
            <w:pPr>
              <w:ind w:left="240"/>
              <w:spacing w:after="0"/>
              <w:rPr>
                <w:sz w:val="20"/>
                <w:szCs w:val="20"/>
                <w:color w:val="auto"/>
              </w:rPr>
            </w:pPr>
            <w:r>
              <w:rPr>
                <w:rFonts w:ascii="Times New Roman" w:cs="Times New Roman" w:eastAsia="Times New Roman" w:hAnsi="Times New Roman"/>
                <w:sz w:val="12"/>
                <w:szCs w:val="12"/>
                <w:color w:val="auto"/>
              </w:rPr>
              <w:t>TOTAL LIABILITIES AND STOCKHOLDERS’ DEFICIT</w:t>
            </w:r>
          </w:p>
        </w:tc>
        <w:tc>
          <w:tcPr>
            <w:tcW w:w="680" w:type="dxa"/>
            <w:vAlign w:val="bottom"/>
          </w:tcPr>
          <w:p>
            <w:pPr>
              <w:jc w:val="right"/>
              <w:ind w:right="566"/>
              <w:spacing w:after="0"/>
              <w:rPr>
                <w:sz w:val="20"/>
                <w:szCs w:val="20"/>
                <w:color w:val="auto"/>
              </w:rPr>
            </w:pPr>
            <w:r>
              <w:rPr>
                <w:rFonts w:ascii="Times New Roman" w:cs="Times New Roman" w:eastAsia="Times New Roman" w:hAnsi="Times New Roman"/>
                <w:sz w:val="11"/>
                <w:szCs w:val="11"/>
                <w:color w:val="auto"/>
                <w:w w:val="71"/>
              </w:rPr>
              <w:t>$</w:t>
            </w:r>
          </w:p>
        </w:tc>
        <w:tc>
          <w:tcPr>
            <w:tcW w:w="134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3,297,319</w:t>
            </w:r>
          </w:p>
        </w:tc>
      </w:tr>
      <w:tr>
        <w:trPr>
          <w:trHeight w:val="288"/>
        </w:trPr>
        <w:tc>
          <w:tcPr>
            <w:tcW w:w="6260" w:type="dxa"/>
            <w:vAlign w:val="bottom"/>
            <w:tcBorders>
              <w:bottom w:val="single" w:sz="8" w:color="auto"/>
            </w:tcBorders>
            <w:gridSpan w:val="4"/>
          </w:tcPr>
          <w:p>
            <w:pPr>
              <w:jc w:val="center"/>
              <w:ind w:left="4980"/>
              <w:spacing w:after="0"/>
              <w:rPr>
                <w:sz w:val="20"/>
                <w:szCs w:val="20"/>
                <w:color w:val="auto"/>
              </w:rPr>
            </w:pPr>
            <w:r>
              <w:rPr>
                <w:rFonts w:ascii="Times New Roman" w:cs="Times New Roman" w:eastAsia="Times New Roman" w:hAnsi="Times New Roman"/>
                <w:sz w:val="12"/>
                <w:szCs w:val="12"/>
                <w:color w:val="auto"/>
                <w:w w:val="99"/>
              </w:rPr>
              <w:t>1</w:t>
            </w:r>
          </w:p>
        </w:tc>
        <w:tc>
          <w:tcPr>
            <w:tcW w:w="3020" w:type="dxa"/>
            <w:vAlign w:val="bottom"/>
            <w:tcBorders>
              <w:bottom w:val="single" w:sz="8" w:color="auto"/>
            </w:tcBorders>
          </w:tcPr>
          <w:p>
            <w:pPr>
              <w:spacing w:after="0"/>
              <w:rPr>
                <w:sz w:val="24"/>
                <w:szCs w:val="24"/>
                <w:color w:val="auto"/>
              </w:rPr>
            </w:pPr>
          </w:p>
        </w:tc>
        <w:tc>
          <w:tcPr>
            <w:tcW w:w="680" w:type="dxa"/>
            <w:vAlign w:val="bottom"/>
            <w:tcBorders>
              <w:top w:val="single" w:sz="8" w:color="auto"/>
              <w:bottom w:val="single" w:sz="8" w:color="auto"/>
            </w:tcBorders>
          </w:tcPr>
          <w:p>
            <w:pPr>
              <w:spacing w:after="0"/>
              <w:rPr>
                <w:sz w:val="24"/>
                <w:szCs w:val="24"/>
                <w:color w:val="auto"/>
              </w:rPr>
            </w:pPr>
          </w:p>
        </w:tc>
        <w:tc>
          <w:tcPr>
            <w:tcW w:w="1220" w:type="dxa"/>
            <w:vAlign w:val="bottom"/>
            <w:tcBorders>
              <w:top w:val="single" w:sz="8" w:color="auto"/>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r>
    </w:tbl>
    <w:p>
      <w:pPr>
        <w:sectPr>
          <w:pgSz w:w="11900" w:h="16838" w:orient="portrait"/>
          <w:cols w:equalWidth="0" w:num="1">
            <w:col w:w="11300"/>
          </w:cols>
          <w:pgMar w:left="300" w:top="269" w:right="299" w:bottom="1440" w:gutter="0" w:footer="0" w:header="0"/>
        </w:sectPr>
      </w:pPr>
    </w:p>
    <w:bookmarkStart w:id="5" w:name="page6"/>
    <w:bookmarkEnd w:id="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3220" w:type="dxa"/>
            <w:vAlign w:val="bottom"/>
          </w:tcPr>
          <w:p>
            <w:pPr>
              <w:spacing w:after="0"/>
              <w:rPr>
                <w:sz w:val="13"/>
                <w:szCs w:val="13"/>
                <w:color w:val="auto"/>
              </w:rPr>
            </w:pPr>
          </w:p>
        </w:tc>
        <w:tc>
          <w:tcPr>
            <w:tcW w:w="6780" w:type="dxa"/>
            <w:vAlign w:val="bottom"/>
            <w:gridSpan w:val="2"/>
          </w:tcPr>
          <w:p>
            <w:pPr>
              <w:jc w:val="center"/>
              <w:ind w:right="1866"/>
              <w:spacing w:after="0"/>
              <w:rPr>
                <w:sz w:val="20"/>
                <w:szCs w:val="20"/>
                <w:color w:val="auto"/>
              </w:rPr>
            </w:pPr>
            <w:r>
              <w:rPr>
                <w:rFonts w:ascii="Times New Roman" w:cs="Times New Roman" w:eastAsia="Times New Roman" w:hAnsi="Times New Roman"/>
                <w:sz w:val="12"/>
                <w:szCs w:val="12"/>
                <w:b w:val="1"/>
                <w:bCs w:val="1"/>
                <w:color w:val="auto"/>
              </w:rPr>
              <w:t>CLEARDOC, INC. AND SUBSIDIARY</w:t>
            </w:r>
          </w:p>
        </w:tc>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288"/>
        </w:trPr>
        <w:tc>
          <w:tcPr>
            <w:tcW w:w="3220" w:type="dxa"/>
            <w:vAlign w:val="bottom"/>
          </w:tcPr>
          <w:p>
            <w:pPr>
              <w:spacing w:after="0"/>
              <w:rPr>
                <w:sz w:val="24"/>
                <w:szCs w:val="24"/>
                <w:color w:val="auto"/>
              </w:rPr>
            </w:pPr>
          </w:p>
        </w:tc>
        <w:tc>
          <w:tcPr>
            <w:tcW w:w="6780" w:type="dxa"/>
            <w:vAlign w:val="bottom"/>
            <w:gridSpan w:val="2"/>
          </w:tcPr>
          <w:p>
            <w:pPr>
              <w:jc w:val="center"/>
              <w:ind w:right="1866"/>
              <w:spacing w:after="0"/>
              <w:rPr>
                <w:sz w:val="20"/>
                <w:szCs w:val="20"/>
                <w:color w:val="auto"/>
              </w:rPr>
            </w:pPr>
            <w:r>
              <w:rPr>
                <w:rFonts w:ascii="Times New Roman" w:cs="Times New Roman" w:eastAsia="Times New Roman" w:hAnsi="Times New Roman"/>
                <w:sz w:val="12"/>
                <w:szCs w:val="12"/>
                <w:b w:val="1"/>
                <w:bCs w:val="1"/>
                <w:color w:val="auto"/>
                <w:w w:val="98"/>
              </w:rPr>
              <w:t>CONSOLIDATED STATEMENT OF OPERATIONS</w:t>
            </w: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88"/>
        </w:trPr>
        <w:tc>
          <w:tcPr>
            <w:tcW w:w="3220" w:type="dxa"/>
            <w:vAlign w:val="bottom"/>
          </w:tcPr>
          <w:p>
            <w:pPr>
              <w:spacing w:after="0"/>
              <w:rPr>
                <w:sz w:val="24"/>
                <w:szCs w:val="24"/>
                <w:color w:val="auto"/>
              </w:rPr>
            </w:pPr>
          </w:p>
        </w:tc>
        <w:tc>
          <w:tcPr>
            <w:tcW w:w="6780" w:type="dxa"/>
            <w:vAlign w:val="bottom"/>
            <w:gridSpan w:val="2"/>
          </w:tcPr>
          <w:p>
            <w:pPr>
              <w:jc w:val="center"/>
              <w:ind w:right="1886"/>
              <w:spacing w:after="0"/>
              <w:rPr>
                <w:sz w:val="20"/>
                <w:szCs w:val="20"/>
                <w:color w:val="auto"/>
              </w:rPr>
            </w:pPr>
            <w:r>
              <w:rPr>
                <w:rFonts w:ascii="Times New Roman" w:cs="Times New Roman" w:eastAsia="Times New Roman" w:hAnsi="Times New Roman"/>
                <w:sz w:val="12"/>
                <w:szCs w:val="12"/>
                <w:color w:val="auto"/>
                <w:w w:val="98"/>
              </w:rPr>
              <w:t>Year Ended December 31, 2023</w:t>
            </w: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44"/>
        </w:trPr>
        <w:tc>
          <w:tcPr>
            <w:tcW w:w="3220" w:type="dxa"/>
            <w:vAlign w:val="bottom"/>
          </w:tcPr>
          <w:p>
            <w:pPr>
              <w:spacing w:after="0"/>
              <w:rPr>
                <w:sz w:val="12"/>
                <w:szCs w:val="12"/>
                <w:color w:val="auto"/>
              </w:rPr>
            </w:pPr>
          </w:p>
        </w:tc>
        <w:tc>
          <w:tcPr>
            <w:tcW w:w="60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4"/>
        </w:trPr>
        <w:tc>
          <w:tcPr>
            <w:tcW w:w="32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NET REVENUE</w:t>
            </w:r>
          </w:p>
        </w:tc>
        <w:tc>
          <w:tcPr>
            <w:tcW w:w="6780" w:type="dxa"/>
            <w:vAlign w:val="bottom"/>
            <w:gridSpan w:val="2"/>
            <w:shd w:val="clear" w:color="auto" w:fill="CCEEFF"/>
          </w:tcPr>
          <w:p>
            <w:pPr>
              <w:jc w:val="right"/>
              <w:ind w:right="606"/>
              <w:spacing w:after="0"/>
              <w:rPr>
                <w:sz w:val="20"/>
                <w:szCs w:val="20"/>
                <w:color w:val="auto"/>
              </w:rPr>
            </w:pPr>
            <w:r>
              <w:rPr>
                <w:rFonts w:ascii="Times New Roman" w:cs="Times New Roman" w:eastAsia="Times New Roman" w:hAnsi="Times New Roman"/>
                <w:sz w:val="12"/>
                <w:szCs w:val="12"/>
                <w:color w:val="auto"/>
              </w:rPr>
              <w:t>$</w:t>
            </w:r>
          </w:p>
        </w:tc>
        <w:tc>
          <w:tcPr>
            <w:tcW w:w="1300" w:type="dxa"/>
            <w:vAlign w:val="bottom"/>
            <w:gridSpan w:val="2"/>
            <w:shd w:val="clear" w:color="auto" w:fill="CCEEFF"/>
          </w:tcPr>
          <w:p>
            <w:pPr>
              <w:jc w:val="right"/>
              <w:ind w:right="78"/>
              <w:spacing w:after="0"/>
              <w:rPr>
                <w:sz w:val="20"/>
                <w:szCs w:val="20"/>
                <w:color w:val="auto"/>
              </w:rPr>
            </w:pPr>
            <w:r>
              <w:rPr>
                <w:rFonts w:ascii="Times New Roman" w:cs="Times New Roman" w:eastAsia="Times New Roman" w:hAnsi="Times New Roman"/>
                <w:sz w:val="12"/>
                <w:szCs w:val="12"/>
                <w:color w:val="auto"/>
              </w:rPr>
              <w:t>7,520,028</w:t>
            </w:r>
          </w:p>
        </w:tc>
      </w:tr>
      <w:tr>
        <w:trPr>
          <w:trHeight w:val="153"/>
        </w:trPr>
        <w:tc>
          <w:tcPr>
            <w:tcW w:w="3220" w:type="dxa"/>
            <w:vAlign w:val="bottom"/>
          </w:tcPr>
          <w:p>
            <w:pPr>
              <w:spacing w:after="0"/>
              <w:rPr>
                <w:sz w:val="20"/>
                <w:szCs w:val="20"/>
                <w:color w:val="auto"/>
              </w:rPr>
            </w:pPr>
            <w:r>
              <w:rPr>
                <w:rFonts w:ascii="Times New Roman" w:cs="Times New Roman" w:eastAsia="Times New Roman" w:hAnsi="Times New Roman"/>
                <w:sz w:val="12"/>
                <w:szCs w:val="12"/>
                <w:color w:val="auto"/>
              </w:rPr>
              <w:t>COST OF REVENUE</w:t>
            </w:r>
          </w:p>
        </w:tc>
        <w:tc>
          <w:tcPr>
            <w:tcW w:w="60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300" w:type="dxa"/>
            <w:vAlign w:val="bottom"/>
            <w:gridSpan w:val="2"/>
          </w:tcPr>
          <w:p>
            <w:pPr>
              <w:jc w:val="right"/>
              <w:ind w:right="78"/>
              <w:spacing w:after="0"/>
              <w:rPr>
                <w:sz w:val="20"/>
                <w:szCs w:val="20"/>
                <w:color w:val="auto"/>
              </w:rPr>
            </w:pPr>
            <w:r>
              <w:rPr>
                <w:rFonts w:ascii="Times New Roman" w:cs="Times New Roman" w:eastAsia="Times New Roman" w:hAnsi="Times New Roman"/>
                <w:sz w:val="12"/>
                <w:szCs w:val="12"/>
                <w:color w:val="auto"/>
              </w:rPr>
              <w:t>1,062,331</w:t>
            </w:r>
          </w:p>
        </w:tc>
      </w:tr>
      <w:tr>
        <w:trPr>
          <w:trHeight w:val="133"/>
        </w:trPr>
        <w:tc>
          <w:tcPr>
            <w:tcW w:w="3220" w:type="dxa"/>
            <w:vAlign w:val="bottom"/>
            <w:tcBorders>
              <w:top w:val="single" w:sz="8" w:color="CCEEFF"/>
            </w:tcBorders>
            <w:shd w:val="clear" w:color="auto" w:fill="CCEEFF"/>
          </w:tcPr>
          <w:p>
            <w:pPr>
              <w:ind w:left="240"/>
              <w:spacing w:after="0" w:line="133" w:lineRule="exact"/>
              <w:rPr>
                <w:sz w:val="20"/>
                <w:szCs w:val="20"/>
                <w:color w:val="auto"/>
              </w:rPr>
            </w:pPr>
            <w:r>
              <w:rPr>
                <w:rFonts w:ascii="Times New Roman" w:cs="Times New Roman" w:eastAsia="Times New Roman" w:hAnsi="Times New Roman"/>
                <w:sz w:val="12"/>
                <w:szCs w:val="12"/>
                <w:color w:val="auto"/>
              </w:rPr>
              <w:t>GROSS PROFIT</w:t>
            </w:r>
          </w:p>
        </w:tc>
        <w:tc>
          <w:tcPr>
            <w:tcW w:w="6060" w:type="dxa"/>
            <w:vAlign w:val="bottom"/>
            <w:tcBorders>
              <w:top w:val="single" w:sz="8" w:color="CCEEFF"/>
            </w:tcBorders>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spacing w:after="0"/>
              <w:rPr>
                <w:sz w:val="11"/>
                <w:szCs w:val="11"/>
                <w:color w:val="auto"/>
              </w:rPr>
            </w:pPr>
          </w:p>
        </w:tc>
        <w:tc>
          <w:tcPr>
            <w:tcW w:w="118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6,457,697</w:t>
            </w:r>
          </w:p>
        </w:tc>
        <w:tc>
          <w:tcPr>
            <w:tcW w:w="120" w:type="dxa"/>
            <w:vAlign w:val="bottom"/>
            <w:tcBorders>
              <w:top w:val="single" w:sz="8" w:color="CCEEFF"/>
            </w:tcBorders>
            <w:shd w:val="clear" w:color="auto" w:fill="CCEEFF"/>
          </w:tcPr>
          <w:p>
            <w:pPr>
              <w:spacing w:after="0"/>
              <w:rPr>
                <w:sz w:val="11"/>
                <w:szCs w:val="11"/>
                <w:color w:val="auto"/>
              </w:rPr>
            </w:pPr>
          </w:p>
        </w:tc>
      </w:tr>
      <w:tr>
        <w:trPr>
          <w:trHeight w:val="144"/>
        </w:trPr>
        <w:tc>
          <w:tcPr>
            <w:tcW w:w="3220" w:type="dxa"/>
            <w:vAlign w:val="bottom"/>
          </w:tcPr>
          <w:p>
            <w:pPr>
              <w:spacing w:after="0"/>
              <w:rPr>
                <w:sz w:val="12"/>
                <w:szCs w:val="12"/>
                <w:color w:val="auto"/>
              </w:rPr>
            </w:pPr>
          </w:p>
        </w:tc>
        <w:tc>
          <w:tcPr>
            <w:tcW w:w="60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53"/>
        </w:trPr>
        <w:tc>
          <w:tcPr>
            <w:tcW w:w="32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OPERATING EXPENSES</w:t>
            </w:r>
          </w:p>
        </w:tc>
        <w:tc>
          <w:tcPr>
            <w:tcW w:w="606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300" w:type="dxa"/>
            <w:vAlign w:val="bottom"/>
            <w:gridSpan w:val="2"/>
            <w:shd w:val="clear" w:color="auto" w:fill="CCEEFF"/>
          </w:tcPr>
          <w:p>
            <w:pPr>
              <w:jc w:val="right"/>
              <w:ind w:right="78"/>
              <w:spacing w:after="0"/>
              <w:rPr>
                <w:sz w:val="20"/>
                <w:szCs w:val="20"/>
                <w:color w:val="auto"/>
              </w:rPr>
            </w:pPr>
            <w:r>
              <w:rPr>
                <w:rFonts w:ascii="Times New Roman" w:cs="Times New Roman" w:eastAsia="Times New Roman" w:hAnsi="Times New Roman"/>
                <w:sz w:val="12"/>
                <w:szCs w:val="12"/>
                <w:color w:val="auto"/>
              </w:rPr>
              <w:t>7,689,589</w:t>
            </w:r>
          </w:p>
        </w:tc>
      </w:tr>
      <w:tr>
        <w:trPr>
          <w:trHeight w:val="133"/>
        </w:trPr>
        <w:tc>
          <w:tcPr>
            <w:tcW w:w="3220" w:type="dxa"/>
            <w:vAlign w:val="bottom"/>
            <w:tcBorders>
              <w:bottom w:val="single" w:sz="8" w:color="CCEEFF"/>
            </w:tcBorders>
          </w:tcPr>
          <w:p>
            <w:pPr>
              <w:ind w:left="240"/>
              <w:spacing w:after="0" w:line="133" w:lineRule="exact"/>
              <w:rPr>
                <w:sz w:val="20"/>
                <w:szCs w:val="20"/>
                <w:color w:val="auto"/>
              </w:rPr>
            </w:pPr>
            <w:r>
              <w:rPr>
                <w:rFonts w:ascii="Times New Roman" w:cs="Times New Roman" w:eastAsia="Times New Roman" w:hAnsi="Times New Roman"/>
                <w:sz w:val="12"/>
                <w:szCs w:val="12"/>
                <w:color w:val="auto"/>
              </w:rPr>
              <w:t>OPERATING LOSS</w:t>
            </w:r>
          </w:p>
        </w:tc>
        <w:tc>
          <w:tcPr>
            <w:tcW w:w="6060" w:type="dxa"/>
            <w:vAlign w:val="bottom"/>
            <w:tcBorders>
              <w:bottom w:val="single" w:sz="8" w:color="CCEEFF"/>
            </w:tcBorders>
          </w:tcPr>
          <w:p>
            <w:pPr>
              <w:spacing w:after="0"/>
              <w:rPr>
                <w:sz w:val="11"/>
                <w:szCs w:val="11"/>
                <w:color w:val="auto"/>
              </w:rPr>
            </w:pPr>
          </w:p>
        </w:tc>
        <w:tc>
          <w:tcPr>
            <w:tcW w:w="720" w:type="dxa"/>
            <w:vAlign w:val="bottom"/>
            <w:tcBorders>
              <w:top w:val="single" w:sz="8" w:color="auto"/>
              <w:bottom w:val="single" w:sz="8" w:color="auto"/>
            </w:tcBorders>
          </w:tcPr>
          <w:p>
            <w:pPr>
              <w:spacing w:after="0"/>
              <w:rPr>
                <w:sz w:val="11"/>
                <w:szCs w:val="11"/>
                <w:color w:val="auto"/>
              </w:rPr>
            </w:pPr>
          </w:p>
        </w:tc>
        <w:tc>
          <w:tcPr>
            <w:tcW w:w="1180" w:type="dxa"/>
            <w:vAlign w:val="bottom"/>
            <w:tcBorders>
              <w:top w:val="single" w:sz="8" w:color="auto"/>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(1,231,892)</w:t>
            </w:r>
          </w:p>
        </w:tc>
        <w:tc>
          <w:tcPr>
            <w:tcW w:w="120" w:type="dxa"/>
            <w:vAlign w:val="bottom"/>
            <w:tcBorders>
              <w:bottom w:val="single" w:sz="8" w:color="CCEEFF"/>
            </w:tcBorders>
          </w:tcPr>
          <w:p>
            <w:pPr>
              <w:spacing w:after="0"/>
              <w:rPr>
                <w:sz w:val="11"/>
                <w:szCs w:val="11"/>
                <w:color w:val="auto"/>
              </w:rPr>
            </w:pPr>
          </w:p>
        </w:tc>
      </w:tr>
      <w:tr>
        <w:trPr>
          <w:trHeight w:val="133"/>
        </w:trPr>
        <w:tc>
          <w:tcPr>
            <w:tcW w:w="3220" w:type="dxa"/>
            <w:vAlign w:val="bottom"/>
            <w:shd w:val="clear" w:color="auto" w:fill="CCEEFF"/>
          </w:tcPr>
          <w:p>
            <w:pPr>
              <w:spacing w:after="0"/>
              <w:rPr>
                <w:sz w:val="11"/>
                <w:szCs w:val="11"/>
                <w:color w:val="auto"/>
              </w:rPr>
            </w:pPr>
          </w:p>
        </w:tc>
        <w:tc>
          <w:tcPr>
            <w:tcW w:w="60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r>
      <w:tr>
        <w:trPr>
          <w:trHeight w:val="144"/>
        </w:trPr>
        <w:tc>
          <w:tcPr>
            <w:tcW w:w="3220" w:type="dxa"/>
            <w:vAlign w:val="bottom"/>
          </w:tcPr>
          <w:p>
            <w:pPr>
              <w:spacing w:after="0"/>
              <w:rPr>
                <w:sz w:val="20"/>
                <w:szCs w:val="20"/>
                <w:color w:val="auto"/>
              </w:rPr>
            </w:pPr>
            <w:r>
              <w:rPr>
                <w:rFonts w:ascii="Times New Roman" w:cs="Times New Roman" w:eastAsia="Times New Roman" w:hAnsi="Times New Roman"/>
                <w:sz w:val="12"/>
                <w:szCs w:val="12"/>
                <w:color w:val="auto"/>
              </w:rPr>
              <w:t>OTHER INCOME (EXPENSE)</w:t>
            </w:r>
          </w:p>
        </w:tc>
        <w:tc>
          <w:tcPr>
            <w:tcW w:w="60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4"/>
        </w:trPr>
        <w:tc>
          <w:tcPr>
            <w:tcW w:w="32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Other income</w:t>
            </w:r>
          </w:p>
        </w:tc>
        <w:tc>
          <w:tcPr>
            <w:tcW w:w="60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300" w:type="dxa"/>
            <w:vAlign w:val="bottom"/>
            <w:gridSpan w:val="2"/>
            <w:shd w:val="clear" w:color="auto" w:fill="CCEEFF"/>
          </w:tcPr>
          <w:p>
            <w:pPr>
              <w:jc w:val="right"/>
              <w:ind w:right="78"/>
              <w:spacing w:after="0"/>
              <w:rPr>
                <w:sz w:val="20"/>
                <w:szCs w:val="20"/>
                <w:color w:val="auto"/>
              </w:rPr>
            </w:pPr>
            <w:r>
              <w:rPr>
                <w:rFonts w:ascii="Times New Roman" w:cs="Times New Roman" w:eastAsia="Times New Roman" w:hAnsi="Times New Roman"/>
                <w:sz w:val="12"/>
                <w:szCs w:val="12"/>
                <w:color w:val="auto"/>
              </w:rPr>
              <w:t>11,932</w:t>
            </w:r>
          </w:p>
        </w:tc>
      </w:tr>
      <w:tr>
        <w:trPr>
          <w:trHeight w:val="153"/>
        </w:trPr>
        <w:tc>
          <w:tcPr>
            <w:tcW w:w="322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Interest expense, net</w:t>
            </w:r>
          </w:p>
        </w:tc>
        <w:tc>
          <w:tcPr>
            <w:tcW w:w="60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300" w:type="dxa"/>
            <w:vAlign w:val="bottom"/>
            <w:gridSpan w:val="2"/>
          </w:tcPr>
          <w:p>
            <w:pPr>
              <w:jc w:val="right"/>
              <w:ind w:right="38"/>
              <w:spacing w:after="0"/>
              <w:rPr>
                <w:sz w:val="20"/>
                <w:szCs w:val="20"/>
                <w:color w:val="auto"/>
              </w:rPr>
            </w:pPr>
            <w:r>
              <w:rPr>
                <w:rFonts w:ascii="Times New Roman" w:cs="Times New Roman" w:eastAsia="Times New Roman" w:hAnsi="Times New Roman"/>
                <w:sz w:val="12"/>
                <w:szCs w:val="12"/>
                <w:color w:val="auto"/>
              </w:rPr>
              <w:t>(63,246)</w:t>
            </w:r>
          </w:p>
        </w:tc>
      </w:tr>
      <w:tr>
        <w:trPr>
          <w:trHeight w:val="133"/>
        </w:trPr>
        <w:tc>
          <w:tcPr>
            <w:tcW w:w="3220" w:type="dxa"/>
            <w:vAlign w:val="bottom"/>
            <w:tcBorders>
              <w:top w:val="single" w:sz="8" w:color="CCEEFF"/>
            </w:tcBorders>
            <w:shd w:val="clear" w:color="auto" w:fill="CCEEFF"/>
          </w:tcPr>
          <w:p>
            <w:pPr>
              <w:ind w:left="240"/>
              <w:spacing w:after="0" w:line="133" w:lineRule="exact"/>
              <w:rPr>
                <w:sz w:val="20"/>
                <w:szCs w:val="20"/>
                <w:color w:val="auto"/>
              </w:rPr>
            </w:pPr>
            <w:r>
              <w:rPr>
                <w:rFonts w:ascii="Times New Roman" w:cs="Times New Roman" w:eastAsia="Times New Roman" w:hAnsi="Times New Roman"/>
                <w:sz w:val="12"/>
                <w:szCs w:val="12"/>
                <w:color w:val="auto"/>
              </w:rPr>
              <w:t>TOTAL OTHER INCOME (EXPENSE)</w:t>
            </w:r>
          </w:p>
        </w:tc>
        <w:tc>
          <w:tcPr>
            <w:tcW w:w="6060" w:type="dxa"/>
            <w:vAlign w:val="bottom"/>
            <w:tcBorders>
              <w:top w:val="single" w:sz="8" w:color="CCEEFF"/>
            </w:tcBorders>
            <w:shd w:val="clear" w:color="auto" w:fill="CCEEFF"/>
          </w:tcPr>
          <w:p>
            <w:pPr>
              <w:spacing w:after="0"/>
              <w:rPr>
                <w:sz w:val="11"/>
                <w:szCs w:val="11"/>
                <w:color w:val="auto"/>
              </w:rPr>
            </w:pPr>
          </w:p>
        </w:tc>
        <w:tc>
          <w:tcPr>
            <w:tcW w:w="720" w:type="dxa"/>
            <w:vAlign w:val="bottom"/>
            <w:tcBorders>
              <w:top w:val="single" w:sz="8" w:color="auto"/>
              <w:bottom w:val="single" w:sz="8" w:color="auto"/>
            </w:tcBorders>
            <w:shd w:val="clear" w:color="auto" w:fill="CCEEFF"/>
          </w:tcPr>
          <w:p>
            <w:pPr>
              <w:spacing w:after="0"/>
              <w:rPr>
                <w:sz w:val="11"/>
                <w:szCs w:val="11"/>
                <w:color w:val="auto"/>
              </w:rPr>
            </w:pPr>
          </w:p>
        </w:tc>
        <w:tc>
          <w:tcPr>
            <w:tcW w:w="118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(51,314)</w:t>
            </w:r>
          </w:p>
        </w:tc>
        <w:tc>
          <w:tcPr>
            <w:tcW w:w="120" w:type="dxa"/>
            <w:vAlign w:val="bottom"/>
            <w:tcBorders>
              <w:top w:val="single" w:sz="8" w:color="CCEEFF"/>
            </w:tcBorders>
            <w:shd w:val="clear" w:color="auto" w:fill="CCEEFF"/>
          </w:tcPr>
          <w:p>
            <w:pPr>
              <w:spacing w:after="0"/>
              <w:rPr>
                <w:sz w:val="11"/>
                <w:szCs w:val="11"/>
                <w:color w:val="auto"/>
              </w:rPr>
            </w:pPr>
          </w:p>
        </w:tc>
      </w:tr>
      <w:tr>
        <w:trPr>
          <w:trHeight w:val="133"/>
        </w:trPr>
        <w:tc>
          <w:tcPr>
            <w:tcW w:w="3220" w:type="dxa"/>
            <w:vAlign w:val="bottom"/>
          </w:tcPr>
          <w:p>
            <w:pPr>
              <w:ind w:left="240"/>
              <w:spacing w:after="0" w:line="133" w:lineRule="exact"/>
              <w:rPr>
                <w:sz w:val="20"/>
                <w:szCs w:val="20"/>
                <w:color w:val="auto"/>
              </w:rPr>
            </w:pPr>
            <w:r>
              <w:rPr>
                <w:rFonts w:ascii="Times New Roman" w:cs="Times New Roman" w:eastAsia="Times New Roman" w:hAnsi="Times New Roman"/>
                <w:sz w:val="12"/>
                <w:szCs w:val="12"/>
                <w:color w:val="auto"/>
              </w:rPr>
              <w:t>LOSS BEFORE INCOME TAXES</w:t>
            </w:r>
          </w:p>
        </w:tc>
        <w:tc>
          <w:tcPr>
            <w:tcW w:w="60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8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(1,283,206)</w:t>
            </w:r>
          </w:p>
        </w:tc>
        <w:tc>
          <w:tcPr>
            <w:tcW w:w="120" w:type="dxa"/>
            <w:vAlign w:val="bottom"/>
          </w:tcPr>
          <w:p>
            <w:pPr>
              <w:spacing w:after="0"/>
              <w:rPr>
                <w:sz w:val="11"/>
                <w:szCs w:val="11"/>
                <w:color w:val="auto"/>
              </w:rPr>
            </w:pPr>
          </w:p>
        </w:tc>
      </w:tr>
      <w:tr>
        <w:trPr>
          <w:trHeight w:val="153"/>
        </w:trPr>
        <w:tc>
          <w:tcPr>
            <w:tcW w:w="32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2"/>
                <w:szCs w:val="12"/>
                <w:color w:val="auto"/>
              </w:rPr>
              <w:t>INCOME TAX BENEFIT</w:t>
            </w:r>
          </w:p>
        </w:tc>
        <w:tc>
          <w:tcPr>
            <w:tcW w:w="606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300" w:type="dxa"/>
            <w:vAlign w:val="bottom"/>
            <w:gridSpan w:val="2"/>
            <w:shd w:val="clear" w:color="auto" w:fill="CCEEFF"/>
          </w:tcPr>
          <w:p>
            <w:pPr>
              <w:jc w:val="right"/>
              <w:ind w:right="78"/>
              <w:spacing w:after="0"/>
              <w:rPr>
                <w:sz w:val="20"/>
                <w:szCs w:val="20"/>
                <w:color w:val="auto"/>
              </w:rPr>
            </w:pPr>
            <w:r>
              <w:rPr>
                <w:rFonts w:ascii="Times New Roman" w:cs="Times New Roman" w:eastAsia="Times New Roman" w:hAnsi="Times New Roman"/>
                <w:sz w:val="12"/>
                <w:szCs w:val="12"/>
                <w:color w:val="auto"/>
              </w:rPr>
              <w:t>-</w:t>
            </w:r>
          </w:p>
        </w:tc>
      </w:tr>
      <w:tr>
        <w:trPr>
          <w:trHeight w:val="149"/>
        </w:trPr>
        <w:tc>
          <w:tcPr>
            <w:tcW w:w="3220" w:type="dxa"/>
            <w:vAlign w:val="bottom"/>
          </w:tcPr>
          <w:p>
            <w:pPr>
              <w:ind w:left="240"/>
              <w:spacing w:after="0" w:line="135" w:lineRule="exact"/>
              <w:rPr>
                <w:sz w:val="20"/>
                <w:szCs w:val="20"/>
                <w:color w:val="auto"/>
              </w:rPr>
            </w:pPr>
            <w:r>
              <w:rPr>
                <w:rFonts w:ascii="Times New Roman" w:cs="Times New Roman" w:eastAsia="Times New Roman" w:hAnsi="Times New Roman"/>
                <w:sz w:val="12"/>
                <w:szCs w:val="12"/>
                <w:color w:val="auto"/>
              </w:rPr>
              <w:t>NET LOSS</w:t>
            </w:r>
          </w:p>
        </w:tc>
        <w:tc>
          <w:tcPr>
            <w:tcW w:w="6060" w:type="dxa"/>
            <w:vAlign w:val="bottom"/>
          </w:tcPr>
          <w:p>
            <w:pPr>
              <w:spacing w:after="0"/>
              <w:rPr>
                <w:sz w:val="12"/>
                <w:szCs w:val="12"/>
                <w:color w:val="auto"/>
              </w:rPr>
            </w:pPr>
          </w:p>
        </w:tc>
        <w:tc>
          <w:tcPr>
            <w:tcW w:w="720" w:type="dxa"/>
            <w:vAlign w:val="bottom"/>
            <w:tcBorders>
              <w:top w:val="single" w:sz="8" w:color="auto"/>
              <w:bottom w:val="single" w:sz="8" w:color="auto"/>
            </w:tcBorders>
          </w:tcPr>
          <w:p>
            <w:pPr>
              <w:jc w:val="right"/>
              <w:ind w:right="606"/>
              <w:spacing w:after="0"/>
              <w:rPr>
                <w:sz w:val="20"/>
                <w:szCs w:val="20"/>
                <w:color w:val="auto"/>
              </w:rPr>
            </w:pPr>
            <w:r>
              <w:rPr>
                <w:rFonts w:ascii="Times New Roman" w:cs="Times New Roman" w:eastAsia="Times New Roman" w:hAnsi="Times New Roman"/>
                <w:sz w:val="11"/>
                <w:szCs w:val="11"/>
                <w:color w:val="auto"/>
                <w:w w:val="71"/>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(1,283,206</w:t>
            </w:r>
          </w:p>
        </w:tc>
        <w:tc>
          <w:tcPr>
            <w:tcW w:w="120" w:type="dxa"/>
            <w:vAlign w:val="bottom"/>
          </w:tcPr>
          <w:p>
            <w:pPr>
              <w:jc w:val="right"/>
              <w:ind w:right="38"/>
              <w:spacing w:after="0"/>
              <w:rPr>
                <w:sz w:val="20"/>
                <w:szCs w:val="20"/>
                <w:color w:val="auto"/>
              </w:rPr>
            </w:pPr>
            <w:r>
              <w:rPr>
                <w:rFonts w:ascii="Times New Roman" w:cs="Times New Roman" w:eastAsia="Times New Roman" w:hAnsi="Times New Roman"/>
                <w:sz w:val="8"/>
                <w:szCs w:val="8"/>
                <w:color w:val="auto"/>
                <w:w w:val="73"/>
              </w:rPr>
              <w:t>)</w:t>
            </w:r>
          </w:p>
        </w:tc>
      </w:tr>
      <w:tr>
        <w:trPr>
          <w:trHeight w:val="288"/>
        </w:trPr>
        <w:tc>
          <w:tcPr>
            <w:tcW w:w="3220" w:type="dxa"/>
            <w:vAlign w:val="bottom"/>
            <w:tcBorders>
              <w:bottom w:val="single" w:sz="8" w:color="auto"/>
            </w:tcBorders>
          </w:tcPr>
          <w:p>
            <w:pPr>
              <w:spacing w:after="0"/>
              <w:rPr>
                <w:sz w:val="24"/>
                <w:szCs w:val="24"/>
                <w:color w:val="auto"/>
              </w:rPr>
            </w:pPr>
          </w:p>
        </w:tc>
        <w:tc>
          <w:tcPr>
            <w:tcW w:w="6060" w:type="dxa"/>
            <w:vAlign w:val="bottom"/>
            <w:tcBorders>
              <w:bottom w:val="single" w:sz="8" w:color="auto"/>
            </w:tcBorders>
          </w:tcPr>
          <w:p>
            <w:pPr>
              <w:jc w:val="center"/>
              <w:ind w:right="1140"/>
              <w:spacing w:after="0"/>
              <w:rPr>
                <w:sz w:val="20"/>
                <w:szCs w:val="20"/>
                <w:color w:val="auto"/>
              </w:rPr>
            </w:pPr>
            <w:r>
              <w:rPr>
                <w:rFonts w:ascii="Times New Roman" w:cs="Times New Roman" w:eastAsia="Times New Roman" w:hAnsi="Times New Roman"/>
                <w:sz w:val="12"/>
                <w:szCs w:val="12"/>
                <w:color w:val="auto"/>
                <w:w w:val="99"/>
              </w:rPr>
              <w:t>2</w:t>
            </w:r>
          </w:p>
        </w:tc>
        <w:tc>
          <w:tcPr>
            <w:tcW w:w="72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r>
    </w:tbl>
    <w:p>
      <w:pPr>
        <w:sectPr>
          <w:pgSz w:w="11900" w:h="16838" w:orient="portrait"/>
          <w:cols w:equalWidth="0" w:num="1">
            <w:col w:w="11300"/>
          </w:cols>
          <w:pgMar w:left="300" w:top="485" w:right="299" w:bottom="1440" w:gutter="0" w:footer="0" w:header="0"/>
        </w:sectPr>
      </w:pPr>
    </w:p>
    <w:bookmarkStart w:id="6" w:name="page7"/>
    <w:bookmarkEnd w:id="6"/>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CLEARDOC, INC. AND SUBSIDIARY</w:t>
      </w:r>
    </w:p>
    <w:p>
      <w:pPr>
        <w:spacing w:after="0" w:line="15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CONSOLIDATED STATEMENT OF CHANGES IN STOCKHOLDERS’ DEFICIT</w:t>
      </w:r>
    </w:p>
    <w:p>
      <w:pPr>
        <w:spacing w:after="0" w:line="15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color w:val="auto"/>
        </w:rPr>
        <w:t>Year ended December 31, 2023</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2420" w:type="dxa"/>
            <w:vAlign w:val="bottom"/>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740" w:type="dxa"/>
            <w:vAlign w:val="bottom"/>
            <w:tcBorders>
              <w:bottom w:val="single" w:sz="8" w:color="auto"/>
            </w:tcBorders>
            <w:gridSpan w:val="7"/>
          </w:tcPr>
          <w:p>
            <w:pPr>
              <w:ind w:left="320"/>
              <w:spacing w:after="0"/>
              <w:rPr>
                <w:sz w:val="20"/>
                <w:szCs w:val="20"/>
                <w:color w:val="auto"/>
              </w:rPr>
            </w:pPr>
            <w:r>
              <w:rPr>
                <w:rFonts w:ascii="Times New Roman" w:cs="Times New Roman" w:eastAsia="Times New Roman" w:hAnsi="Times New Roman"/>
                <w:sz w:val="10"/>
                <w:szCs w:val="10"/>
                <w:b w:val="1"/>
                <w:bCs w:val="1"/>
                <w:color w:val="auto"/>
              </w:rPr>
              <w:t>Convertible Preferred Stock</w:t>
            </w:r>
          </w:p>
        </w:tc>
        <w:tc>
          <w:tcPr>
            <w:tcW w:w="38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gridSpan w:val="2"/>
          </w:tcPr>
          <w:p>
            <w:pPr>
              <w:jc w:val="center"/>
              <w:ind w:right="180"/>
              <w:spacing w:after="0"/>
              <w:rPr>
                <w:sz w:val="20"/>
                <w:szCs w:val="20"/>
                <w:color w:val="auto"/>
              </w:rPr>
            </w:pPr>
            <w:r>
              <w:rPr>
                <w:rFonts w:ascii="Times New Roman" w:cs="Times New Roman" w:eastAsia="Times New Roman" w:hAnsi="Times New Roman"/>
                <w:sz w:val="10"/>
                <w:szCs w:val="10"/>
                <w:b w:val="1"/>
                <w:bCs w:val="1"/>
                <w:color w:val="auto"/>
                <w:w w:val="96"/>
              </w:rPr>
              <w:t>Additional</w:t>
            </w:r>
          </w:p>
        </w:tc>
        <w:tc>
          <w:tcPr>
            <w:tcW w:w="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20" w:type="dxa"/>
            <w:vAlign w:val="bottom"/>
            <w:gridSpan w:val="2"/>
          </w:tcPr>
          <w:p>
            <w:pPr>
              <w:jc w:val="center"/>
              <w:ind w:right="78"/>
              <w:spacing w:after="0"/>
              <w:rPr>
                <w:sz w:val="20"/>
                <w:szCs w:val="20"/>
                <w:color w:val="auto"/>
              </w:rPr>
            </w:pPr>
            <w:r>
              <w:rPr>
                <w:rFonts w:ascii="Times New Roman" w:cs="Times New Roman" w:eastAsia="Times New Roman" w:hAnsi="Times New Roman"/>
                <w:sz w:val="10"/>
                <w:szCs w:val="10"/>
                <w:b w:val="1"/>
                <w:bCs w:val="1"/>
                <w:color w:val="auto"/>
                <w:w w:val="87"/>
              </w:rPr>
              <w:t>Total</w:t>
            </w:r>
          </w:p>
        </w:tc>
      </w:tr>
      <w:tr>
        <w:trPr>
          <w:trHeight w:val="97"/>
        </w:trPr>
        <w:tc>
          <w:tcPr>
            <w:tcW w:w="2420" w:type="dxa"/>
            <w:vAlign w:val="bottom"/>
          </w:tcPr>
          <w:p>
            <w:pPr>
              <w:spacing w:after="0"/>
              <w:rPr>
                <w:sz w:val="8"/>
                <w:szCs w:val="8"/>
                <w:color w:val="auto"/>
              </w:rPr>
            </w:pPr>
          </w:p>
        </w:tc>
        <w:tc>
          <w:tcPr>
            <w:tcW w:w="1200" w:type="dxa"/>
            <w:vAlign w:val="bottom"/>
            <w:gridSpan w:val="4"/>
          </w:tcPr>
          <w:p>
            <w:pPr>
              <w:ind w:left="360"/>
              <w:spacing w:after="0" w:line="97" w:lineRule="exact"/>
              <w:rPr>
                <w:sz w:val="20"/>
                <w:szCs w:val="20"/>
                <w:color w:val="auto"/>
              </w:rPr>
            </w:pPr>
            <w:r>
              <w:rPr>
                <w:rFonts w:ascii="Times New Roman" w:cs="Times New Roman" w:eastAsia="Times New Roman" w:hAnsi="Times New Roman"/>
                <w:sz w:val="10"/>
                <w:szCs w:val="10"/>
                <w:b w:val="1"/>
                <w:bCs w:val="1"/>
                <w:color w:val="auto"/>
              </w:rPr>
              <w:t>Series A</w:t>
            </w:r>
          </w:p>
        </w:tc>
        <w:tc>
          <w:tcPr>
            <w:tcW w:w="1160" w:type="dxa"/>
            <w:vAlign w:val="bottom"/>
            <w:gridSpan w:val="4"/>
          </w:tcPr>
          <w:p>
            <w:pPr>
              <w:ind w:left="240"/>
              <w:spacing w:after="0" w:line="97" w:lineRule="exact"/>
              <w:rPr>
                <w:sz w:val="20"/>
                <w:szCs w:val="20"/>
                <w:color w:val="auto"/>
              </w:rPr>
            </w:pPr>
            <w:r>
              <w:rPr>
                <w:rFonts w:ascii="Times New Roman" w:cs="Times New Roman" w:eastAsia="Times New Roman" w:hAnsi="Times New Roman"/>
                <w:sz w:val="10"/>
                <w:szCs w:val="10"/>
                <w:b w:val="1"/>
                <w:bCs w:val="1"/>
                <w:color w:val="auto"/>
              </w:rPr>
              <w:t>Series Seed-1</w:t>
            </w:r>
          </w:p>
        </w:tc>
        <w:tc>
          <w:tcPr>
            <w:tcW w:w="1160" w:type="dxa"/>
            <w:vAlign w:val="bottom"/>
            <w:gridSpan w:val="5"/>
          </w:tcPr>
          <w:p>
            <w:pPr>
              <w:ind w:left="240"/>
              <w:spacing w:after="0" w:line="97" w:lineRule="exact"/>
              <w:rPr>
                <w:sz w:val="20"/>
                <w:szCs w:val="20"/>
                <w:color w:val="auto"/>
              </w:rPr>
            </w:pPr>
            <w:r>
              <w:rPr>
                <w:rFonts w:ascii="Times New Roman" w:cs="Times New Roman" w:eastAsia="Times New Roman" w:hAnsi="Times New Roman"/>
                <w:sz w:val="10"/>
                <w:szCs w:val="10"/>
                <w:b w:val="1"/>
                <w:bCs w:val="1"/>
                <w:color w:val="auto"/>
              </w:rPr>
              <w:t>Series Seed-2</w:t>
            </w:r>
          </w:p>
        </w:tc>
        <w:tc>
          <w:tcPr>
            <w:tcW w:w="1020" w:type="dxa"/>
            <w:vAlign w:val="bottom"/>
            <w:gridSpan w:val="4"/>
          </w:tcPr>
          <w:p>
            <w:pPr>
              <w:ind w:left="180"/>
              <w:spacing w:after="0" w:line="97" w:lineRule="exact"/>
              <w:rPr>
                <w:sz w:val="20"/>
                <w:szCs w:val="20"/>
                <w:color w:val="auto"/>
              </w:rPr>
            </w:pPr>
            <w:r>
              <w:rPr>
                <w:rFonts w:ascii="Times New Roman" w:cs="Times New Roman" w:eastAsia="Times New Roman" w:hAnsi="Times New Roman"/>
                <w:sz w:val="10"/>
                <w:szCs w:val="10"/>
                <w:b w:val="1"/>
                <w:bCs w:val="1"/>
                <w:color w:val="auto"/>
              </w:rPr>
              <w:t>Series Seed-3</w:t>
            </w:r>
          </w:p>
        </w:tc>
        <w:tc>
          <w:tcPr>
            <w:tcW w:w="840" w:type="dxa"/>
            <w:vAlign w:val="bottom"/>
            <w:gridSpan w:val="3"/>
          </w:tcPr>
          <w:p>
            <w:pPr>
              <w:jc w:val="right"/>
              <w:ind w:right="92"/>
              <w:spacing w:after="0" w:line="97" w:lineRule="exact"/>
              <w:rPr>
                <w:sz w:val="20"/>
                <w:szCs w:val="20"/>
                <w:color w:val="auto"/>
              </w:rPr>
            </w:pPr>
            <w:r>
              <w:rPr>
                <w:rFonts w:ascii="Times New Roman" w:cs="Times New Roman" w:eastAsia="Times New Roman" w:hAnsi="Times New Roman"/>
                <w:sz w:val="10"/>
                <w:szCs w:val="10"/>
                <w:b w:val="1"/>
                <w:bCs w:val="1"/>
                <w:color w:val="auto"/>
              </w:rPr>
              <w:t>Series Seed-4</w:t>
            </w:r>
          </w:p>
        </w:tc>
        <w:tc>
          <w:tcPr>
            <w:tcW w:w="120" w:type="dxa"/>
            <w:vAlign w:val="bottom"/>
          </w:tcPr>
          <w:p>
            <w:pPr>
              <w:spacing w:after="0"/>
              <w:rPr>
                <w:sz w:val="8"/>
                <w:szCs w:val="8"/>
                <w:color w:val="auto"/>
              </w:rPr>
            </w:pPr>
          </w:p>
        </w:tc>
        <w:tc>
          <w:tcPr>
            <w:tcW w:w="780" w:type="dxa"/>
            <w:vAlign w:val="bottom"/>
            <w:gridSpan w:val="3"/>
          </w:tcPr>
          <w:p>
            <w:pPr>
              <w:ind w:left="140"/>
              <w:spacing w:after="0" w:line="97" w:lineRule="exact"/>
              <w:rPr>
                <w:sz w:val="20"/>
                <w:szCs w:val="20"/>
                <w:color w:val="auto"/>
              </w:rPr>
            </w:pPr>
            <w:r>
              <w:rPr>
                <w:rFonts w:ascii="Times New Roman" w:cs="Times New Roman" w:eastAsia="Times New Roman" w:hAnsi="Times New Roman"/>
                <w:sz w:val="10"/>
                <w:szCs w:val="10"/>
                <w:b w:val="1"/>
                <w:bCs w:val="1"/>
                <w:color w:val="auto"/>
                <w:w w:val="94"/>
              </w:rPr>
              <w:t>Common Stock</w:t>
            </w: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gridSpan w:val="2"/>
          </w:tcPr>
          <w:p>
            <w:pPr>
              <w:jc w:val="center"/>
              <w:ind w:right="200"/>
              <w:spacing w:after="0" w:line="97" w:lineRule="exact"/>
              <w:rPr>
                <w:sz w:val="20"/>
                <w:szCs w:val="20"/>
                <w:color w:val="auto"/>
              </w:rPr>
            </w:pPr>
            <w:r>
              <w:rPr>
                <w:rFonts w:ascii="Times New Roman" w:cs="Times New Roman" w:eastAsia="Times New Roman" w:hAnsi="Times New Roman"/>
                <w:sz w:val="10"/>
                <w:szCs w:val="10"/>
                <w:b w:val="1"/>
                <w:bCs w:val="1"/>
                <w:color w:val="auto"/>
                <w:w w:val="98"/>
              </w:rPr>
              <w:t>Paid in</w:t>
            </w:r>
          </w:p>
        </w:tc>
        <w:tc>
          <w:tcPr>
            <w:tcW w:w="60" w:type="dxa"/>
            <w:vAlign w:val="bottom"/>
          </w:tcPr>
          <w:p>
            <w:pPr>
              <w:spacing w:after="0"/>
              <w:rPr>
                <w:sz w:val="8"/>
                <w:szCs w:val="8"/>
                <w:color w:val="auto"/>
              </w:rPr>
            </w:pPr>
          </w:p>
        </w:tc>
        <w:tc>
          <w:tcPr>
            <w:tcW w:w="820" w:type="dxa"/>
            <w:vAlign w:val="bottom"/>
            <w:gridSpan w:val="2"/>
          </w:tcPr>
          <w:p>
            <w:pPr>
              <w:jc w:val="right"/>
              <w:ind w:right="198"/>
              <w:spacing w:after="0" w:line="97" w:lineRule="exact"/>
              <w:rPr>
                <w:sz w:val="20"/>
                <w:szCs w:val="20"/>
                <w:color w:val="auto"/>
              </w:rPr>
            </w:pPr>
            <w:r>
              <w:rPr>
                <w:rFonts w:ascii="Times New Roman" w:cs="Times New Roman" w:eastAsia="Times New Roman" w:hAnsi="Times New Roman"/>
                <w:sz w:val="10"/>
                <w:szCs w:val="10"/>
                <w:b w:val="1"/>
                <w:bCs w:val="1"/>
                <w:color w:val="auto"/>
                <w:w w:val="98"/>
              </w:rPr>
              <w:t>Accumulated</w:t>
            </w:r>
          </w:p>
        </w:tc>
        <w:tc>
          <w:tcPr>
            <w:tcW w:w="40" w:type="dxa"/>
            <w:vAlign w:val="bottom"/>
          </w:tcPr>
          <w:p>
            <w:pPr>
              <w:spacing w:after="0"/>
              <w:rPr>
                <w:sz w:val="8"/>
                <w:szCs w:val="8"/>
                <w:color w:val="auto"/>
              </w:rPr>
            </w:pPr>
          </w:p>
        </w:tc>
        <w:tc>
          <w:tcPr>
            <w:tcW w:w="720" w:type="dxa"/>
            <w:vAlign w:val="bottom"/>
            <w:gridSpan w:val="2"/>
          </w:tcPr>
          <w:p>
            <w:pPr>
              <w:jc w:val="center"/>
              <w:ind w:right="78"/>
              <w:spacing w:after="0" w:line="97" w:lineRule="exact"/>
              <w:rPr>
                <w:sz w:val="20"/>
                <w:szCs w:val="20"/>
                <w:color w:val="auto"/>
              </w:rPr>
            </w:pPr>
            <w:r>
              <w:rPr>
                <w:rFonts w:ascii="Times New Roman" w:cs="Times New Roman" w:eastAsia="Times New Roman" w:hAnsi="Times New Roman"/>
                <w:sz w:val="10"/>
                <w:szCs w:val="10"/>
                <w:b w:val="1"/>
                <w:bCs w:val="1"/>
                <w:color w:val="auto"/>
                <w:w w:val="95"/>
              </w:rPr>
              <w:t>Stockholders’</w:t>
            </w:r>
          </w:p>
        </w:tc>
      </w:tr>
      <w:tr>
        <w:trPr>
          <w:trHeight w:val="97"/>
        </w:trPr>
        <w:tc>
          <w:tcPr>
            <w:tcW w:w="2420" w:type="dxa"/>
            <w:vAlign w:val="bottom"/>
          </w:tcPr>
          <w:p>
            <w:pPr>
              <w:spacing w:after="0"/>
              <w:rPr>
                <w:sz w:val="8"/>
                <w:szCs w:val="8"/>
                <w:color w:val="auto"/>
              </w:rPr>
            </w:pPr>
          </w:p>
        </w:tc>
        <w:tc>
          <w:tcPr>
            <w:tcW w:w="560" w:type="dxa"/>
            <w:vAlign w:val="bottom"/>
            <w:tcBorders>
              <w:top w:val="single" w:sz="8" w:color="auto"/>
            </w:tcBorders>
            <w:gridSpan w:val="2"/>
          </w:tcPr>
          <w:p>
            <w:pPr>
              <w:jc w:val="right"/>
              <w:ind w:right="200"/>
              <w:spacing w:after="0" w:line="97" w:lineRule="exact"/>
              <w:rPr>
                <w:sz w:val="20"/>
                <w:szCs w:val="20"/>
                <w:color w:val="auto"/>
              </w:rPr>
            </w:pPr>
            <w:r>
              <w:rPr>
                <w:rFonts w:ascii="Times New Roman" w:cs="Times New Roman" w:eastAsia="Times New Roman" w:hAnsi="Times New Roman"/>
                <w:sz w:val="10"/>
                <w:szCs w:val="10"/>
                <w:b w:val="1"/>
                <w:bCs w:val="1"/>
                <w:color w:val="auto"/>
              </w:rPr>
              <w:t>Shares</w:t>
            </w:r>
          </w:p>
        </w:tc>
        <w:tc>
          <w:tcPr>
            <w:tcW w:w="520" w:type="dxa"/>
            <w:vAlign w:val="bottom"/>
            <w:tcBorders>
              <w:top w:val="single" w:sz="8" w:color="auto"/>
            </w:tcBorders>
          </w:tcPr>
          <w:p>
            <w:pPr>
              <w:jc w:val="right"/>
              <w:ind w:right="52"/>
              <w:spacing w:after="0" w:line="97" w:lineRule="exact"/>
              <w:rPr>
                <w:sz w:val="20"/>
                <w:szCs w:val="20"/>
                <w:color w:val="auto"/>
              </w:rPr>
            </w:pPr>
            <w:r>
              <w:rPr>
                <w:rFonts w:ascii="Times New Roman" w:cs="Times New Roman" w:eastAsia="Times New Roman" w:hAnsi="Times New Roman"/>
                <w:sz w:val="10"/>
                <w:szCs w:val="10"/>
                <w:b w:val="1"/>
                <w:bCs w:val="1"/>
                <w:color w:val="auto"/>
              </w:rPr>
              <w:t>Dollars</w:t>
            </w:r>
          </w:p>
        </w:tc>
        <w:tc>
          <w:tcPr>
            <w:tcW w:w="120" w:type="dxa"/>
            <w:vAlign w:val="bottom"/>
          </w:tcPr>
          <w:p>
            <w:pPr>
              <w:spacing w:after="0"/>
              <w:rPr>
                <w:sz w:val="8"/>
                <w:szCs w:val="8"/>
                <w:color w:val="auto"/>
              </w:rPr>
            </w:pPr>
          </w:p>
        </w:tc>
        <w:tc>
          <w:tcPr>
            <w:tcW w:w="580" w:type="dxa"/>
            <w:vAlign w:val="bottom"/>
            <w:tcBorders>
              <w:top w:val="single" w:sz="8" w:color="auto"/>
            </w:tcBorders>
            <w:gridSpan w:val="2"/>
          </w:tcPr>
          <w:p>
            <w:pPr>
              <w:jc w:val="right"/>
              <w:ind w:right="220"/>
              <w:spacing w:after="0" w:line="97" w:lineRule="exact"/>
              <w:rPr>
                <w:sz w:val="20"/>
                <w:szCs w:val="20"/>
                <w:color w:val="auto"/>
              </w:rPr>
            </w:pPr>
            <w:r>
              <w:rPr>
                <w:rFonts w:ascii="Times New Roman" w:cs="Times New Roman" w:eastAsia="Times New Roman" w:hAnsi="Times New Roman"/>
                <w:sz w:val="10"/>
                <w:szCs w:val="10"/>
                <w:b w:val="1"/>
                <w:bCs w:val="1"/>
                <w:color w:val="auto"/>
              </w:rPr>
              <w:t>Shares</w:t>
            </w:r>
          </w:p>
        </w:tc>
        <w:tc>
          <w:tcPr>
            <w:tcW w:w="460" w:type="dxa"/>
            <w:vAlign w:val="bottom"/>
            <w:tcBorders>
              <w:top w:val="single" w:sz="8" w:color="auto"/>
            </w:tcBorders>
          </w:tcPr>
          <w:p>
            <w:pPr>
              <w:jc w:val="right"/>
              <w:ind w:right="32"/>
              <w:spacing w:after="0" w:line="97" w:lineRule="exact"/>
              <w:rPr>
                <w:sz w:val="20"/>
                <w:szCs w:val="20"/>
                <w:color w:val="auto"/>
              </w:rPr>
            </w:pPr>
            <w:r>
              <w:rPr>
                <w:rFonts w:ascii="Times New Roman" w:cs="Times New Roman" w:eastAsia="Times New Roman" w:hAnsi="Times New Roman"/>
                <w:sz w:val="10"/>
                <w:szCs w:val="10"/>
                <w:b w:val="1"/>
                <w:bCs w:val="1"/>
                <w:color w:val="auto"/>
              </w:rPr>
              <w:t>Dollars</w:t>
            </w:r>
          </w:p>
        </w:tc>
        <w:tc>
          <w:tcPr>
            <w:tcW w:w="120" w:type="dxa"/>
            <w:vAlign w:val="bottom"/>
          </w:tcPr>
          <w:p>
            <w:pPr>
              <w:spacing w:after="0"/>
              <w:rPr>
                <w:sz w:val="8"/>
                <w:szCs w:val="8"/>
                <w:color w:val="auto"/>
              </w:rPr>
            </w:pPr>
          </w:p>
        </w:tc>
        <w:tc>
          <w:tcPr>
            <w:tcW w:w="580" w:type="dxa"/>
            <w:vAlign w:val="bottom"/>
            <w:tcBorders>
              <w:top w:val="single" w:sz="8" w:color="auto"/>
            </w:tcBorders>
            <w:gridSpan w:val="3"/>
          </w:tcPr>
          <w:p>
            <w:pPr>
              <w:ind w:left="80"/>
              <w:spacing w:after="0" w:line="97" w:lineRule="exact"/>
              <w:rPr>
                <w:sz w:val="20"/>
                <w:szCs w:val="20"/>
                <w:color w:val="auto"/>
              </w:rPr>
            </w:pPr>
            <w:r>
              <w:rPr>
                <w:rFonts w:ascii="Times New Roman" w:cs="Times New Roman" w:eastAsia="Times New Roman" w:hAnsi="Times New Roman"/>
                <w:sz w:val="10"/>
                <w:szCs w:val="10"/>
                <w:b w:val="1"/>
                <w:bCs w:val="1"/>
                <w:color w:val="auto"/>
              </w:rPr>
              <w:t>Shares</w:t>
            </w:r>
          </w:p>
        </w:tc>
        <w:tc>
          <w:tcPr>
            <w:tcW w:w="460" w:type="dxa"/>
            <w:vAlign w:val="bottom"/>
            <w:tcBorders>
              <w:top w:val="single" w:sz="8" w:color="auto"/>
            </w:tcBorders>
          </w:tcPr>
          <w:p>
            <w:pPr>
              <w:jc w:val="right"/>
              <w:ind w:right="32"/>
              <w:spacing w:after="0" w:line="97" w:lineRule="exact"/>
              <w:rPr>
                <w:sz w:val="20"/>
                <w:szCs w:val="20"/>
                <w:color w:val="auto"/>
              </w:rPr>
            </w:pPr>
            <w:r>
              <w:rPr>
                <w:rFonts w:ascii="Times New Roman" w:cs="Times New Roman" w:eastAsia="Times New Roman" w:hAnsi="Times New Roman"/>
                <w:sz w:val="10"/>
                <w:szCs w:val="10"/>
                <w:b w:val="1"/>
                <w:bCs w:val="1"/>
                <w:color w:val="auto"/>
              </w:rPr>
              <w:t>Dollars</w:t>
            </w:r>
          </w:p>
        </w:tc>
        <w:tc>
          <w:tcPr>
            <w:tcW w:w="120" w:type="dxa"/>
            <w:vAlign w:val="bottom"/>
          </w:tcPr>
          <w:p>
            <w:pPr>
              <w:spacing w:after="0"/>
              <w:rPr>
                <w:sz w:val="8"/>
                <w:szCs w:val="8"/>
                <w:color w:val="auto"/>
              </w:rPr>
            </w:pPr>
          </w:p>
        </w:tc>
        <w:tc>
          <w:tcPr>
            <w:tcW w:w="500" w:type="dxa"/>
            <w:vAlign w:val="bottom"/>
            <w:tcBorders>
              <w:top w:val="single" w:sz="8" w:color="auto"/>
            </w:tcBorders>
            <w:gridSpan w:val="2"/>
          </w:tcPr>
          <w:p>
            <w:pPr>
              <w:ind w:left="60"/>
              <w:spacing w:after="0" w:line="97" w:lineRule="exact"/>
              <w:rPr>
                <w:sz w:val="20"/>
                <w:szCs w:val="20"/>
                <w:color w:val="auto"/>
              </w:rPr>
            </w:pPr>
            <w:r>
              <w:rPr>
                <w:rFonts w:ascii="Times New Roman" w:cs="Times New Roman" w:eastAsia="Times New Roman" w:hAnsi="Times New Roman"/>
                <w:sz w:val="10"/>
                <w:szCs w:val="10"/>
                <w:b w:val="1"/>
                <w:bCs w:val="1"/>
                <w:color w:val="auto"/>
              </w:rPr>
              <w:t>Shares</w:t>
            </w:r>
          </w:p>
        </w:tc>
        <w:tc>
          <w:tcPr>
            <w:tcW w:w="400" w:type="dxa"/>
            <w:vAlign w:val="bottom"/>
            <w:tcBorders>
              <w:top w:val="single" w:sz="8" w:color="auto"/>
            </w:tcBorders>
          </w:tcPr>
          <w:p>
            <w:pPr>
              <w:jc w:val="right"/>
              <w:ind w:right="12"/>
              <w:spacing w:after="0" w:line="97" w:lineRule="exact"/>
              <w:rPr>
                <w:sz w:val="20"/>
                <w:szCs w:val="20"/>
                <w:color w:val="auto"/>
              </w:rPr>
            </w:pPr>
            <w:r>
              <w:rPr>
                <w:rFonts w:ascii="Times New Roman" w:cs="Times New Roman" w:eastAsia="Times New Roman" w:hAnsi="Times New Roman"/>
                <w:sz w:val="10"/>
                <w:szCs w:val="10"/>
                <w:b w:val="1"/>
                <w:bCs w:val="1"/>
                <w:color w:val="auto"/>
              </w:rPr>
              <w:t>Dollars</w:t>
            </w:r>
          </w:p>
        </w:tc>
        <w:tc>
          <w:tcPr>
            <w:tcW w:w="120" w:type="dxa"/>
            <w:vAlign w:val="bottom"/>
          </w:tcPr>
          <w:p>
            <w:pPr>
              <w:spacing w:after="0"/>
              <w:rPr>
                <w:sz w:val="8"/>
                <w:szCs w:val="8"/>
                <w:color w:val="auto"/>
              </w:rPr>
            </w:pPr>
          </w:p>
        </w:tc>
        <w:tc>
          <w:tcPr>
            <w:tcW w:w="460" w:type="dxa"/>
            <w:vAlign w:val="bottom"/>
            <w:tcBorders>
              <w:top w:val="single" w:sz="8" w:color="auto"/>
            </w:tcBorders>
            <w:gridSpan w:val="2"/>
          </w:tcPr>
          <w:p>
            <w:pPr>
              <w:ind w:left="20"/>
              <w:spacing w:after="0" w:line="97" w:lineRule="exact"/>
              <w:rPr>
                <w:sz w:val="20"/>
                <w:szCs w:val="20"/>
                <w:color w:val="auto"/>
              </w:rPr>
            </w:pPr>
            <w:r>
              <w:rPr>
                <w:rFonts w:ascii="Times New Roman" w:cs="Times New Roman" w:eastAsia="Times New Roman" w:hAnsi="Times New Roman"/>
                <w:sz w:val="10"/>
                <w:szCs w:val="10"/>
                <w:b w:val="1"/>
                <w:bCs w:val="1"/>
                <w:color w:val="auto"/>
              </w:rPr>
              <w:t>Shares</w:t>
            </w:r>
          </w:p>
        </w:tc>
        <w:tc>
          <w:tcPr>
            <w:tcW w:w="380" w:type="dxa"/>
            <w:vAlign w:val="bottom"/>
            <w:tcBorders>
              <w:top w:val="single" w:sz="8" w:color="auto"/>
            </w:tcBorders>
          </w:tcPr>
          <w:p>
            <w:pPr>
              <w:jc w:val="right"/>
              <w:spacing w:after="0" w:line="97" w:lineRule="exact"/>
              <w:rPr>
                <w:sz w:val="20"/>
                <w:szCs w:val="20"/>
                <w:color w:val="auto"/>
              </w:rPr>
            </w:pPr>
            <w:r>
              <w:rPr>
                <w:rFonts w:ascii="Times New Roman" w:cs="Times New Roman" w:eastAsia="Times New Roman" w:hAnsi="Times New Roman"/>
                <w:sz w:val="10"/>
                <w:szCs w:val="10"/>
                <w:b w:val="1"/>
                <w:bCs w:val="1"/>
                <w:color w:val="auto"/>
              </w:rPr>
              <w:t>Dollars</w:t>
            </w:r>
          </w:p>
        </w:tc>
        <w:tc>
          <w:tcPr>
            <w:tcW w:w="120" w:type="dxa"/>
            <w:vAlign w:val="bottom"/>
          </w:tcPr>
          <w:p>
            <w:pPr>
              <w:spacing w:after="0"/>
              <w:rPr>
                <w:sz w:val="8"/>
                <w:szCs w:val="8"/>
                <w:color w:val="auto"/>
              </w:rPr>
            </w:pPr>
          </w:p>
        </w:tc>
        <w:tc>
          <w:tcPr>
            <w:tcW w:w="580" w:type="dxa"/>
            <w:vAlign w:val="bottom"/>
            <w:tcBorders>
              <w:top w:val="single" w:sz="8" w:color="auto"/>
            </w:tcBorders>
            <w:gridSpan w:val="2"/>
          </w:tcPr>
          <w:p>
            <w:pPr>
              <w:jc w:val="right"/>
              <w:ind w:right="200"/>
              <w:spacing w:after="0" w:line="97" w:lineRule="exact"/>
              <w:rPr>
                <w:sz w:val="20"/>
                <w:szCs w:val="20"/>
                <w:color w:val="auto"/>
              </w:rPr>
            </w:pPr>
            <w:r>
              <w:rPr>
                <w:rFonts w:ascii="Times New Roman" w:cs="Times New Roman" w:eastAsia="Times New Roman" w:hAnsi="Times New Roman"/>
                <w:sz w:val="10"/>
                <w:szCs w:val="10"/>
                <w:b w:val="1"/>
                <w:bCs w:val="1"/>
                <w:color w:val="auto"/>
              </w:rPr>
              <w:t>Shares</w:t>
            </w:r>
          </w:p>
        </w:tc>
        <w:tc>
          <w:tcPr>
            <w:tcW w:w="320" w:type="dxa"/>
            <w:vAlign w:val="bottom"/>
            <w:tcBorders>
              <w:top w:val="single" w:sz="8" w:color="auto"/>
            </w:tcBorders>
            <w:gridSpan w:val="2"/>
          </w:tcPr>
          <w:p>
            <w:pPr>
              <w:spacing w:after="0" w:line="97" w:lineRule="exact"/>
              <w:rPr>
                <w:sz w:val="20"/>
                <w:szCs w:val="20"/>
                <w:color w:val="auto"/>
              </w:rPr>
            </w:pPr>
            <w:r>
              <w:rPr>
                <w:rFonts w:ascii="Times New Roman" w:cs="Times New Roman" w:eastAsia="Times New Roman" w:hAnsi="Times New Roman"/>
                <w:sz w:val="10"/>
                <w:szCs w:val="10"/>
                <w:b w:val="1"/>
                <w:bCs w:val="1"/>
                <w:color w:val="auto"/>
                <w:w w:val="96"/>
              </w:rPr>
              <w:t>Dollars</w:t>
            </w: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gridSpan w:val="2"/>
          </w:tcPr>
          <w:p>
            <w:pPr>
              <w:jc w:val="center"/>
              <w:ind w:right="200"/>
              <w:spacing w:after="0" w:line="97" w:lineRule="exact"/>
              <w:rPr>
                <w:sz w:val="20"/>
                <w:szCs w:val="20"/>
                <w:color w:val="auto"/>
              </w:rPr>
            </w:pPr>
            <w:r>
              <w:rPr>
                <w:rFonts w:ascii="Times New Roman" w:cs="Times New Roman" w:eastAsia="Times New Roman" w:hAnsi="Times New Roman"/>
                <w:sz w:val="10"/>
                <w:szCs w:val="10"/>
                <w:b w:val="1"/>
                <w:bCs w:val="1"/>
                <w:color w:val="auto"/>
                <w:w w:val="94"/>
              </w:rPr>
              <w:t>Capital</w:t>
            </w:r>
          </w:p>
        </w:tc>
        <w:tc>
          <w:tcPr>
            <w:tcW w:w="60" w:type="dxa"/>
            <w:vAlign w:val="bottom"/>
          </w:tcPr>
          <w:p>
            <w:pPr>
              <w:spacing w:after="0"/>
              <w:rPr>
                <w:sz w:val="8"/>
                <w:szCs w:val="8"/>
                <w:color w:val="auto"/>
              </w:rPr>
            </w:pPr>
          </w:p>
        </w:tc>
        <w:tc>
          <w:tcPr>
            <w:tcW w:w="820" w:type="dxa"/>
            <w:vAlign w:val="bottom"/>
            <w:gridSpan w:val="2"/>
          </w:tcPr>
          <w:p>
            <w:pPr>
              <w:jc w:val="right"/>
              <w:ind w:right="338"/>
              <w:spacing w:after="0" w:line="97" w:lineRule="exact"/>
              <w:rPr>
                <w:sz w:val="20"/>
                <w:szCs w:val="20"/>
                <w:color w:val="auto"/>
              </w:rPr>
            </w:pPr>
            <w:r>
              <w:rPr>
                <w:rFonts w:ascii="Times New Roman" w:cs="Times New Roman" w:eastAsia="Times New Roman" w:hAnsi="Times New Roman"/>
                <w:sz w:val="10"/>
                <w:szCs w:val="10"/>
                <w:b w:val="1"/>
                <w:bCs w:val="1"/>
                <w:color w:val="auto"/>
              </w:rPr>
              <w:t>Deficit</w:t>
            </w:r>
          </w:p>
        </w:tc>
        <w:tc>
          <w:tcPr>
            <w:tcW w:w="760" w:type="dxa"/>
            <w:vAlign w:val="bottom"/>
            <w:gridSpan w:val="3"/>
          </w:tcPr>
          <w:p>
            <w:pPr>
              <w:jc w:val="center"/>
              <w:ind w:right="38"/>
              <w:spacing w:after="0" w:line="97" w:lineRule="exact"/>
              <w:rPr>
                <w:sz w:val="20"/>
                <w:szCs w:val="20"/>
                <w:color w:val="auto"/>
              </w:rPr>
            </w:pPr>
            <w:r>
              <w:rPr>
                <w:rFonts w:ascii="Times New Roman" w:cs="Times New Roman" w:eastAsia="Times New Roman" w:hAnsi="Times New Roman"/>
                <w:sz w:val="10"/>
                <w:szCs w:val="10"/>
                <w:b w:val="1"/>
                <w:bCs w:val="1"/>
                <w:color w:val="auto"/>
                <w:w w:val="96"/>
              </w:rPr>
              <w:t>Equity (Deficit)</w:t>
            </w:r>
          </w:p>
        </w:tc>
      </w:tr>
      <w:tr>
        <w:trPr>
          <w:trHeight w:val="88"/>
        </w:trPr>
        <w:tc>
          <w:tcPr>
            <w:tcW w:w="2420" w:type="dxa"/>
            <w:vAlign w:val="bottom"/>
            <w:tcBorders>
              <w:top w:val="single" w:sz="8" w:color="CCEEFF"/>
            </w:tcBorders>
            <w:shd w:val="clear" w:color="auto" w:fill="CCEEFF"/>
          </w:tcPr>
          <w:p>
            <w:pPr>
              <w:spacing w:after="0" w:line="88" w:lineRule="exact"/>
              <w:rPr>
                <w:sz w:val="20"/>
                <w:szCs w:val="20"/>
                <w:color w:val="auto"/>
              </w:rPr>
            </w:pPr>
            <w:r>
              <w:rPr>
                <w:rFonts w:ascii="Times New Roman" w:cs="Times New Roman" w:eastAsia="Times New Roman" w:hAnsi="Times New Roman"/>
                <w:sz w:val="10"/>
                <w:szCs w:val="10"/>
                <w:color w:val="auto"/>
              </w:rPr>
              <w:t>Balance, January 1, 2023</w:t>
            </w:r>
          </w:p>
        </w:tc>
        <w:tc>
          <w:tcPr>
            <w:tcW w:w="440" w:type="dxa"/>
            <w:vAlign w:val="bottom"/>
            <w:tcBorders>
              <w:top w:val="single" w:sz="8" w:color="auto"/>
            </w:tcBorders>
            <w:shd w:val="clear" w:color="auto" w:fill="CCEEFF"/>
          </w:tcPr>
          <w:p>
            <w:pPr>
              <w:jc w:val="right"/>
              <w:spacing w:after="0" w:line="88" w:lineRule="exact"/>
              <w:rPr>
                <w:sz w:val="20"/>
                <w:szCs w:val="20"/>
                <w:color w:val="auto"/>
              </w:rPr>
            </w:pPr>
            <w:r>
              <w:rPr>
                <w:rFonts w:ascii="Times New Roman" w:cs="Times New Roman" w:eastAsia="Times New Roman" w:hAnsi="Times New Roman"/>
                <w:sz w:val="10"/>
                <w:szCs w:val="10"/>
                <w:color w:val="auto"/>
              </w:rPr>
              <w:t>2,415,046</w:t>
            </w:r>
          </w:p>
        </w:tc>
        <w:tc>
          <w:tcPr>
            <w:tcW w:w="120" w:type="dxa"/>
            <w:vAlign w:val="bottom"/>
            <w:tcBorders>
              <w:top w:val="single" w:sz="8" w:color="CCEEFF"/>
            </w:tcBorders>
            <w:shd w:val="clear" w:color="auto" w:fill="CCEEFF"/>
          </w:tcPr>
          <w:p>
            <w:pPr>
              <w:spacing w:after="0"/>
              <w:rPr>
                <w:sz w:val="7"/>
                <w:szCs w:val="7"/>
                <w:color w:val="auto"/>
              </w:rPr>
            </w:pPr>
          </w:p>
        </w:tc>
        <w:tc>
          <w:tcPr>
            <w:tcW w:w="520" w:type="dxa"/>
            <w:vAlign w:val="bottom"/>
            <w:tcBorders>
              <w:top w:val="single" w:sz="8" w:color="auto"/>
            </w:tcBorders>
            <w:shd w:val="clear" w:color="auto" w:fill="CCEEFF"/>
          </w:tcPr>
          <w:p>
            <w:pPr>
              <w:jc w:val="right"/>
              <w:spacing w:after="0" w:line="88" w:lineRule="exact"/>
              <w:rPr>
                <w:sz w:val="20"/>
                <w:szCs w:val="20"/>
                <w:color w:val="auto"/>
              </w:rPr>
            </w:pPr>
            <w:r>
              <w:rPr>
                <w:rFonts w:ascii="Times New Roman" w:cs="Times New Roman" w:eastAsia="Times New Roman" w:hAnsi="Times New Roman"/>
                <w:sz w:val="10"/>
                <w:szCs w:val="10"/>
                <w:color w:val="auto"/>
                <w:w w:val="95"/>
              </w:rPr>
              <w:t>$ 18,900,800</w:t>
            </w:r>
          </w:p>
        </w:tc>
        <w:tc>
          <w:tcPr>
            <w:tcW w:w="120" w:type="dxa"/>
            <w:vAlign w:val="bottom"/>
            <w:tcBorders>
              <w:top w:val="single" w:sz="8" w:color="CCEEFF"/>
            </w:tcBorders>
            <w:shd w:val="clear" w:color="auto" w:fill="CCEEFF"/>
          </w:tcPr>
          <w:p>
            <w:pPr>
              <w:spacing w:after="0"/>
              <w:rPr>
                <w:sz w:val="7"/>
                <w:szCs w:val="7"/>
                <w:color w:val="auto"/>
              </w:rPr>
            </w:pPr>
          </w:p>
        </w:tc>
        <w:tc>
          <w:tcPr>
            <w:tcW w:w="440" w:type="dxa"/>
            <w:vAlign w:val="bottom"/>
            <w:tcBorders>
              <w:top w:val="single" w:sz="8" w:color="auto"/>
            </w:tcBorders>
            <w:shd w:val="clear" w:color="auto" w:fill="CCEEFF"/>
          </w:tcPr>
          <w:p>
            <w:pPr>
              <w:jc w:val="right"/>
              <w:spacing w:after="0" w:line="88" w:lineRule="exact"/>
              <w:rPr>
                <w:sz w:val="20"/>
                <w:szCs w:val="20"/>
                <w:color w:val="auto"/>
              </w:rPr>
            </w:pPr>
            <w:r>
              <w:rPr>
                <w:rFonts w:ascii="Times New Roman" w:cs="Times New Roman" w:eastAsia="Times New Roman" w:hAnsi="Times New Roman"/>
                <w:sz w:val="10"/>
                <w:szCs w:val="10"/>
                <w:color w:val="auto"/>
              </w:rPr>
              <w:t>1,451,191</w:t>
            </w:r>
          </w:p>
        </w:tc>
        <w:tc>
          <w:tcPr>
            <w:tcW w:w="140" w:type="dxa"/>
            <w:vAlign w:val="bottom"/>
            <w:tcBorders>
              <w:top w:val="single" w:sz="8" w:color="CCEEFF"/>
            </w:tcBorders>
            <w:shd w:val="clear" w:color="auto" w:fill="CCEEFF"/>
          </w:tcPr>
          <w:p>
            <w:pPr>
              <w:spacing w:after="0"/>
              <w:rPr>
                <w:sz w:val="7"/>
                <w:szCs w:val="7"/>
                <w:color w:val="auto"/>
              </w:rPr>
            </w:pPr>
          </w:p>
        </w:tc>
        <w:tc>
          <w:tcPr>
            <w:tcW w:w="460" w:type="dxa"/>
            <w:vAlign w:val="bottom"/>
            <w:tcBorders>
              <w:top w:val="single" w:sz="8" w:color="auto"/>
            </w:tcBorders>
            <w:shd w:val="clear" w:color="auto" w:fill="CCEEFF"/>
          </w:tcPr>
          <w:p>
            <w:pPr>
              <w:jc w:val="right"/>
              <w:spacing w:after="0" w:line="88" w:lineRule="exact"/>
              <w:rPr>
                <w:sz w:val="20"/>
                <w:szCs w:val="20"/>
                <w:color w:val="auto"/>
              </w:rPr>
            </w:pPr>
            <w:r>
              <w:rPr>
                <w:rFonts w:ascii="Times New Roman" w:cs="Times New Roman" w:eastAsia="Times New Roman" w:hAnsi="Times New Roman"/>
                <w:sz w:val="10"/>
                <w:szCs w:val="10"/>
                <w:color w:val="auto"/>
                <w:w w:val="92"/>
              </w:rPr>
              <w:t>$ 2,412,888</w:t>
            </w:r>
          </w:p>
        </w:tc>
        <w:tc>
          <w:tcPr>
            <w:tcW w:w="120" w:type="dxa"/>
            <w:vAlign w:val="bottom"/>
            <w:tcBorders>
              <w:top w:val="single" w:sz="8" w:color="CCEEFF"/>
            </w:tcBorders>
            <w:shd w:val="clear" w:color="auto" w:fill="CCEEFF"/>
          </w:tcPr>
          <w:p>
            <w:pPr>
              <w:spacing w:after="0"/>
              <w:rPr>
                <w:sz w:val="7"/>
                <w:szCs w:val="7"/>
                <w:color w:val="auto"/>
              </w:rPr>
            </w:pPr>
          </w:p>
        </w:tc>
        <w:tc>
          <w:tcPr>
            <w:tcW w:w="440" w:type="dxa"/>
            <w:vAlign w:val="bottom"/>
            <w:tcBorders>
              <w:top w:val="single" w:sz="8" w:color="auto"/>
            </w:tcBorders>
            <w:shd w:val="clear" w:color="auto" w:fill="CCEEFF"/>
          </w:tcPr>
          <w:p>
            <w:pPr>
              <w:jc w:val="right"/>
              <w:spacing w:after="0" w:line="88" w:lineRule="exact"/>
              <w:rPr>
                <w:sz w:val="20"/>
                <w:szCs w:val="20"/>
                <w:color w:val="auto"/>
              </w:rPr>
            </w:pPr>
            <w:r>
              <w:rPr>
                <w:rFonts w:ascii="Times New Roman" w:cs="Times New Roman" w:eastAsia="Times New Roman" w:hAnsi="Times New Roman"/>
                <w:sz w:val="10"/>
                <w:szCs w:val="10"/>
                <w:color w:val="auto"/>
              </w:rPr>
              <w:t>1,121,610</w:t>
            </w:r>
          </w:p>
        </w:tc>
        <w:tc>
          <w:tcPr>
            <w:tcW w:w="80" w:type="dxa"/>
            <w:vAlign w:val="bottom"/>
            <w:tcBorders>
              <w:top w:val="single" w:sz="8" w:color="CCEEFF"/>
            </w:tcBorders>
            <w:shd w:val="clear" w:color="auto" w:fill="CCEEFF"/>
          </w:tcPr>
          <w:p>
            <w:pPr>
              <w:spacing w:after="0"/>
              <w:rPr>
                <w:sz w:val="7"/>
                <w:szCs w:val="7"/>
                <w:color w:val="auto"/>
              </w:rPr>
            </w:pPr>
          </w:p>
        </w:tc>
        <w:tc>
          <w:tcPr>
            <w:tcW w:w="60" w:type="dxa"/>
            <w:vAlign w:val="bottom"/>
            <w:tcBorders>
              <w:top w:val="single" w:sz="8" w:color="CCEEFF"/>
            </w:tcBorders>
            <w:shd w:val="clear" w:color="auto" w:fill="CCEEFF"/>
          </w:tcPr>
          <w:p>
            <w:pPr>
              <w:spacing w:after="0"/>
              <w:rPr>
                <w:sz w:val="7"/>
                <w:szCs w:val="7"/>
                <w:color w:val="auto"/>
              </w:rPr>
            </w:pPr>
          </w:p>
        </w:tc>
        <w:tc>
          <w:tcPr>
            <w:tcW w:w="460" w:type="dxa"/>
            <w:vAlign w:val="bottom"/>
            <w:tcBorders>
              <w:top w:val="single" w:sz="8" w:color="auto"/>
            </w:tcBorders>
            <w:shd w:val="clear" w:color="auto" w:fill="CCEEFF"/>
          </w:tcPr>
          <w:p>
            <w:pPr>
              <w:jc w:val="right"/>
              <w:spacing w:after="0" w:line="88" w:lineRule="exact"/>
              <w:rPr>
                <w:sz w:val="20"/>
                <w:szCs w:val="20"/>
                <w:color w:val="auto"/>
              </w:rPr>
            </w:pPr>
            <w:r>
              <w:rPr>
                <w:rFonts w:ascii="Times New Roman" w:cs="Times New Roman" w:eastAsia="Times New Roman" w:hAnsi="Times New Roman"/>
                <w:sz w:val="10"/>
                <w:szCs w:val="10"/>
                <w:color w:val="auto"/>
                <w:w w:val="92"/>
              </w:rPr>
              <w:t>$ 1,074,097</w:t>
            </w:r>
          </w:p>
        </w:tc>
        <w:tc>
          <w:tcPr>
            <w:tcW w:w="120" w:type="dxa"/>
            <w:vAlign w:val="bottom"/>
            <w:tcBorders>
              <w:top w:val="single" w:sz="8" w:color="CCEEFF"/>
            </w:tcBorders>
            <w:shd w:val="clear" w:color="auto" w:fill="CCEEFF"/>
          </w:tcPr>
          <w:p>
            <w:pPr>
              <w:spacing w:after="0"/>
              <w:rPr>
                <w:sz w:val="7"/>
                <w:szCs w:val="7"/>
                <w:color w:val="auto"/>
              </w:rPr>
            </w:pPr>
          </w:p>
        </w:tc>
        <w:tc>
          <w:tcPr>
            <w:tcW w:w="380" w:type="dxa"/>
            <w:vAlign w:val="bottom"/>
            <w:tcBorders>
              <w:top w:val="single" w:sz="8" w:color="auto"/>
            </w:tcBorders>
            <w:shd w:val="clear" w:color="auto" w:fill="CCEEFF"/>
          </w:tcPr>
          <w:p>
            <w:pPr>
              <w:jc w:val="right"/>
              <w:spacing w:after="0" w:line="88" w:lineRule="exact"/>
              <w:rPr>
                <w:sz w:val="20"/>
                <w:szCs w:val="20"/>
                <w:color w:val="auto"/>
              </w:rPr>
            </w:pPr>
            <w:r>
              <w:rPr>
                <w:rFonts w:ascii="Times New Roman" w:cs="Times New Roman" w:eastAsia="Times New Roman" w:hAnsi="Times New Roman"/>
                <w:sz w:val="10"/>
                <w:szCs w:val="10"/>
                <w:color w:val="auto"/>
              </w:rPr>
              <w:t>519,963</w:t>
            </w:r>
          </w:p>
        </w:tc>
        <w:tc>
          <w:tcPr>
            <w:tcW w:w="120" w:type="dxa"/>
            <w:vAlign w:val="bottom"/>
            <w:tcBorders>
              <w:top w:val="single" w:sz="8" w:color="CCEEFF"/>
            </w:tcBorders>
            <w:shd w:val="clear" w:color="auto" w:fill="CCEEFF"/>
          </w:tcPr>
          <w:p>
            <w:pPr>
              <w:spacing w:after="0"/>
              <w:rPr>
                <w:sz w:val="7"/>
                <w:szCs w:val="7"/>
                <w:color w:val="auto"/>
              </w:rPr>
            </w:pPr>
          </w:p>
        </w:tc>
        <w:tc>
          <w:tcPr>
            <w:tcW w:w="400" w:type="dxa"/>
            <w:vAlign w:val="bottom"/>
            <w:tcBorders>
              <w:top w:val="single" w:sz="8" w:color="auto"/>
            </w:tcBorders>
            <w:shd w:val="clear" w:color="auto" w:fill="CCEEFF"/>
          </w:tcPr>
          <w:p>
            <w:pPr>
              <w:jc w:val="right"/>
              <w:spacing w:after="0" w:line="88" w:lineRule="exact"/>
              <w:rPr>
                <w:sz w:val="20"/>
                <w:szCs w:val="20"/>
                <w:color w:val="auto"/>
              </w:rPr>
            </w:pPr>
            <w:r>
              <w:rPr>
                <w:rFonts w:ascii="Times New Roman" w:cs="Times New Roman" w:eastAsia="Times New Roman" w:hAnsi="Times New Roman"/>
                <w:sz w:val="10"/>
                <w:szCs w:val="10"/>
                <w:color w:val="auto"/>
                <w:w w:val="94"/>
              </w:rPr>
              <w:t>$ 663,920</w:t>
            </w:r>
          </w:p>
        </w:tc>
        <w:tc>
          <w:tcPr>
            <w:tcW w:w="120" w:type="dxa"/>
            <w:vAlign w:val="bottom"/>
            <w:tcBorders>
              <w:top w:val="single" w:sz="8" w:color="CCEEFF"/>
            </w:tcBorders>
            <w:shd w:val="clear" w:color="auto" w:fill="CCEEFF"/>
          </w:tcPr>
          <w:p>
            <w:pPr>
              <w:spacing w:after="0"/>
              <w:rPr>
                <w:sz w:val="7"/>
                <w:szCs w:val="7"/>
                <w:color w:val="auto"/>
              </w:rPr>
            </w:pPr>
          </w:p>
        </w:tc>
        <w:tc>
          <w:tcPr>
            <w:tcW w:w="340" w:type="dxa"/>
            <w:vAlign w:val="bottom"/>
            <w:tcBorders>
              <w:top w:val="single" w:sz="8" w:color="auto"/>
            </w:tcBorders>
            <w:shd w:val="clear" w:color="auto" w:fill="CCEEFF"/>
          </w:tcPr>
          <w:p>
            <w:pPr>
              <w:jc w:val="right"/>
              <w:spacing w:after="0" w:line="88" w:lineRule="exact"/>
              <w:rPr>
                <w:sz w:val="20"/>
                <w:szCs w:val="20"/>
                <w:color w:val="auto"/>
              </w:rPr>
            </w:pPr>
            <w:r>
              <w:rPr>
                <w:rFonts w:ascii="Times New Roman" w:cs="Times New Roman" w:eastAsia="Times New Roman" w:hAnsi="Times New Roman"/>
                <w:sz w:val="10"/>
                <w:szCs w:val="10"/>
                <w:color w:val="auto"/>
              </w:rPr>
              <w:t>74,379</w:t>
            </w:r>
          </w:p>
        </w:tc>
        <w:tc>
          <w:tcPr>
            <w:tcW w:w="120" w:type="dxa"/>
            <w:vAlign w:val="bottom"/>
            <w:tcBorders>
              <w:top w:val="single" w:sz="8" w:color="CCEEFF"/>
            </w:tcBorders>
            <w:shd w:val="clear" w:color="auto" w:fill="CCEEFF"/>
          </w:tcPr>
          <w:p>
            <w:pPr>
              <w:spacing w:after="0"/>
              <w:rPr>
                <w:sz w:val="7"/>
                <w:szCs w:val="7"/>
                <w:color w:val="auto"/>
              </w:rPr>
            </w:pPr>
          </w:p>
        </w:tc>
        <w:tc>
          <w:tcPr>
            <w:tcW w:w="380" w:type="dxa"/>
            <w:vAlign w:val="bottom"/>
            <w:tcBorders>
              <w:top w:val="single" w:sz="8" w:color="auto"/>
            </w:tcBorders>
            <w:shd w:val="clear" w:color="auto" w:fill="CCEEFF"/>
          </w:tcPr>
          <w:p>
            <w:pPr>
              <w:jc w:val="right"/>
              <w:spacing w:after="0" w:line="88" w:lineRule="exact"/>
              <w:rPr>
                <w:sz w:val="20"/>
                <w:szCs w:val="20"/>
                <w:color w:val="auto"/>
              </w:rPr>
            </w:pPr>
            <w:r>
              <w:rPr>
                <w:rFonts w:ascii="Times New Roman" w:cs="Times New Roman" w:eastAsia="Times New Roman" w:hAnsi="Times New Roman"/>
                <w:sz w:val="10"/>
                <w:szCs w:val="10"/>
                <w:color w:val="auto"/>
                <w:w w:val="89"/>
              </w:rPr>
              <w:t>$ 131,384</w:t>
            </w:r>
          </w:p>
        </w:tc>
        <w:tc>
          <w:tcPr>
            <w:tcW w:w="120" w:type="dxa"/>
            <w:vAlign w:val="bottom"/>
            <w:tcBorders>
              <w:top w:val="single" w:sz="8" w:color="CCEEFF"/>
            </w:tcBorders>
            <w:shd w:val="clear" w:color="auto" w:fill="CCEEFF"/>
          </w:tcPr>
          <w:p>
            <w:pPr>
              <w:spacing w:after="0"/>
              <w:rPr>
                <w:sz w:val="7"/>
                <w:szCs w:val="7"/>
                <w:color w:val="auto"/>
              </w:rPr>
            </w:pPr>
          </w:p>
        </w:tc>
        <w:tc>
          <w:tcPr>
            <w:tcW w:w="460" w:type="dxa"/>
            <w:vAlign w:val="bottom"/>
            <w:tcBorders>
              <w:top w:val="single" w:sz="8" w:color="auto"/>
            </w:tcBorders>
            <w:shd w:val="clear" w:color="auto" w:fill="CCEEFF"/>
          </w:tcPr>
          <w:p>
            <w:pPr>
              <w:jc w:val="right"/>
              <w:spacing w:after="0" w:line="88" w:lineRule="exact"/>
              <w:rPr>
                <w:sz w:val="20"/>
                <w:szCs w:val="20"/>
                <w:color w:val="auto"/>
              </w:rPr>
            </w:pPr>
            <w:r>
              <w:rPr>
                <w:rFonts w:ascii="Times New Roman" w:cs="Times New Roman" w:eastAsia="Times New Roman" w:hAnsi="Times New Roman"/>
                <w:sz w:val="10"/>
                <w:szCs w:val="10"/>
                <w:color w:val="auto"/>
              </w:rPr>
              <w:t>2,870,382</w:t>
            </w:r>
          </w:p>
        </w:tc>
        <w:tc>
          <w:tcPr>
            <w:tcW w:w="120" w:type="dxa"/>
            <w:vAlign w:val="bottom"/>
            <w:tcBorders>
              <w:top w:val="single" w:sz="8" w:color="CCEEFF"/>
            </w:tcBorders>
            <w:shd w:val="clear" w:color="auto" w:fill="CCEEFF"/>
          </w:tcPr>
          <w:p>
            <w:pPr>
              <w:spacing w:after="0"/>
              <w:rPr>
                <w:sz w:val="7"/>
                <w:szCs w:val="7"/>
                <w:color w:val="auto"/>
              </w:rPr>
            </w:pPr>
          </w:p>
        </w:tc>
        <w:tc>
          <w:tcPr>
            <w:tcW w:w="200" w:type="dxa"/>
            <w:vAlign w:val="bottom"/>
            <w:tcBorders>
              <w:top w:val="single" w:sz="8" w:color="auto"/>
            </w:tcBorders>
            <w:shd w:val="clear" w:color="auto" w:fill="CCEEFF"/>
          </w:tcPr>
          <w:p>
            <w:pPr>
              <w:spacing w:after="0" w:line="88" w:lineRule="exact"/>
              <w:rPr>
                <w:sz w:val="20"/>
                <w:szCs w:val="20"/>
                <w:color w:val="auto"/>
              </w:rPr>
            </w:pPr>
            <w:r>
              <w:rPr>
                <w:rFonts w:ascii="Times New Roman" w:cs="Times New Roman" w:eastAsia="Times New Roman" w:hAnsi="Times New Roman"/>
                <w:sz w:val="10"/>
                <w:szCs w:val="10"/>
                <w:color w:val="auto"/>
              </w:rPr>
              <w:t>$</w:t>
            </w:r>
          </w:p>
        </w:tc>
        <w:tc>
          <w:tcPr>
            <w:tcW w:w="120" w:type="dxa"/>
            <w:vAlign w:val="bottom"/>
            <w:tcBorders>
              <w:top w:val="single" w:sz="8" w:color="auto"/>
            </w:tcBorders>
            <w:shd w:val="clear" w:color="auto" w:fill="CCEEFF"/>
          </w:tcPr>
          <w:p>
            <w:pPr>
              <w:jc w:val="right"/>
              <w:spacing w:after="0" w:line="88" w:lineRule="exact"/>
              <w:rPr>
                <w:sz w:val="20"/>
                <w:szCs w:val="20"/>
                <w:color w:val="auto"/>
              </w:rPr>
            </w:pPr>
            <w:r>
              <w:rPr>
                <w:rFonts w:ascii="Times New Roman" w:cs="Times New Roman" w:eastAsia="Times New Roman" w:hAnsi="Times New Roman"/>
                <w:sz w:val="10"/>
                <w:szCs w:val="10"/>
                <w:color w:val="auto"/>
                <w:w w:val="99"/>
              </w:rPr>
              <w:t>29</w:t>
            </w:r>
          </w:p>
        </w:tc>
        <w:tc>
          <w:tcPr>
            <w:tcW w:w="120" w:type="dxa"/>
            <w:vAlign w:val="bottom"/>
            <w:tcBorders>
              <w:top w:val="single" w:sz="8" w:color="CCEEFF"/>
            </w:tcBorders>
            <w:shd w:val="clear" w:color="auto" w:fill="CCEEFF"/>
          </w:tcPr>
          <w:p>
            <w:pPr>
              <w:spacing w:after="0"/>
              <w:rPr>
                <w:sz w:val="7"/>
                <w:szCs w:val="7"/>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540" w:type="dxa"/>
            <w:vAlign w:val="bottom"/>
            <w:tcBorders>
              <w:top w:val="single" w:sz="8" w:color="auto"/>
            </w:tcBorders>
            <w:shd w:val="clear" w:color="auto" w:fill="CCEEFF"/>
          </w:tcPr>
          <w:p>
            <w:pPr>
              <w:jc w:val="right"/>
              <w:spacing w:after="0" w:line="88" w:lineRule="exact"/>
              <w:rPr>
                <w:sz w:val="20"/>
                <w:szCs w:val="20"/>
                <w:color w:val="auto"/>
              </w:rPr>
            </w:pPr>
            <w:r>
              <w:rPr>
                <w:rFonts w:ascii="Times New Roman" w:cs="Times New Roman" w:eastAsia="Times New Roman" w:hAnsi="Times New Roman"/>
                <w:sz w:val="10"/>
                <w:szCs w:val="10"/>
                <w:color w:val="auto"/>
              </w:rPr>
              <w:t>1,694,136</w:t>
            </w:r>
          </w:p>
        </w:tc>
        <w:tc>
          <w:tcPr>
            <w:tcW w:w="120" w:type="dxa"/>
            <w:vAlign w:val="bottom"/>
            <w:tcBorders>
              <w:top w:val="single" w:sz="8" w:color="CCEEFF"/>
            </w:tcBorders>
            <w:shd w:val="clear" w:color="auto" w:fill="CCEEFF"/>
          </w:tcPr>
          <w:p>
            <w:pPr>
              <w:spacing w:after="0"/>
              <w:rPr>
                <w:sz w:val="7"/>
                <w:szCs w:val="7"/>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660" w:type="dxa"/>
            <w:vAlign w:val="bottom"/>
            <w:tcBorders>
              <w:top w:val="single" w:sz="8" w:color="auto"/>
            </w:tcBorders>
            <w:shd w:val="clear" w:color="auto" w:fill="CCEEFF"/>
          </w:tcPr>
          <w:p>
            <w:pPr>
              <w:jc w:val="right"/>
              <w:spacing w:after="0" w:line="88" w:lineRule="exact"/>
              <w:rPr>
                <w:sz w:val="20"/>
                <w:szCs w:val="20"/>
                <w:color w:val="auto"/>
              </w:rPr>
            </w:pPr>
            <w:r>
              <w:rPr>
                <w:rFonts w:ascii="Times New Roman" w:cs="Times New Roman" w:eastAsia="Times New Roman" w:hAnsi="Times New Roman"/>
                <w:sz w:val="10"/>
                <w:szCs w:val="10"/>
                <w:color w:val="auto"/>
              </w:rPr>
              <w:t>(25,120,521)</w:t>
            </w:r>
          </w:p>
        </w:tc>
        <w:tc>
          <w:tcPr>
            <w:tcW w:w="160" w:type="dxa"/>
            <w:vAlign w:val="bottom"/>
            <w:tcBorders>
              <w:top w:val="single" w:sz="8" w:color="CCEEFF"/>
            </w:tcBorders>
            <w:shd w:val="clear" w:color="auto" w:fill="CCEEFF"/>
          </w:tcPr>
          <w:p>
            <w:pPr>
              <w:spacing w:after="0"/>
              <w:rPr>
                <w:sz w:val="7"/>
                <w:szCs w:val="7"/>
                <w:color w:val="auto"/>
              </w:rPr>
            </w:pPr>
          </w:p>
        </w:tc>
        <w:tc>
          <w:tcPr>
            <w:tcW w:w="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640" w:type="dxa"/>
            <w:vAlign w:val="bottom"/>
            <w:tcBorders>
              <w:top w:val="single" w:sz="8" w:color="auto"/>
            </w:tcBorders>
            <w:shd w:val="clear" w:color="auto" w:fill="CCEEFF"/>
          </w:tcPr>
          <w:p>
            <w:pPr>
              <w:jc w:val="right"/>
              <w:spacing w:after="0" w:line="88" w:lineRule="exact"/>
              <w:rPr>
                <w:sz w:val="20"/>
                <w:szCs w:val="20"/>
                <w:color w:val="auto"/>
              </w:rPr>
            </w:pPr>
            <w:r>
              <w:rPr>
                <w:rFonts w:ascii="Times New Roman" w:cs="Times New Roman" w:eastAsia="Times New Roman" w:hAnsi="Times New Roman"/>
                <w:sz w:val="10"/>
                <w:szCs w:val="10"/>
                <w:color w:val="auto"/>
              </w:rPr>
              <w:t>(243,267)</w:t>
            </w:r>
          </w:p>
        </w:tc>
        <w:tc>
          <w:tcPr>
            <w:tcW w:w="80" w:type="dxa"/>
            <w:vAlign w:val="bottom"/>
            <w:tcBorders>
              <w:top w:val="single" w:sz="8" w:color="CCEEFF"/>
            </w:tcBorders>
            <w:shd w:val="clear" w:color="auto" w:fill="CCEEFF"/>
          </w:tcPr>
          <w:p>
            <w:pPr>
              <w:spacing w:after="0"/>
              <w:rPr>
                <w:sz w:val="7"/>
                <w:szCs w:val="7"/>
                <w:color w:val="auto"/>
              </w:rPr>
            </w:pPr>
          </w:p>
        </w:tc>
      </w:tr>
      <w:tr>
        <w:trPr>
          <w:trHeight w:val="99"/>
        </w:trPr>
        <w:tc>
          <w:tcPr>
            <w:tcW w:w="2420" w:type="dxa"/>
            <w:vAlign w:val="bottom"/>
          </w:tcPr>
          <w:p>
            <w:pPr>
              <w:ind w:left="120"/>
              <w:spacing w:after="0" w:line="99" w:lineRule="exact"/>
              <w:rPr>
                <w:sz w:val="20"/>
                <w:szCs w:val="20"/>
                <w:color w:val="auto"/>
              </w:rPr>
            </w:pPr>
            <w:r>
              <w:rPr>
                <w:rFonts w:ascii="Times New Roman" w:cs="Times New Roman" w:eastAsia="Times New Roman" w:hAnsi="Times New Roman"/>
                <w:sz w:val="10"/>
                <w:szCs w:val="10"/>
                <w:color w:val="auto"/>
              </w:rPr>
              <w:t>Exercise of stock options</w:t>
            </w:r>
          </w:p>
        </w:tc>
        <w:tc>
          <w:tcPr>
            <w:tcW w:w="560" w:type="dxa"/>
            <w:vAlign w:val="bottom"/>
            <w:gridSpan w:val="2"/>
          </w:tcPr>
          <w:p>
            <w:pPr>
              <w:jc w:val="right"/>
              <w:ind w:right="120"/>
              <w:spacing w:after="0" w:line="99" w:lineRule="exact"/>
              <w:rPr>
                <w:sz w:val="20"/>
                <w:szCs w:val="20"/>
                <w:color w:val="auto"/>
              </w:rPr>
            </w:pPr>
            <w:r>
              <w:rPr>
                <w:rFonts w:ascii="Times New Roman" w:cs="Times New Roman" w:eastAsia="Times New Roman" w:hAnsi="Times New Roman"/>
                <w:sz w:val="10"/>
                <w:szCs w:val="10"/>
                <w:color w:val="auto"/>
              </w:rPr>
              <w:t>-</w:t>
            </w:r>
          </w:p>
        </w:tc>
        <w:tc>
          <w:tcPr>
            <w:tcW w:w="640" w:type="dxa"/>
            <w:vAlign w:val="bottom"/>
            <w:gridSpan w:val="2"/>
          </w:tcPr>
          <w:p>
            <w:pPr>
              <w:jc w:val="right"/>
              <w:ind w:right="120"/>
              <w:spacing w:after="0" w:line="99" w:lineRule="exact"/>
              <w:rPr>
                <w:sz w:val="20"/>
                <w:szCs w:val="20"/>
                <w:color w:val="auto"/>
              </w:rPr>
            </w:pPr>
            <w:r>
              <w:rPr>
                <w:rFonts w:ascii="Times New Roman" w:cs="Times New Roman" w:eastAsia="Times New Roman" w:hAnsi="Times New Roman"/>
                <w:sz w:val="10"/>
                <w:szCs w:val="10"/>
                <w:color w:val="auto"/>
              </w:rPr>
              <w:t>-</w:t>
            </w:r>
          </w:p>
        </w:tc>
        <w:tc>
          <w:tcPr>
            <w:tcW w:w="580" w:type="dxa"/>
            <w:vAlign w:val="bottom"/>
            <w:gridSpan w:val="2"/>
          </w:tcPr>
          <w:p>
            <w:pPr>
              <w:jc w:val="right"/>
              <w:ind w:right="140"/>
              <w:spacing w:after="0" w:line="99" w:lineRule="exact"/>
              <w:rPr>
                <w:sz w:val="20"/>
                <w:szCs w:val="20"/>
                <w:color w:val="auto"/>
              </w:rPr>
            </w:pPr>
            <w:r>
              <w:rPr>
                <w:rFonts w:ascii="Times New Roman" w:cs="Times New Roman" w:eastAsia="Times New Roman" w:hAnsi="Times New Roman"/>
                <w:sz w:val="10"/>
                <w:szCs w:val="10"/>
                <w:color w:val="auto"/>
              </w:rPr>
              <w:t>-</w:t>
            </w:r>
          </w:p>
        </w:tc>
        <w:tc>
          <w:tcPr>
            <w:tcW w:w="580" w:type="dxa"/>
            <w:vAlign w:val="bottom"/>
            <w:gridSpan w:val="2"/>
          </w:tcPr>
          <w:p>
            <w:pPr>
              <w:jc w:val="right"/>
              <w:ind w:right="120"/>
              <w:spacing w:after="0" w:line="99" w:lineRule="exact"/>
              <w:rPr>
                <w:sz w:val="20"/>
                <w:szCs w:val="20"/>
                <w:color w:val="auto"/>
              </w:rPr>
            </w:pPr>
            <w:r>
              <w:rPr>
                <w:rFonts w:ascii="Times New Roman" w:cs="Times New Roman" w:eastAsia="Times New Roman" w:hAnsi="Times New Roman"/>
                <w:sz w:val="10"/>
                <w:szCs w:val="10"/>
                <w:color w:val="auto"/>
              </w:rPr>
              <w:t>-</w:t>
            </w:r>
          </w:p>
        </w:tc>
        <w:tc>
          <w:tcPr>
            <w:tcW w:w="520" w:type="dxa"/>
            <w:vAlign w:val="bottom"/>
            <w:gridSpan w:val="2"/>
          </w:tcPr>
          <w:p>
            <w:pPr>
              <w:jc w:val="right"/>
              <w:ind w:right="60"/>
              <w:spacing w:after="0" w:line="99" w:lineRule="exact"/>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8"/>
                <w:szCs w:val="8"/>
                <w:color w:val="auto"/>
              </w:rPr>
            </w:pPr>
          </w:p>
        </w:tc>
        <w:tc>
          <w:tcPr>
            <w:tcW w:w="580" w:type="dxa"/>
            <w:vAlign w:val="bottom"/>
            <w:gridSpan w:val="2"/>
          </w:tcPr>
          <w:p>
            <w:pPr>
              <w:jc w:val="right"/>
              <w:ind w:right="120"/>
              <w:spacing w:after="0" w:line="99" w:lineRule="exact"/>
              <w:rPr>
                <w:sz w:val="20"/>
                <w:szCs w:val="20"/>
                <w:color w:val="auto"/>
              </w:rPr>
            </w:pPr>
            <w:r>
              <w:rPr>
                <w:rFonts w:ascii="Times New Roman" w:cs="Times New Roman" w:eastAsia="Times New Roman" w:hAnsi="Times New Roman"/>
                <w:sz w:val="10"/>
                <w:szCs w:val="10"/>
                <w:color w:val="auto"/>
              </w:rPr>
              <w:t>-</w:t>
            </w:r>
          </w:p>
        </w:tc>
        <w:tc>
          <w:tcPr>
            <w:tcW w:w="500" w:type="dxa"/>
            <w:vAlign w:val="bottom"/>
            <w:gridSpan w:val="2"/>
          </w:tcPr>
          <w:p>
            <w:pPr>
              <w:jc w:val="right"/>
              <w:ind w:right="120"/>
              <w:spacing w:after="0" w:line="99" w:lineRule="exact"/>
              <w:rPr>
                <w:sz w:val="20"/>
                <w:szCs w:val="20"/>
                <w:color w:val="auto"/>
              </w:rPr>
            </w:pPr>
            <w:r>
              <w:rPr>
                <w:rFonts w:ascii="Times New Roman" w:cs="Times New Roman" w:eastAsia="Times New Roman" w:hAnsi="Times New Roman"/>
                <w:sz w:val="10"/>
                <w:szCs w:val="10"/>
                <w:color w:val="auto"/>
              </w:rPr>
              <w:t>-</w:t>
            </w:r>
          </w:p>
        </w:tc>
        <w:tc>
          <w:tcPr>
            <w:tcW w:w="520" w:type="dxa"/>
            <w:vAlign w:val="bottom"/>
            <w:gridSpan w:val="2"/>
          </w:tcPr>
          <w:p>
            <w:pPr>
              <w:jc w:val="right"/>
              <w:ind w:right="120"/>
              <w:spacing w:after="0" w:line="99" w:lineRule="exact"/>
              <w:rPr>
                <w:sz w:val="20"/>
                <w:szCs w:val="20"/>
                <w:color w:val="auto"/>
              </w:rPr>
            </w:pPr>
            <w:r>
              <w:rPr>
                <w:rFonts w:ascii="Times New Roman" w:cs="Times New Roman" w:eastAsia="Times New Roman" w:hAnsi="Times New Roman"/>
                <w:sz w:val="10"/>
                <w:szCs w:val="10"/>
                <w:color w:val="auto"/>
              </w:rPr>
              <w:t>-</w:t>
            </w:r>
          </w:p>
        </w:tc>
        <w:tc>
          <w:tcPr>
            <w:tcW w:w="460" w:type="dxa"/>
            <w:vAlign w:val="bottom"/>
            <w:gridSpan w:val="2"/>
          </w:tcPr>
          <w:p>
            <w:pPr>
              <w:jc w:val="right"/>
              <w:ind w:right="120"/>
              <w:spacing w:after="0" w:line="99" w:lineRule="exact"/>
              <w:rPr>
                <w:sz w:val="20"/>
                <w:szCs w:val="20"/>
                <w:color w:val="auto"/>
              </w:rPr>
            </w:pPr>
            <w:r>
              <w:rPr>
                <w:rFonts w:ascii="Times New Roman" w:cs="Times New Roman" w:eastAsia="Times New Roman" w:hAnsi="Times New Roman"/>
                <w:sz w:val="10"/>
                <w:szCs w:val="10"/>
                <w:color w:val="auto"/>
              </w:rPr>
              <w:t>-</w:t>
            </w:r>
          </w:p>
        </w:tc>
        <w:tc>
          <w:tcPr>
            <w:tcW w:w="500" w:type="dxa"/>
            <w:vAlign w:val="bottom"/>
            <w:gridSpan w:val="2"/>
          </w:tcPr>
          <w:p>
            <w:pPr>
              <w:jc w:val="right"/>
              <w:ind w:right="120"/>
              <w:spacing w:after="0" w:line="99" w:lineRule="exact"/>
              <w:rPr>
                <w:sz w:val="20"/>
                <w:szCs w:val="20"/>
                <w:color w:val="auto"/>
              </w:rPr>
            </w:pPr>
            <w:r>
              <w:rPr>
                <w:rFonts w:ascii="Times New Roman" w:cs="Times New Roman" w:eastAsia="Times New Roman" w:hAnsi="Times New Roman"/>
                <w:sz w:val="10"/>
                <w:szCs w:val="10"/>
                <w:color w:val="auto"/>
              </w:rPr>
              <w:t>-</w:t>
            </w:r>
          </w:p>
        </w:tc>
        <w:tc>
          <w:tcPr>
            <w:tcW w:w="580" w:type="dxa"/>
            <w:vAlign w:val="bottom"/>
            <w:gridSpan w:val="2"/>
          </w:tcPr>
          <w:p>
            <w:pPr>
              <w:jc w:val="right"/>
              <w:ind w:right="120"/>
              <w:spacing w:after="0" w:line="99" w:lineRule="exact"/>
              <w:rPr>
                <w:sz w:val="20"/>
                <w:szCs w:val="20"/>
                <w:color w:val="auto"/>
              </w:rPr>
            </w:pPr>
            <w:r>
              <w:rPr>
                <w:rFonts w:ascii="Times New Roman" w:cs="Times New Roman" w:eastAsia="Times New Roman" w:hAnsi="Times New Roman"/>
                <w:sz w:val="10"/>
                <w:szCs w:val="10"/>
                <w:color w:val="auto"/>
              </w:rPr>
              <w:t>15,561</w:t>
            </w:r>
          </w:p>
        </w:tc>
        <w:tc>
          <w:tcPr>
            <w:tcW w:w="200" w:type="dxa"/>
            <w:vAlign w:val="bottom"/>
          </w:tcPr>
          <w:p>
            <w:pPr>
              <w:spacing w:after="0"/>
              <w:rPr>
                <w:sz w:val="8"/>
                <w:szCs w:val="8"/>
                <w:color w:val="auto"/>
              </w:rPr>
            </w:pPr>
          </w:p>
        </w:tc>
        <w:tc>
          <w:tcPr>
            <w:tcW w:w="240" w:type="dxa"/>
            <w:vAlign w:val="bottom"/>
            <w:gridSpan w:val="2"/>
          </w:tcPr>
          <w:p>
            <w:pPr>
              <w:jc w:val="right"/>
              <w:ind w:right="120"/>
              <w:spacing w:after="0" w:line="99" w:lineRule="exact"/>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8"/>
                <w:szCs w:val="8"/>
                <w:color w:val="auto"/>
              </w:rPr>
            </w:pPr>
          </w:p>
        </w:tc>
        <w:tc>
          <w:tcPr>
            <w:tcW w:w="660" w:type="dxa"/>
            <w:vAlign w:val="bottom"/>
            <w:gridSpan w:val="2"/>
          </w:tcPr>
          <w:p>
            <w:pPr>
              <w:jc w:val="right"/>
              <w:ind w:right="120"/>
              <w:spacing w:after="0" w:line="99" w:lineRule="exact"/>
              <w:rPr>
                <w:sz w:val="20"/>
                <w:szCs w:val="20"/>
                <w:color w:val="auto"/>
              </w:rPr>
            </w:pPr>
            <w:r>
              <w:rPr>
                <w:rFonts w:ascii="Times New Roman" w:cs="Times New Roman" w:eastAsia="Times New Roman" w:hAnsi="Times New Roman"/>
                <w:sz w:val="10"/>
                <w:szCs w:val="10"/>
                <w:color w:val="auto"/>
              </w:rPr>
              <w:t>4,390</w:t>
            </w:r>
          </w:p>
        </w:tc>
        <w:tc>
          <w:tcPr>
            <w:tcW w:w="60" w:type="dxa"/>
            <w:vAlign w:val="bottom"/>
          </w:tcPr>
          <w:p>
            <w:pPr>
              <w:spacing w:after="0"/>
              <w:rPr>
                <w:sz w:val="8"/>
                <w:szCs w:val="8"/>
                <w:color w:val="auto"/>
              </w:rPr>
            </w:pPr>
          </w:p>
        </w:tc>
        <w:tc>
          <w:tcPr>
            <w:tcW w:w="660" w:type="dxa"/>
            <w:vAlign w:val="bottom"/>
          </w:tcPr>
          <w:p>
            <w:pPr>
              <w:jc w:val="right"/>
              <w:spacing w:after="0" w:line="99" w:lineRule="exact"/>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spacing w:after="0"/>
              <w:rPr>
                <w:sz w:val="8"/>
                <w:szCs w:val="8"/>
                <w:color w:val="auto"/>
              </w:rPr>
            </w:pPr>
          </w:p>
        </w:tc>
        <w:tc>
          <w:tcPr>
            <w:tcW w:w="40" w:type="dxa"/>
            <w:vAlign w:val="bottom"/>
          </w:tcPr>
          <w:p>
            <w:pPr>
              <w:spacing w:after="0"/>
              <w:rPr>
                <w:sz w:val="8"/>
                <w:szCs w:val="8"/>
                <w:color w:val="auto"/>
              </w:rPr>
            </w:pPr>
          </w:p>
        </w:tc>
        <w:tc>
          <w:tcPr>
            <w:tcW w:w="720" w:type="dxa"/>
            <w:vAlign w:val="bottom"/>
            <w:gridSpan w:val="2"/>
          </w:tcPr>
          <w:p>
            <w:pPr>
              <w:jc w:val="right"/>
              <w:ind w:right="38"/>
              <w:spacing w:after="0" w:line="99" w:lineRule="exact"/>
              <w:rPr>
                <w:sz w:val="20"/>
                <w:szCs w:val="20"/>
                <w:color w:val="auto"/>
              </w:rPr>
            </w:pPr>
            <w:r>
              <w:rPr>
                <w:rFonts w:ascii="Times New Roman" w:cs="Times New Roman" w:eastAsia="Times New Roman" w:hAnsi="Times New Roman"/>
                <w:sz w:val="10"/>
                <w:szCs w:val="10"/>
                <w:color w:val="auto"/>
              </w:rPr>
              <w:t>4,390</w:t>
            </w:r>
          </w:p>
        </w:tc>
      </w:tr>
      <w:tr>
        <w:trPr>
          <w:trHeight w:val="99"/>
        </w:trPr>
        <w:tc>
          <w:tcPr>
            <w:tcW w:w="2420" w:type="dxa"/>
            <w:vAlign w:val="bottom"/>
            <w:shd w:val="clear" w:color="auto" w:fill="CCEEFF"/>
          </w:tcPr>
          <w:p>
            <w:pPr>
              <w:ind w:left="120"/>
              <w:spacing w:after="0" w:line="99" w:lineRule="exact"/>
              <w:rPr>
                <w:sz w:val="20"/>
                <w:szCs w:val="20"/>
                <w:color w:val="auto"/>
              </w:rPr>
            </w:pPr>
            <w:r>
              <w:rPr>
                <w:rFonts w:ascii="Times New Roman" w:cs="Times New Roman" w:eastAsia="Times New Roman" w:hAnsi="Times New Roman"/>
                <w:sz w:val="10"/>
                <w:szCs w:val="10"/>
                <w:color w:val="auto"/>
              </w:rPr>
              <w:t>Stock based compensation</w:t>
            </w:r>
          </w:p>
        </w:tc>
        <w:tc>
          <w:tcPr>
            <w:tcW w:w="560" w:type="dxa"/>
            <w:vAlign w:val="bottom"/>
            <w:gridSpan w:val="2"/>
            <w:shd w:val="clear" w:color="auto" w:fill="CCEEFF"/>
          </w:tcPr>
          <w:p>
            <w:pPr>
              <w:jc w:val="right"/>
              <w:ind w:right="120"/>
              <w:spacing w:after="0" w:line="99" w:lineRule="exact"/>
              <w:rPr>
                <w:sz w:val="20"/>
                <w:szCs w:val="20"/>
                <w:color w:val="auto"/>
              </w:rPr>
            </w:pPr>
            <w:r>
              <w:rPr>
                <w:rFonts w:ascii="Times New Roman" w:cs="Times New Roman" w:eastAsia="Times New Roman" w:hAnsi="Times New Roman"/>
                <w:sz w:val="10"/>
                <w:szCs w:val="10"/>
                <w:color w:val="auto"/>
              </w:rPr>
              <w:t>-</w:t>
            </w:r>
          </w:p>
        </w:tc>
        <w:tc>
          <w:tcPr>
            <w:tcW w:w="640" w:type="dxa"/>
            <w:vAlign w:val="bottom"/>
            <w:gridSpan w:val="2"/>
            <w:shd w:val="clear" w:color="auto" w:fill="CCEEFF"/>
          </w:tcPr>
          <w:p>
            <w:pPr>
              <w:jc w:val="right"/>
              <w:ind w:right="120"/>
              <w:spacing w:after="0" w:line="99" w:lineRule="exact"/>
              <w:rPr>
                <w:sz w:val="20"/>
                <w:szCs w:val="20"/>
                <w:color w:val="auto"/>
              </w:rPr>
            </w:pPr>
            <w:r>
              <w:rPr>
                <w:rFonts w:ascii="Times New Roman" w:cs="Times New Roman" w:eastAsia="Times New Roman" w:hAnsi="Times New Roman"/>
                <w:sz w:val="10"/>
                <w:szCs w:val="10"/>
                <w:color w:val="auto"/>
              </w:rPr>
              <w:t>-</w:t>
            </w:r>
          </w:p>
        </w:tc>
        <w:tc>
          <w:tcPr>
            <w:tcW w:w="580" w:type="dxa"/>
            <w:vAlign w:val="bottom"/>
            <w:gridSpan w:val="2"/>
            <w:shd w:val="clear" w:color="auto" w:fill="CCEEFF"/>
          </w:tcPr>
          <w:p>
            <w:pPr>
              <w:jc w:val="right"/>
              <w:ind w:right="140"/>
              <w:spacing w:after="0" w:line="99" w:lineRule="exact"/>
              <w:rPr>
                <w:sz w:val="20"/>
                <w:szCs w:val="20"/>
                <w:color w:val="auto"/>
              </w:rPr>
            </w:pPr>
            <w:r>
              <w:rPr>
                <w:rFonts w:ascii="Times New Roman" w:cs="Times New Roman" w:eastAsia="Times New Roman" w:hAnsi="Times New Roman"/>
                <w:sz w:val="10"/>
                <w:szCs w:val="10"/>
                <w:color w:val="auto"/>
              </w:rPr>
              <w:t>-</w:t>
            </w:r>
          </w:p>
        </w:tc>
        <w:tc>
          <w:tcPr>
            <w:tcW w:w="580" w:type="dxa"/>
            <w:vAlign w:val="bottom"/>
            <w:gridSpan w:val="2"/>
            <w:shd w:val="clear" w:color="auto" w:fill="CCEEFF"/>
          </w:tcPr>
          <w:p>
            <w:pPr>
              <w:jc w:val="right"/>
              <w:ind w:right="120"/>
              <w:spacing w:after="0" w:line="99" w:lineRule="exact"/>
              <w:rPr>
                <w:sz w:val="20"/>
                <w:szCs w:val="20"/>
                <w:color w:val="auto"/>
              </w:rPr>
            </w:pPr>
            <w:r>
              <w:rPr>
                <w:rFonts w:ascii="Times New Roman" w:cs="Times New Roman" w:eastAsia="Times New Roman" w:hAnsi="Times New Roman"/>
                <w:sz w:val="10"/>
                <w:szCs w:val="10"/>
                <w:color w:val="auto"/>
              </w:rPr>
              <w:t>-</w:t>
            </w:r>
          </w:p>
        </w:tc>
        <w:tc>
          <w:tcPr>
            <w:tcW w:w="520" w:type="dxa"/>
            <w:vAlign w:val="bottom"/>
            <w:gridSpan w:val="2"/>
            <w:shd w:val="clear" w:color="auto" w:fill="CCEEFF"/>
          </w:tcPr>
          <w:p>
            <w:pPr>
              <w:jc w:val="right"/>
              <w:ind w:right="60"/>
              <w:spacing w:after="0" w:line="99" w:lineRule="exact"/>
              <w:rPr>
                <w:sz w:val="20"/>
                <w:szCs w:val="20"/>
                <w:color w:val="auto"/>
              </w:rPr>
            </w:pPr>
            <w:r>
              <w:rPr>
                <w:rFonts w:ascii="Times New Roman" w:cs="Times New Roman" w:eastAsia="Times New Roman" w:hAnsi="Times New Roman"/>
                <w:sz w:val="10"/>
                <w:szCs w:val="10"/>
                <w:color w:val="auto"/>
              </w:rPr>
              <w:t>-</w:t>
            </w:r>
          </w:p>
        </w:tc>
        <w:tc>
          <w:tcPr>
            <w:tcW w:w="60" w:type="dxa"/>
            <w:vAlign w:val="bottom"/>
            <w:shd w:val="clear" w:color="auto" w:fill="CCEEFF"/>
          </w:tcPr>
          <w:p>
            <w:pPr>
              <w:spacing w:after="0"/>
              <w:rPr>
                <w:sz w:val="8"/>
                <w:szCs w:val="8"/>
                <w:color w:val="auto"/>
              </w:rPr>
            </w:pPr>
          </w:p>
        </w:tc>
        <w:tc>
          <w:tcPr>
            <w:tcW w:w="580" w:type="dxa"/>
            <w:vAlign w:val="bottom"/>
            <w:gridSpan w:val="2"/>
            <w:shd w:val="clear" w:color="auto" w:fill="CCEEFF"/>
          </w:tcPr>
          <w:p>
            <w:pPr>
              <w:jc w:val="right"/>
              <w:ind w:right="120"/>
              <w:spacing w:after="0" w:line="99" w:lineRule="exact"/>
              <w:rPr>
                <w:sz w:val="20"/>
                <w:szCs w:val="20"/>
                <w:color w:val="auto"/>
              </w:rPr>
            </w:pPr>
            <w:r>
              <w:rPr>
                <w:rFonts w:ascii="Times New Roman" w:cs="Times New Roman" w:eastAsia="Times New Roman" w:hAnsi="Times New Roman"/>
                <w:sz w:val="10"/>
                <w:szCs w:val="10"/>
                <w:color w:val="auto"/>
              </w:rPr>
              <w:t>-</w:t>
            </w:r>
          </w:p>
        </w:tc>
        <w:tc>
          <w:tcPr>
            <w:tcW w:w="500" w:type="dxa"/>
            <w:vAlign w:val="bottom"/>
            <w:gridSpan w:val="2"/>
            <w:shd w:val="clear" w:color="auto" w:fill="CCEEFF"/>
          </w:tcPr>
          <w:p>
            <w:pPr>
              <w:jc w:val="right"/>
              <w:ind w:right="120"/>
              <w:spacing w:after="0" w:line="99" w:lineRule="exact"/>
              <w:rPr>
                <w:sz w:val="20"/>
                <w:szCs w:val="20"/>
                <w:color w:val="auto"/>
              </w:rPr>
            </w:pPr>
            <w:r>
              <w:rPr>
                <w:rFonts w:ascii="Times New Roman" w:cs="Times New Roman" w:eastAsia="Times New Roman" w:hAnsi="Times New Roman"/>
                <w:sz w:val="10"/>
                <w:szCs w:val="10"/>
                <w:color w:val="auto"/>
              </w:rPr>
              <w:t>-</w:t>
            </w:r>
          </w:p>
        </w:tc>
        <w:tc>
          <w:tcPr>
            <w:tcW w:w="520" w:type="dxa"/>
            <w:vAlign w:val="bottom"/>
            <w:gridSpan w:val="2"/>
            <w:shd w:val="clear" w:color="auto" w:fill="CCEEFF"/>
          </w:tcPr>
          <w:p>
            <w:pPr>
              <w:jc w:val="right"/>
              <w:ind w:right="120"/>
              <w:spacing w:after="0" w:line="99" w:lineRule="exact"/>
              <w:rPr>
                <w:sz w:val="20"/>
                <w:szCs w:val="20"/>
                <w:color w:val="auto"/>
              </w:rPr>
            </w:pPr>
            <w:r>
              <w:rPr>
                <w:rFonts w:ascii="Times New Roman" w:cs="Times New Roman" w:eastAsia="Times New Roman" w:hAnsi="Times New Roman"/>
                <w:sz w:val="10"/>
                <w:szCs w:val="10"/>
                <w:color w:val="auto"/>
              </w:rPr>
              <w:t>-</w:t>
            </w:r>
          </w:p>
        </w:tc>
        <w:tc>
          <w:tcPr>
            <w:tcW w:w="460" w:type="dxa"/>
            <w:vAlign w:val="bottom"/>
            <w:gridSpan w:val="2"/>
            <w:shd w:val="clear" w:color="auto" w:fill="CCEEFF"/>
          </w:tcPr>
          <w:p>
            <w:pPr>
              <w:jc w:val="right"/>
              <w:ind w:right="120"/>
              <w:spacing w:after="0" w:line="99" w:lineRule="exact"/>
              <w:rPr>
                <w:sz w:val="20"/>
                <w:szCs w:val="20"/>
                <w:color w:val="auto"/>
              </w:rPr>
            </w:pPr>
            <w:r>
              <w:rPr>
                <w:rFonts w:ascii="Times New Roman" w:cs="Times New Roman" w:eastAsia="Times New Roman" w:hAnsi="Times New Roman"/>
                <w:sz w:val="10"/>
                <w:szCs w:val="10"/>
                <w:color w:val="auto"/>
              </w:rPr>
              <w:t>-</w:t>
            </w:r>
          </w:p>
        </w:tc>
        <w:tc>
          <w:tcPr>
            <w:tcW w:w="500" w:type="dxa"/>
            <w:vAlign w:val="bottom"/>
            <w:gridSpan w:val="2"/>
            <w:shd w:val="clear" w:color="auto" w:fill="CCEEFF"/>
          </w:tcPr>
          <w:p>
            <w:pPr>
              <w:jc w:val="right"/>
              <w:ind w:right="120"/>
              <w:spacing w:after="0" w:line="99" w:lineRule="exact"/>
              <w:rPr>
                <w:sz w:val="20"/>
                <w:szCs w:val="20"/>
                <w:color w:val="auto"/>
              </w:rPr>
            </w:pPr>
            <w:r>
              <w:rPr>
                <w:rFonts w:ascii="Times New Roman" w:cs="Times New Roman" w:eastAsia="Times New Roman" w:hAnsi="Times New Roman"/>
                <w:sz w:val="10"/>
                <w:szCs w:val="10"/>
                <w:color w:val="auto"/>
              </w:rPr>
              <w:t>-</w:t>
            </w:r>
          </w:p>
        </w:tc>
        <w:tc>
          <w:tcPr>
            <w:tcW w:w="580" w:type="dxa"/>
            <w:vAlign w:val="bottom"/>
            <w:gridSpan w:val="2"/>
            <w:shd w:val="clear" w:color="auto" w:fill="CCEEFF"/>
          </w:tcPr>
          <w:p>
            <w:pPr>
              <w:jc w:val="right"/>
              <w:ind w:right="120"/>
              <w:spacing w:after="0" w:line="99" w:lineRule="exact"/>
              <w:rPr>
                <w:sz w:val="20"/>
                <w:szCs w:val="20"/>
                <w:color w:val="auto"/>
              </w:rPr>
            </w:pPr>
            <w:r>
              <w:rPr>
                <w:rFonts w:ascii="Times New Roman" w:cs="Times New Roman" w:eastAsia="Times New Roman" w:hAnsi="Times New Roman"/>
                <w:sz w:val="10"/>
                <w:szCs w:val="10"/>
                <w:color w:val="auto"/>
              </w:rPr>
              <w:t>-</w:t>
            </w:r>
          </w:p>
        </w:tc>
        <w:tc>
          <w:tcPr>
            <w:tcW w:w="200" w:type="dxa"/>
            <w:vAlign w:val="bottom"/>
            <w:shd w:val="clear" w:color="auto" w:fill="CCEEFF"/>
          </w:tcPr>
          <w:p>
            <w:pPr>
              <w:spacing w:after="0"/>
              <w:rPr>
                <w:sz w:val="8"/>
                <w:szCs w:val="8"/>
                <w:color w:val="auto"/>
              </w:rPr>
            </w:pPr>
          </w:p>
        </w:tc>
        <w:tc>
          <w:tcPr>
            <w:tcW w:w="240" w:type="dxa"/>
            <w:vAlign w:val="bottom"/>
            <w:gridSpan w:val="2"/>
            <w:shd w:val="clear" w:color="auto" w:fill="CCEEFF"/>
          </w:tcPr>
          <w:p>
            <w:pPr>
              <w:jc w:val="right"/>
              <w:ind w:right="120"/>
              <w:spacing w:after="0" w:line="99" w:lineRule="exact"/>
              <w:rPr>
                <w:sz w:val="20"/>
                <w:szCs w:val="20"/>
                <w:color w:val="auto"/>
              </w:rPr>
            </w:pPr>
            <w:r>
              <w:rPr>
                <w:rFonts w:ascii="Times New Roman" w:cs="Times New Roman" w:eastAsia="Times New Roman" w:hAnsi="Times New Roman"/>
                <w:sz w:val="10"/>
                <w:szCs w:val="10"/>
                <w:color w:val="auto"/>
              </w:rPr>
              <w:t>-</w:t>
            </w:r>
          </w:p>
        </w:tc>
        <w:tc>
          <w:tcPr>
            <w:tcW w:w="60" w:type="dxa"/>
            <w:vAlign w:val="bottom"/>
            <w:shd w:val="clear" w:color="auto" w:fill="CCEEFF"/>
          </w:tcPr>
          <w:p>
            <w:pPr>
              <w:spacing w:after="0"/>
              <w:rPr>
                <w:sz w:val="8"/>
                <w:szCs w:val="8"/>
                <w:color w:val="auto"/>
              </w:rPr>
            </w:pPr>
          </w:p>
        </w:tc>
        <w:tc>
          <w:tcPr>
            <w:tcW w:w="660" w:type="dxa"/>
            <w:vAlign w:val="bottom"/>
            <w:gridSpan w:val="2"/>
            <w:shd w:val="clear" w:color="auto" w:fill="CCEEFF"/>
          </w:tcPr>
          <w:p>
            <w:pPr>
              <w:jc w:val="right"/>
              <w:ind w:right="120"/>
              <w:spacing w:after="0" w:line="99" w:lineRule="exact"/>
              <w:rPr>
                <w:sz w:val="20"/>
                <w:szCs w:val="20"/>
                <w:color w:val="auto"/>
              </w:rPr>
            </w:pPr>
            <w:r>
              <w:rPr>
                <w:rFonts w:ascii="Times New Roman" w:cs="Times New Roman" w:eastAsia="Times New Roman" w:hAnsi="Times New Roman"/>
                <w:sz w:val="10"/>
                <w:szCs w:val="10"/>
                <w:color w:val="auto"/>
              </w:rPr>
              <w:t>173,165</w:t>
            </w:r>
          </w:p>
        </w:tc>
        <w:tc>
          <w:tcPr>
            <w:tcW w:w="60" w:type="dxa"/>
            <w:vAlign w:val="bottom"/>
            <w:shd w:val="clear" w:color="auto" w:fill="CCEEFF"/>
          </w:tcPr>
          <w:p>
            <w:pPr>
              <w:spacing w:after="0"/>
              <w:rPr>
                <w:sz w:val="8"/>
                <w:szCs w:val="8"/>
                <w:color w:val="auto"/>
              </w:rPr>
            </w:pPr>
          </w:p>
        </w:tc>
        <w:tc>
          <w:tcPr>
            <w:tcW w:w="660" w:type="dxa"/>
            <w:vAlign w:val="bottom"/>
            <w:shd w:val="clear" w:color="auto" w:fill="CCEEFF"/>
          </w:tcPr>
          <w:p>
            <w:pPr>
              <w:jc w:val="right"/>
              <w:spacing w:after="0" w:line="99" w:lineRule="exact"/>
              <w:rPr>
                <w:sz w:val="20"/>
                <w:szCs w:val="20"/>
                <w:color w:val="auto"/>
              </w:rPr>
            </w:pPr>
            <w:r>
              <w:rPr>
                <w:rFonts w:ascii="Times New Roman" w:cs="Times New Roman" w:eastAsia="Times New Roman" w:hAnsi="Times New Roman"/>
                <w:sz w:val="10"/>
                <w:szCs w:val="10"/>
                <w:color w:val="auto"/>
              </w:rPr>
              <w:t>-</w:t>
            </w:r>
          </w:p>
        </w:tc>
        <w:tc>
          <w:tcPr>
            <w:tcW w:w="1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720" w:type="dxa"/>
            <w:vAlign w:val="bottom"/>
            <w:gridSpan w:val="2"/>
            <w:shd w:val="clear" w:color="auto" w:fill="CCEEFF"/>
          </w:tcPr>
          <w:p>
            <w:pPr>
              <w:jc w:val="right"/>
              <w:ind w:right="38"/>
              <w:spacing w:after="0" w:line="99" w:lineRule="exact"/>
              <w:rPr>
                <w:sz w:val="20"/>
                <w:szCs w:val="20"/>
                <w:color w:val="auto"/>
              </w:rPr>
            </w:pPr>
            <w:r>
              <w:rPr>
                <w:rFonts w:ascii="Times New Roman" w:cs="Times New Roman" w:eastAsia="Times New Roman" w:hAnsi="Times New Roman"/>
                <w:sz w:val="10"/>
                <w:szCs w:val="10"/>
                <w:color w:val="auto"/>
              </w:rPr>
              <w:t>173,165</w:t>
            </w:r>
          </w:p>
        </w:tc>
      </w:tr>
      <w:tr>
        <w:trPr>
          <w:trHeight w:val="108"/>
        </w:trPr>
        <w:tc>
          <w:tcPr>
            <w:tcW w:w="2420" w:type="dxa"/>
            <w:vAlign w:val="bottom"/>
          </w:tcPr>
          <w:p>
            <w:pPr>
              <w:ind w:left="120"/>
              <w:spacing w:after="0" w:line="108" w:lineRule="exact"/>
              <w:rPr>
                <w:sz w:val="20"/>
                <w:szCs w:val="20"/>
                <w:color w:val="auto"/>
              </w:rPr>
            </w:pPr>
            <w:r>
              <w:rPr>
                <w:rFonts w:ascii="Times New Roman" w:cs="Times New Roman" w:eastAsia="Times New Roman" w:hAnsi="Times New Roman"/>
                <w:sz w:val="10"/>
                <w:szCs w:val="10"/>
                <w:color w:val="auto"/>
              </w:rPr>
              <w:t>Net loss</w:t>
            </w:r>
          </w:p>
        </w:tc>
        <w:tc>
          <w:tcPr>
            <w:tcW w:w="560" w:type="dxa"/>
            <w:vAlign w:val="bottom"/>
            <w:gridSpan w:val="2"/>
          </w:tcPr>
          <w:p>
            <w:pPr>
              <w:jc w:val="right"/>
              <w:ind w:right="120"/>
              <w:spacing w:after="0" w:line="108" w:lineRule="exact"/>
              <w:rPr>
                <w:sz w:val="20"/>
                <w:szCs w:val="20"/>
                <w:color w:val="auto"/>
              </w:rPr>
            </w:pPr>
            <w:r>
              <w:rPr>
                <w:rFonts w:ascii="Times New Roman" w:cs="Times New Roman" w:eastAsia="Times New Roman" w:hAnsi="Times New Roman"/>
                <w:sz w:val="10"/>
                <w:szCs w:val="10"/>
                <w:color w:val="auto"/>
              </w:rPr>
              <w:t>-</w:t>
            </w:r>
          </w:p>
        </w:tc>
        <w:tc>
          <w:tcPr>
            <w:tcW w:w="5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gridSpan w:val="2"/>
          </w:tcPr>
          <w:p>
            <w:pPr>
              <w:jc w:val="right"/>
              <w:ind w:right="140"/>
              <w:spacing w:after="0" w:line="108" w:lineRule="exact"/>
              <w:rPr>
                <w:sz w:val="20"/>
                <w:szCs w:val="20"/>
                <w:color w:val="auto"/>
              </w:rPr>
            </w:pPr>
            <w:r>
              <w:rPr>
                <w:rFonts w:ascii="Times New Roman" w:cs="Times New Roman" w:eastAsia="Times New Roman" w:hAnsi="Times New Roman"/>
                <w:sz w:val="10"/>
                <w:szCs w:val="10"/>
                <w:color w:val="auto"/>
              </w:rPr>
              <w:t>-</w:t>
            </w:r>
          </w:p>
        </w:tc>
        <w:tc>
          <w:tcPr>
            <w:tcW w:w="580" w:type="dxa"/>
            <w:vAlign w:val="bottom"/>
            <w:gridSpan w:val="2"/>
          </w:tcPr>
          <w:p>
            <w:pPr>
              <w:jc w:val="right"/>
              <w:ind w:right="120"/>
              <w:spacing w:after="0" w:line="108" w:lineRule="exact"/>
              <w:rPr>
                <w:sz w:val="20"/>
                <w:szCs w:val="20"/>
                <w:color w:val="auto"/>
              </w:rPr>
            </w:pPr>
            <w:r>
              <w:rPr>
                <w:rFonts w:ascii="Times New Roman" w:cs="Times New Roman" w:eastAsia="Times New Roman" w:hAnsi="Times New Roman"/>
                <w:sz w:val="10"/>
                <w:szCs w:val="10"/>
                <w:color w:val="auto"/>
              </w:rPr>
              <w:t>-</w:t>
            </w:r>
          </w:p>
        </w:tc>
        <w:tc>
          <w:tcPr>
            <w:tcW w:w="520" w:type="dxa"/>
            <w:vAlign w:val="bottom"/>
            <w:gridSpan w:val="2"/>
          </w:tcPr>
          <w:p>
            <w:pPr>
              <w:jc w:val="right"/>
              <w:ind w:right="60"/>
              <w:spacing w:after="0" w:line="108" w:lineRule="exact"/>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9"/>
                <w:szCs w:val="9"/>
                <w:color w:val="auto"/>
              </w:rPr>
            </w:pPr>
          </w:p>
        </w:tc>
        <w:tc>
          <w:tcPr>
            <w:tcW w:w="580" w:type="dxa"/>
            <w:vAlign w:val="bottom"/>
            <w:gridSpan w:val="2"/>
          </w:tcPr>
          <w:p>
            <w:pPr>
              <w:jc w:val="right"/>
              <w:ind w:right="120"/>
              <w:spacing w:after="0" w:line="108" w:lineRule="exact"/>
              <w:rPr>
                <w:sz w:val="20"/>
                <w:szCs w:val="20"/>
                <w:color w:val="auto"/>
              </w:rPr>
            </w:pPr>
            <w:r>
              <w:rPr>
                <w:rFonts w:ascii="Times New Roman" w:cs="Times New Roman" w:eastAsia="Times New Roman" w:hAnsi="Times New Roman"/>
                <w:sz w:val="10"/>
                <w:szCs w:val="10"/>
                <w:color w:val="auto"/>
              </w:rPr>
              <w:t>-</w:t>
            </w:r>
          </w:p>
        </w:tc>
        <w:tc>
          <w:tcPr>
            <w:tcW w:w="500" w:type="dxa"/>
            <w:vAlign w:val="bottom"/>
            <w:gridSpan w:val="2"/>
          </w:tcPr>
          <w:p>
            <w:pPr>
              <w:jc w:val="right"/>
              <w:ind w:right="120"/>
              <w:spacing w:after="0" w:line="108" w:lineRule="exact"/>
              <w:rPr>
                <w:sz w:val="20"/>
                <w:szCs w:val="20"/>
                <w:color w:val="auto"/>
              </w:rPr>
            </w:pPr>
            <w:r>
              <w:rPr>
                <w:rFonts w:ascii="Times New Roman" w:cs="Times New Roman" w:eastAsia="Times New Roman" w:hAnsi="Times New Roman"/>
                <w:sz w:val="10"/>
                <w:szCs w:val="10"/>
                <w:color w:val="auto"/>
              </w:rPr>
              <w:t>-</w:t>
            </w:r>
          </w:p>
        </w:tc>
        <w:tc>
          <w:tcPr>
            <w:tcW w:w="520" w:type="dxa"/>
            <w:vAlign w:val="bottom"/>
            <w:gridSpan w:val="2"/>
          </w:tcPr>
          <w:p>
            <w:pPr>
              <w:jc w:val="right"/>
              <w:ind w:right="120"/>
              <w:spacing w:after="0" w:line="108" w:lineRule="exact"/>
              <w:rPr>
                <w:sz w:val="20"/>
                <w:szCs w:val="20"/>
                <w:color w:val="auto"/>
              </w:rPr>
            </w:pPr>
            <w:r>
              <w:rPr>
                <w:rFonts w:ascii="Times New Roman" w:cs="Times New Roman" w:eastAsia="Times New Roman" w:hAnsi="Times New Roman"/>
                <w:sz w:val="10"/>
                <w:szCs w:val="10"/>
                <w:color w:val="auto"/>
              </w:rPr>
              <w:t>-</w:t>
            </w:r>
          </w:p>
        </w:tc>
        <w:tc>
          <w:tcPr>
            <w:tcW w:w="460" w:type="dxa"/>
            <w:vAlign w:val="bottom"/>
            <w:gridSpan w:val="2"/>
          </w:tcPr>
          <w:p>
            <w:pPr>
              <w:jc w:val="right"/>
              <w:ind w:right="120"/>
              <w:spacing w:after="0" w:line="108" w:lineRule="exact"/>
              <w:rPr>
                <w:sz w:val="20"/>
                <w:szCs w:val="20"/>
                <w:color w:val="auto"/>
              </w:rPr>
            </w:pPr>
            <w:r>
              <w:rPr>
                <w:rFonts w:ascii="Times New Roman" w:cs="Times New Roman" w:eastAsia="Times New Roman" w:hAnsi="Times New Roman"/>
                <w:sz w:val="10"/>
                <w:szCs w:val="10"/>
                <w:color w:val="auto"/>
              </w:rPr>
              <w:t>-</w:t>
            </w:r>
          </w:p>
        </w:tc>
        <w:tc>
          <w:tcPr>
            <w:tcW w:w="500" w:type="dxa"/>
            <w:vAlign w:val="bottom"/>
            <w:gridSpan w:val="2"/>
          </w:tcPr>
          <w:p>
            <w:pPr>
              <w:jc w:val="right"/>
              <w:ind w:right="120"/>
              <w:spacing w:after="0" w:line="108" w:lineRule="exact"/>
              <w:rPr>
                <w:sz w:val="20"/>
                <w:szCs w:val="20"/>
                <w:color w:val="auto"/>
              </w:rPr>
            </w:pPr>
            <w:r>
              <w:rPr>
                <w:rFonts w:ascii="Times New Roman" w:cs="Times New Roman" w:eastAsia="Times New Roman" w:hAnsi="Times New Roman"/>
                <w:sz w:val="10"/>
                <w:szCs w:val="10"/>
                <w:color w:val="auto"/>
              </w:rPr>
              <w:t>-</w:t>
            </w:r>
          </w:p>
        </w:tc>
        <w:tc>
          <w:tcPr>
            <w:tcW w:w="580" w:type="dxa"/>
            <w:vAlign w:val="bottom"/>
            <w:gridSpan w:val="2"/>
          </w:tcPr>
          <w:p>
            <w:pPr>
              <w:jc w:val="right"/>
              <w:ind w:right="120"/>
              <w:spacing w:after="0" w:line="108" w:lineRule="exact"/>
              <w:rPr>
                <w:sz w:val="20"/>
                <w:szCs w:val="20"/>
                <w:color w:val="auto"/>
              </w:rPr>
            </w:pPr>
            <w:r>
              <w:rPr>
                <w:rFonts w:ascii="Times New Roman" w:cs="Times New Roman" w:eastAsia="Times New Roman" w:hAnsi="Times New Roman"/>
                <w:sz w:val="10"/>
                <w:szCs w:val="10"/>
                <w:color w:val="auto"/>
              </w:rPr>
              <w:t>-</w:t>
            </w:r>
          </w:p>
        </w:tc>
        <w:tc>
          <w:tcPr>
            <w:tcW w:w="200" w:type="dxa"/>
            <w:vAlign w:val="bottom"/>
          </w:tcPr>
          <w:p>
            <w:pPr>
              <w:spacing w:after="0"/>
              <w:rPr>
                <w:sz w:val="9"/>
                <w:szCs w:val="9"/>
                <w:color w:val="auto"/>
              </w:rPr>
            </w:pPr>
          </w:p>
        </w:tc>
        <w:tc>
          <w:tcPr>
            <w:tcW w:w="240" w:type="dxa"/>
            <w:vAlign w:val="bottom"/>
            <w:gridSpan w:val="2"/>
          </w:tcPr>
          <w:p>
            <w:pPr>
              <w:jc w:val="right"/>
              <w:ind w:right="120"/>
              <w:spacing w:after="0" w:line="108" w:lineRule="exact"/>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9"/>
                <w:szCs w:val="9"/>
                <w:color w:val="auto"/>
              </w:rPr>
            </w:pPr>
          </w:p>
        </w:tc>
        <w:tc>
          <w:tcPr>
            <w:tcW w:w="660" w:type="dxa"/>
            <w:vAlign w:val="bottom"/>
            <w:gridSpan w:val="2"/>
          </w:tcPr>
          <w:p>
            <w:pPr>
              <w:jc w:val="right"/>
              <w:ind w:right="120"/>
              <w:spacing w:after="0" w:line="108" w:lineRule="exact"/>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9"/>
                <w:szCs w:val="9"/>
                <w:color w:val="auto"/>
              </w:rPr>
            </w:pPr>
          </w:p>
        </w:tc>
        <w:tc>
          <w:tcPr>
            <w:tcW w:w="820" w:type="dxa"/>
            <w:vAlign w:val="bottom"/>
            <w:gridSpan w:val="2"/>
          </w:tcPr>
          <w:p>
            <w:pPr>
              <w:jc w:val="right"/>
              <w:ind w:right="78"/>
              <w:spacing w:after="0" w:line="108" w:lineRule="exact"/>
              <w:rPr>
                <w:sz w:val="20"/>
                <w:szCs w:val="20"/>
                <w:color w:val="auto"/>
              </w:rPr>
            </w:pPr>
            <w:r>
              <w:rPr>
                <w:rFonts w:ascii="Times New Roman" w:cs="Times New Roman" w:eastAsia="Times New Roman" w:hAnsi="Times New Roman"/>
                <w:sz w:val="10"/>
                <w:szCs w:val="10"/>
                <w:color w:val="auto"/>
              </w:rPr>
              <w:t>(1,283,206)</w:t>
            </w:r>
          </w:p>
        </w:tc>
        <w:tc>
          <w:tcPr>
            <w:tcW w:w="40" w:type="dxa"/>
            <w:vAlign w:val="bottom"/>
          </w:tcPr>
          <w:p>
            <w:pPr>
              <w:spacing w:after="0"/>
              <w:rPr>
                <w:sz w:val="9"/>
                <w:szCs w:val="9"/>
                <w:color w:val="auto"/>
              </w:rPr>
            </w:pPr>
          </w:p>
        </w:tc>
        <w:tc>
          <w:tcPr>
            <w:tcW w:w="720" w:type="dxa"/>
            <w:vAlign w:val="bottom"/>
            <w:gridSpan w:val="2"/>
          </w:tcPr>
          <w:p>
            <w:pPr>
              <w:jc w:val="right"/>
              <w:spacing w:after="0" w:line="108" w:lineRule="exact"/>
              <w:rPr>
                <w:sz w:val="20"/>
                <w:szCs w:val="20"/>
                <w:color w:val="auto"/>
              </w:rPr>
            </w:pPr>
            <w:r>
              <w:rPr>
                <w:rFonts w:ascii="Times New Roman" w:cs="Times New Roman" w:eastAsia="Times New Roman" w:hAnsi="Times New Roman"/>
                <w:sz w:val="10"/>
                <w:szCs w:val="10"/>
                <w:color w:val="auto"/>
              </w:rPr>
              <w:t>(1,283,206)</w:t>
            </w:r>
          </w:p>
        </w:tc>
      </w:tr>
      <w:tr>
        <w:trPr>
          <w:trHeight w:val="104"/>
        </w:trPr>
        <w:tc>
          <w:tcPr>
            <w:tcW w:w="2420" w:type="dxa"/>
            <w:vAlign w:val="bottom"/>
            <w:tcBorders>
              <w:top w:val="single" w:sz="8" w:color="CCEEFF"/>
              <w:bottom w:val="single" w:sz="8" w:color="CCEEFF"/>
            </w:tcBorders>
            <w:shd w:val="clear" w:color="auto" w:fill="CCEEFF"/>
          </w:tcPr>
          <w:p>
            <w:pPr>
              <w:spacing w:after="0" w:line="88" w:lineRule="exact"/>
              <w:rPr>
                <w:sz w:val="20"/>
                <w:szCs w:val="20"/>
                <w:color w:val="auto"/>
              </w:rPr>
            </w:pPr>
            <w:r>
              <w:rPr>
                <w:rFonts w:ascii="Times New Roman" w:cs="Times New Roman" w:eastAsia="Times New Roman" w:hAnsi="Times New Roman"/>
                <w:sz w:val="10"/>
                <w:szCs w:val="10"/>
                <w:color w:val="auto"/>
              </w:rPr>
              <w:t>Balance, December 31, 2023</w:t>
            </w:r>
          </w:p>
        </w:tc>
        <w:tc>
          <w:tcPr>
            <w:tcW w:w="440" w:type="dxa"/>
            <w:vAlign w:val="bottom"/>
            <w:tcBorders>
              <w:top w:val="single" w:sz="8" w:color="auto"/>
              <w:bottom w:val="single" w:sz="8" w:color="auto"/>
            </w:tcBorders>
            <w:shd w:val="clear" w:color="auto" w:fill="CCEEFF"/>
          </w:tcPr>
          <w:p>
            <w:pPr>
              <w:jc w:val="right"/>
              <w:spacing w:after="0" w:line="88" w:lineRule="exact"/>
              <w:rPr>
                <w:sz w:val="20"/>
                <w:szCs w:val="20"/>
                <w:color w:val="auto"/>
              </w:rPr>
            </w:pPr>
            <w:r>
              <w:rPr>
                <w:rFonts w:ascii="Times New Roman" w:cs="Times New Roman" w:eastAsia="Times New Roman" w:hAnsi="Times New Roman"/>
                <w:sz w:val="10"/>
                <w:szCs w:val="10"/>
                <w:color w:val="auto"/>
              </w:rPr>
              <w:t>2,415,046</w:t>
            </w:r>
          </w:p>
        </w:tc>
        <w:tc>
          <w:tcPr>
            <w:tcW w:w="120" w:type="dxa"/>
            <w:vAlign w:val="bottom"/>
            <w:tcBorders>
              <w:top w:val="single" w:sz="8" w:color="CCEEFF"/>
              <w:bottom w:val="single" w:sz="8" w:color="CCEEFF"/>
            </w:tcBorders>
            <w:shd w:val="clear" w:color="auto" w:fill="CCEEFF"/>
          </w:tcPr>
          <w:p>
            <w:pPr>
              <w:spacing w:after="0"/>
              <w:rPr>
                <w:sz w:val="9"/>
                <w:szCs w:val="9"/>
                <w:color w:val="auto"/>
              </w:rPr>
            </w:pPr>
          </w:p>
        </w:tc>
        <w:tc>
          <w:tcPr>
            <w:tcW w:w="520" w:type="dxa"/>
            <w:vAlign w:val="bottom"/>
            <w:tcBorders>
              <w:top w:val="single" w:sz="8" w:color="auto"/>
              <w:bottom w:val="single" w:sz="8" w:color="auto"/>
            </w:tcBorders>
            <w:shd w:val="clear" w:color="auto" w:fill="CCEEFF"/>
          </w:tcPr>
          <w:p>
            <w:pPr>
              <w:jc w:val="right"/>
              <w:spacing w:after="0" w:line="88" w:lineRule="exact"/>
              <w:rPr>
                <w:sz w:val="20"/>
                <w:szCs w:val="20"/>
                <w:color w:val="auto"/>
              </w:rPr>
            </w:pPr>
            <w:r>
              <w:rPr>
                <w:rFonts w:ascii="Times New Roman" w:cs="Times New Roman" w:eastAsia="Times New Roman" w:hAnsi="Times New Roman"/>
                <w:sz w:val="10"/>
                <w:szCs w:val="10"/>
                <w:color w:val="auto"/>
                <w:w w:val="95"/>
              </w:rPr>
              <w:t xml:space="preserve">$ </w:t>
            </w:r>
            <w:r>
              <w:rPr>
                <w:rFonts w:ascii="Times New Roman" w:cs="Times New Roman" w:eastAsia="Times New Roman" w:hAnsi="Times New Roman"/>
                <w:sz w:val="10"/>
                <w:szCs w:val="10"/>
                <w:u w:val="single" w:color="auto"/>
                <w:color w:val="auto"/>
                <w:w w:val="95"/>
              </w:rPr>
              <w:t>18,900,800</w:t>
            </w:r>
          </w:p>
        </w:tc>
        <w:tc>
          <w:tcPr>
            <w:tcW w:w="120" w:type="dxa"/>
            <w:vAlign w:val="bottom"/>
            <w:tcBorders>
              <w:top w:val="single" w:sz="8" w:color="CCEEFF"/>
              <w:bottom w:val="single" w:sz="8" w:color="CCEEFF"/>
            </w:tcBorders>
            <w:shd w:val="clear" w:color="auto" w:fill="CCEEFF"/>
          </w:tcPr>
          <w:p>
            <w:pPr>
              <w:spacing w:after="0"/>
              <w:rPr>
                <w:sz w:val="9"/>
                <w:szCs w:val="9"/>
                <w:color w:val="auto"/>
              </w:rPr>
            </w:pPr>
          </w:p>
        </w:tc>
        <w:tc>
          <w:tcPr>
            <w:tcW w:w="440" w:type="dxa"/>
            <w:vAlign w:val="bottom"/>
            <w:tcBorders>
              <w:top w:val="single" w:sz="8" w:color="auto"/>
              <w:bottom w:val="single" w:sz="8" w:color="auto"/>
            </w:tcBorders>
            <w:shd w:val="clear" w:color="auto" w:fill="CCEEFF"/>
          </w:tcPr>
          <w:p>
            <w:pPr>
              <w:jc w:val="right"/>
              <w:spacing w:after="0" w:line="88" w:lineRule="exact"/>
              <w:rPr>
                <w:sz w:val="20"/>
                <w:szCs w:val="20"/>
                <w:color w:val="auto"/>
              </w:rPr>
            </w:pPr>
            <w:r>
              <w:rPr>
                <w:rFonts w:ascii="Times New Roman" w:cs="Times New Roman" w:eastAsia="Times New Roman" w:hAnsi="Times New Roman"/>
                <w:sz w:val="10"/>
                <w:szCs w:val="10"/>
                <w:color w:val="auto"/>
              </w:rPr>
              <w:t>1,451,191</w:t>
            </w:r>
          </w:p>
        </w:tc>
        <w:tc>
          <w:tcPr>
            <w:tcW w:w="140" w:type="dxa"/>
            <w:vAlign w:val="bottom"/>
            <w:tcBorders>
              <w:top w:val="single" w:sz="8" w:color="CCEEFF"/>
              <w:bottom w:val="single" w:sz="8" w:color="CCEEFF"/>
            </w:tcBorders>
            <w:shd w:val="clear" w:color="auto" w:fill="CCEEFF"/>
          </w:tcPr>
          <w:p>
            <w:pPr>
              <w:spacing w:after="0"/>
              <w:rPr>
                <w:sz w:val="9"/>
                <w:szCs w:val="9"/>
                <w:color w:val="auto"/>
              </w:rPr>
            </w:pPr>
          </w:p>
        </w:tc>
        <w:tc>
          <w:tcPr>
            <w:tcW w:w="460" w:type="dxa"/>
            <w:vAlign w:val="bottom"/>
            <w:tcBorders>
              <w:top w:val="single" w:sz="8" w:color="auto"/>
              <w:bottom w:val="single" w:sz="8" w:color="auto"/>
            </w:tcBorders>
            <w:shd w:val="clear" w:color="auto" w:fill="CCEEFF"/>
          </w:tcPr>
          <w:p>
            <w:pPr>
              <w:jc w:val="right"/>
              <w:spacing w:after="0" w:line="88" w:lineRule="exact"/>
              <w:rPr>
                <w:sz w:val="20"/>
                <w:szCs w:val="20"/>
                <w:color w:val="auto"/>
              </w:rPr>
            </w:pPr>
            <w:r>
              <w:rPr>
                <w:rFonts w:ascii="Times New Roman" w:cs="Times New Roman" w:eastAsia="Times New Roman" w:hAnsi="Times New Roman"/>
                <w:sz w:val="10"/>
                <w:szCs w:val="10"/>
                <w:color w:val="auto"/>
                <w:w w:val="92"/>
              </w:rPr>
              <w:t>$ 2,412,888</w:t>
            </w:r>
          </w:p>
        </w:tc>
        <w:tc>
          <w:tcPr>
            <w:tcW w:w="120" w:type="dxa"/>
            <w:vAlign w:val="bottom"/>
            <w:tcBorders>
              <w:top w:val="single" w:sz="8" w:color="CCEEFF"/>
              <w:bottom w:val="single" w:sz="8" w:color="CCEEFF"/>
            </w:tcBorders>
            <w:shd w:val="clear" w:color="auto" w:fill="CCEEFF"/>
          </w:tcPr>
          <w:p>
            <w:pPr>
              <w:spacing w:after="0"/>
              <w:rPr>
                <w:sz w:val="9"/>
                <w:szCs w:val="9"/>
                <w:color w:val="auto"/>
              </w:rPr>
            </w:pPr>
          </w:p>
        </w:tc>
        <w:tc>
          <w:tcPr>
            <w:tcW w:w="520" w:type="dxa"/>
            <w:vAlign w:val="bottom"/>
            <w:tcBorders>
              <w:top w:val="single" w:sz="8" w:color="auto"/>
              <w:bottom w:val="single" w:sz="8" w:color="auto"/>
            </w:tcBorders>
            <w:gridSpan w:val="2"/>
            <w:shd w:val="clear" w:color="auto" w:fill="CCEEFF"/>
          </w:tcPr>
          <w:p>
            <w:pPr>
              <w:jc w:val="right"/>
              <w:ind w:right="60"/>
              <w:spacing w:after="0" w:line="88" w:lineRule="exact"/>
              <w:rPr>
                <w:sz w:val="20"/>
                <w:szCs w:val="20"/>
                <w:color w:val="auto"/>
              </w:rPr>
            </w:pPr>
            <w:r>
              <w:rPr>
                <w:rFonts w:ascii="Times New Roman" w:cs="Times New Roman" w:eastAsia="Times New Roman" w:hAnsi="Times New Roman"/>
                <w:sz w:val="10"/>
                <w:szCs w:val="10"/>
                <w:color w:val="auto"/>
              </w:rPr>
              <w:t>1,121,610</w:t>
            </w:r>
          </w:p>
        </w:tc>
        <w:tc>
          <w:tcPr>
            <w:tcW w:w="60" w:type="dxa"/>
            <w:vAlign w:val="bottom"/>
            <w:tcBorders>
              <w:top w:val="single" w:sz="8" w:color="CCEEFF"/>
              <w:bottom w:val="single" w:sz="8" w:color="CCEEFF"/>
            </w:tcBorders>
            <w:shd w:val="clear" w:color="auto" w:fill="CCEEFF"/>
          </w:tcPr>
          <w:p>
            <w:pPr>
              <w:spacing w:after="0"/>
              <w:rPr>
                <w:sz w:val="9"/>
                <w:szCs w:val="9"/>
                <w:color w:val="auto"/>
              </w:rPr>
            </w:pPr>
          </w:p>
        </w:tc>
        <w:tc>
          <w:tcPr>
            <w:tcW w:w="460" w:type="dxa"/>
            <w:vAlign w:val="bottom"/>
            <w:tcBorders>
              <w:top w:val="single" w:sz="8" w:color="auto"/>
              <w:bottom w:val="single" w:sz="8" w:color="auto"/>
            </w:tcBorders>
            <w:shd w:val="clear" w:color="auto" w:fill="CCEEFF"/>
          </w:tcPr>
          <w:p>
            <w:pPr>
              <w:jc w:val="right"/>
              <w:spacing w:after="0" w:line="88" w:lineRule="exact"/>
              <w:rPr>
                <w:sz w:val="20"/>
                <w:szCs w:val="20"/>
                <w:color w:val="auto"/>
              </w:rPr>
            </w:pPr>
            <w:r>
              <w:rPr>
                <w:rFonts w:ascii="Times New Roman" w:cs="Times New Roman" w:eastAsia="Times New Roman" w:hAnsi="Times New Roman"/>
                <w:sz w:val="10"/>
                <w:szCs w:val="10"/>
                <w:color w:val="auto"/>
                <w:w w:val="92"/>
              </w:rPr>
              <w:t>$ 1,074,097</w:t>
            </w:r>
          </w:p>
        </w:tc>
        <w:tc>
          <w:tcPr>
            <w:tcW w:w="120" w:type="dxa"/>
            <w:vAlign w:val="bottom"/>
            <w:tcBorders>
              <w:top w:val="single" w:sz="8" w:color="CCEEFF"/>
              <w:bottom w:val="single" w:sz="8" w:color="CCEEFF"/>
            </w:tcBorders>
            <w:shd w:val="clear" w:color="auto" w:fill="CCEEFF"/>
          </w:tcPr>
          <w:p>
            <w:pPr>
              <w:spacing w:after="0"/>
              <w:rPr>
                <w:sz w:val="9"/>
                <w:szCs w:val="9"/>
                <w:color w:val="auto"/>
              </w:rPr>
            </w:pPr>
          </w:p>
        </w:tc>
        <w:tc>
          <w:tcPr>
            <w:tcW w:w="380" w:type="dxa"/>
            <w:vAlign w:val="bottom"/>
            <w:tcBorders>
              <w:top w:val="single" w:sz="8" w:color="auto"/>
              <w:bottom w:val="single" w:sz="8" w:color="auto"/>
            </w:tcBorders>
            <w:shd w:val="clear" w:color="auto" w:fill="CCEEFF"/>
          </w:tcPr>
          <w:p>
            <w:pPr>
              <w:jc w:val="right"/>
              <w:spacing w:after="0" w:line="88" w:lineRule="exact"/>
              <w:rPr>
                <w:sz w:val="20"/>
                <w:szCs w:val="20"/>
                <w:color w:val="auto"/>
              </w:rPr>
            </w:pPr>
            <w:r>
              <w:rPr>
                <w:rFonts w:ascii="Times New Roman" w:cs="Times New Roman" w:eastAsia="Times New Roman" w:hAnsi="Times New Roman"/>
                <w:sz w:val="10"/>
                <w:szCs w:val="10"/>
                <w:color w:val="auto"/>
              </w:rPr>
              <w:t>519,963</w:t>
            </w:r>
          </w:p>
        </w:tc>
        <w:tc>
          <w:tcPr>
            <w:tcW w:w="120" w:type="dxa"/>
            <w:vAlign w:val="bottom"/>
            <w:tcBorders>
              <w:top w:val="single" w:sz="8" w:color="CCEEFF"/>
              <w:bottom w:val="single" w:sz="8" w:color="CCEEFF"/>
            </w:tcBorders>
            <w:shd w:val="clear" w:color="auto" w:fill="CCEEFF"/>
          </w:tcPr>
          <w:p>
            <w:pPr>
              <w:spacing w:after="0"/>
              <w:rPr>
                <w:sz w:val="9"/>
                <w:szCs w:val="9"/>
                <w:color w:val="auto"/>
              </w:rPr>
            </w:pPr>
          </w:p>
        </w:tc>
        <w:tc>
          <w:tcPr>
            <w:tcW w:w="400" w:type="dxa"/>
            <w:vAlign w:val="bottom"/>
            <w:tcBorders>
              <w:top w:val="single" w:sz="8" w:color="auto"/>
              <w:bottom w:val="single" w:sz="8" w:color="auto"/>
            </w:tcBorders>
            <w:shd w:val="clear" w:color="auto" w:fill="CCEEFF"/>
          </w:tcPr>
          <w:p>
            <w:pPr>
              <w:jc w:val="right"/>
              <w:spacing w:after="0" w:line="88" w:lineRule="exact"/>
              <w:rPr>
                <w:sz w:val="20"/>
                <w:szCs w:val="20"/>
                <w:color w:val="auto"/>
              </w:rPr>
            </w:pPr>
            <w:r>
              <w:rPr>
                <w:rFonts w:ascii="Times New Roman" w:cs="Times New Roman" w:eastAsia="Times New Roman" w:hAnsi="Times New Roman"/>
                <w:sz w:val="10"/>
                <w:szCs w:val="10"/>
                <w:color w:val="auto"/>
                <w:w w:val="94"/>
              </w:rPr>
              <w:t>$ 663,920</w:t>
            </w:r>
          </w:p>
        </w:tc>
        <w:tc>
          <w:tcPr>
            <w:tcW w:w="120" w:type="dxa"/>
            <w:vAlign w:val="bottom"/>
            <w:tcBorders>
              <w:top w:val="single" w:sz="8" w:color="CCEEFF"/>
              <w:bottom w:val="single" w:sz="8" w:color="CCEEFF"/>
            </w:tcBorders>
            <w:shd w:val="clear" w:color="auto" w:fill="CCEEFF"/>
          </w:tcPr>
          <w:p>
            <w:pPr>
              <w:spacing w:after="0"/>
              <w:rPr>
                <w:sz w:val="9"/>
                <w:szCs w:val="9"/>
                <w:color w:val="auto"/>
              </w:rPr>
            </w:pPr>
          </w:p>
        </w:tc>
        <w:tc>
          <w:tcPr>
            <w:tcW w:w="340" w:type="dxa"/>
            <w:vAlign w:val="bottom"/>
            <w:tcBorders>
              <w:top w:val="single" w:sz="8" w:color="auto"/>
              <w:bottom w:val="single" w:sz="8" w:color="auto"/>
            </w:tcBorders>
            <w:shd w:val="clear" w:color="auto" w:fill="CCEEFF"/>
          </w:tcPr>
          <w:p>
            <w:pPr>
              <w:jc w:val="right"/>
              <w:spacing w:after="0" w:line="88" w:lineRule="exact"/>
              <w:rPr>
                <w:sz w:val="20"/>
                <w:szCs w:val="20"/>
                <w:color w:val="auto"/>
              </w:rPr>
            </w:pPr>
            <w:r>
              <w:rPr>
                <w:rFonts w:ascii="Times New Roman" w:cs="Times New Roman" w:eastAsia="Times New Roman" w:hAnsi="Times New Roman"/>
                <w:sz w:val="10"/>
                <w:szCs w:val="10"/>
                <w:color w:val="auto"/>
              </w:rPr>
              <w:t>74,379</w:t>
            </w:r>
          </w:p>
        </w:tc>
        <w:tc>
          <w:tcPr>
            <w:tcW w:w="120" w:type="dxa"/>
            <w:vAlign w:val="bottom"/>
            <w:tcBorders>
              <w:top w:val="single" w:sz="8" w:color="CCEEFF"/>
              <w:bottom w:val="single" w:sz="8" w:color="CCEEFF"/>
            </w:tcBorders>
            <w:shd w:val="clear" w:color="auto" w:fill="CCEEFF"/>
          </w:tcPr>
          <w:p>
            <w:pPr>
              <w:spacing w:after="0"/>
              <w:rPr>
                <w:sz w:val="9"/>
                <w:szCs w:val="9"/>
                <w:color w:val="auto"/>
              </w:rPr>
            </w:pPr>
          </w:p>
        </w:tc>
        <w:tc>
          <w:tcPr>
            <w:tcW w:w="380" w:type="dxa"/>
            <w:vAlign w:val="bottom"/>
            <w:tcBorders>
              <w:top w:val="single" w:sz="8" w:color="auto"/>
              <w:bottom w:val="single" w:sz="8" w:color="auto"/>
            </w:tcBorders>
            <w:shd w:val="clear" w:color="auto" w:fill="CCEEFF"/>
          </w:tcPr>
          <w:p>
            <w:pPr>
              <w:jc w:val="right"/>
              <w:spacing w:after="0" w:line="88" w:lineRule="exact"/>
              <w:rPr>
                <w:sz w:val="20"/>
                <w:szCs w:val="20"/>
                <w:color w:val="auto"/>
              </w:rPr>
            </w:pPr>
            <w:r>
              <w:rPr>
                <w:rFonts w:ascii="Times New Roman" w:cs="Times New Roman" w:eastAsia="Times New Roman" w:hAnsi="Times New Roman"/>
                <w:sz w:val="10"/>
                <w:szCs w:val="10"/>
                <w:color w:val="auto"/>
                <w:w w:val="89"/>
              </w:rPr>
              <w:t>$ 131,384</w:t>
            </w:r>
          </w:p>
        </w:tc>
        <w:tc>
          <w:tcPr>
            <w:tcW w:w="120" w:type="dxa"/>
            <w:vAlign w:val="bottom"/>
            <w:tcBorders>
              <w:top w:val="single" w:sz="8" w:color="CCEEFF"/>
              <w:bottom w:val="single" w:sz="8" w:color="CCEEFF"/>
            </w:tcBorders>
            <w:shd w:val="clear" w:color="auto" w:fill="CCEEFF"/>
          </w:tcPr>
          <w:p>
            <w:pPr>
              <w:spacing w:after="0"/>
              <w:rPr>
                <w:sz w:val="9"/>
                <w:szCs w:val="9"/>
                <w:color w:val="auto"/>
              </w:rPr>
            </w:pPr>
          </w:p>
        </w:tc>
        <w:tc>
          <w:tcPr>
            <w:tcW w:w="460" w:type="dxa"/>
            <w:vAlign w:val="bottom"/>
            <w:tcBorders>
              <w:top w:val="single" w:sz="8" w:color="auto"/>
              <w:bottom w:val="single" w:sz="8" w:color="auto"/>
            </w:tcBorders>
            <w:shd w:val="clear" w:color="auto" w:fill="CCEEFF"/>
          </w:tcPr>
          <w:p>
            <w:pPr>
              <w:jc w:val="right"/>
              <w:spacing w:after="0" w:line="88" w:lineRule="exact"/>
              <w:rPr>
                <w:sz w:val="20"/>
                <w:szCs w:val="20"/>
                <w:color w:val="auto"/>
              </w:rPr>
            </w:pPr>
            <w:r>
              <w:rPr>
                <w:rFonts w:ascii="Times New Roman" w:cs="Times New Roman" w:eastAsia="Times New Roman" w:hAnsi="Times New Roman"/>
                <w:sz w:val="10"/>
                <w:szCs w:val="10"/>
                <w:color w:val="auto"/>
              </w:rPr>
              <w:t>2,885,943</w:t>
            </w:r>
          </w:p>
        </w:tc>
        <w:tc>
          <w:tcPr>
            <w:tcW w:w="120" w:type="dxa"/>
            <w:vAlign w:val="bottom"/>
            <w:tcBorders>
              <w:top w:val="single" w:sz="8" w:color="CCEEFF"/>
              <w:bottom w:val="single" w:sz="8" w:color="CCEEFF"/>
            </w:tcBorders>
            <w:shd w:val="clear" w:color="auto" w:fill="CCEEFF"/>
          </w:tcPr>
          <w:p>
            <w:pPr>
              <w:spacing w:after="0"/>
              <w:rPr>
                <w:sz w:val="9"/>
                <w:szCs w:val="9"/>
                <w:color w:val="auto"/>
              </w:rPr>
            </w:pPr>
          </w:p>
        </w:tc>
        <w:tc>
          <w:tcPr>
            <w:tcW w:w="200" w:type="dxa"/>
            <w:vAlign w:val="bottom"/>
            <w:tcBorders>
              <w:top w:val="single" w:sz="8" w:color="auto"/>
              <w:bottom w:val="single" w:sz="8" w:color="auto"/>
            </w:tcBorders>
            <w:shd w:val="clear" w:color="auto" w:fill="CCEEFF"/>
          </w:tcPr>
          <w:p>
            <w:pPr>
              <w:spacing w:after="0" w:line="88" w:lineRule="exact"/>
              <w:rPr>
                <w:sz w:val="20"/>
                <w:szCs w:val="20"/>
                <w:color w:val="auto"/>
              </w:rPr>
            </w:pPr>
            <w:r>
              <w:rPr>
                <w:rFonts w:ascii="Times New Roman" w:cs="Times New Roman" w:eastAsia="Times New Roman" w:hAnsi="Times New Roman"/>
                <w:sz w:val="10"/>
                <w:szCs w:val="10"/>
                <w:color w:val="auto"/>
              </w:rPr>
              <w:t>$</w:t>
            </w:r>
          </w:p>
        </w:tc>
        <w:tc>
          <w:tcPr>
            <w:tcW w:w="120" w:type="dxa"/>
            <w:vAlign w:val="bottom"/>
            <w:tcBorders>
              <w:top w:val="single" w:sz="8" w:color="auto"/>
              <w:bottom w:val="single" w:sz="8" w:color="auto"/>
            </w:tcBorders>
            <w:shd w:val="clear" w:color="auto" w:fill="CCEEFF"/>
          </w:tcPr>
          <w:p>
            <w:pPr>
              <w:jc w:val="right"/>
              <w:spacing w:after="0" w:line="88" w:lineRule="exact"/>
              <w:rPr>
                <w:sz w:val="20"/>
                <w:szCs w:val="20"/>
                <w:color w:val="auto"/>
              </w:rPr>
            </w:pPr>
            <w:r>
              <w:rPr>
                <w:rFonts w:ascii="Times New Roman" w:cs="Times New Roman" w:eastAsia="Times New Roman" w:hAnsi="Times New Roman"/>
                <w:sz w:val="10"/>
                <w:szCs w:val="10"/>
                <w:color w:val="auto"/>
                <w:w w:val="99"/>
              </w:rPr>
              <w:t>29</w:t>
            </w:r>
          </w:p>
        </w:tc>
        <w:tc>
          <w:tcPr>
            <w:tcW w:w="120" w:type="dxa"/>
            <w:vAlign w:val="bottom"/>
            <w:tcBorders>
              <w:top w:val="single" w:sz="8" w:color="CCEEFF"/>
              <w:bottom w:val="single" w:sz="8" w:color="CCEEFF"/>
            </w:tcBorders>
            <w:shd w:val="clear" w:color="auto" w:fill="CCEEFF"/>
          </w:tcPr>
          <w:p>
            <w:pPr>
              <w:spacing w:after="0"/>
              <w:rPr>
                <w:sz w:val="9"/>
                <w:szCs w:val="9"/>
                <w:color w:val="auto"/>
              </w:rPr>
            </w:pPr>
          </w:p>
        </w:tc>
        <w:tc>
          <w:tcPr>
            <w:tcW w:w="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540" w:type="dxa"/>
            <w:vAlign w:val="bottom"/>
            <w:tcBorders>
              <w:top w:val="single" w:sz="8" w:color="auto"/>
              <w:bottom w:val="single" w:sz="8" w:color="auto"/>
            </w:tcBorders>
            <w:shd w:val="clear" w:color="auto" w:fill="CCEEFF"/>
          </w:tcPr>
          <w:p>
            <w:pPr>
              <w:jc w:val="right"/>
              <w:spacing w:after="0" w:line="88" w:lineRule="exact"/>
              <w:rPr>
                <w:sz w:val="20"/>
                <w:szCs w:val="20"/>
                <w:color w:val="auto"/>
              </w:rPr>
            </w:pPr>
            <w:r>
              <w:rPr>
                <w:rFonts w:ascii="Times New Roman" w:cs="Times New Roman" w:eastAsia="Times New Roman" w:hAnsi="Times New Roman"/>
                <w:sz w:val="10"/>
                <w:szCs w:val="10"/>
                <w:color w:val="auto"/>
              </w:rPr>
              <w:t>1,871,690</w:t>
            </w:r>
          </w:p>
        </w:tc>
        <w:tc>
          <w:tcPr>
            <w:tcW w:w="120" w:type="dxa"/>
            <w:vAlign w:val="bottom"/>
            <w:tcBorders>
              <w:top w:val="single" w:sz="8" w:color="CCEEFF"/>
              <w:bottom w:val="single" w:sz="8" w:color="CCEEFF"/>
            </w:tcBorders>
            <w:shd w:val="clear" w:color="auto" w:fill="CCEEFF"/>
          </w:tcPr>
          <w:p>
            <w:pPr>
              <w:spacing w:after="0"/>
              <w:rPr>
                <w:sz w:val="9"/>
                <w:szCs w:val="9"/>
                <w:color w:val="auto"/>
              </w:rPr>
            </w:pPr>
          </w:p>
        </w:tc>
        <w:tc>
          <w:tcPr>
            <w:tcW w:w="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660" w:type="dxa"/>
            <w:vAlign w:val="bottom"/>
            <w:tcBorders>
              <w:top w:val="single" w:sz="8" w:color="auto"/>
              <w:bottom w:val="single" w:sz="8" w:color="auto"/>
            </w:tcBorders>
            <w:shd w:val="clear" w:color="auto" w:fill="CCEEFF"/>
          </w:tcPr>
          <w:p>
            <w:pPr>
              <w:jc w:val="right"/>
              <w:spacing w:after="0" w:line="88" w:lineRule="exact"/>
              <w:rPr>
                <w:sz w:val="20"/>
                <w:szCs w:val="20"/>
                <w:color w:val="auto"/>
              </w:rPr>
            </w:pPr>
            <w:r>
              <w:rPr>
                <w:rFonts w:ascii="Times New Roman" w:cs="Times New Roman" w:eastAsia="Times New Roman" w:hAnsi="Times New Roman"/>
                <w:sz w:val="10"/>
                <w:szCs w:val="10"/>
                <w:color w:val="auto"/>
              </w:rPr>
              <w:t>(26,403,727</w:t>
            </w:r>
          </w:p>
        </w:tc>
        <w:tc>
          <w:tcPr>
            <w:tcW w:w="160" w:type="dxa"/>
            <w:vAlign w:val="bottom"/>
            <w:tcBorders>
              <w:top w:val="single" w:sz="8" w:color="CCEEFF"/>
              <w:bottom w:val="single" w:sz="8" w:color="CCEEFF"/>
            </w:tcBorders>
            <w:shd w:val="clear" w:color="auto" w:fill="CCEEFF"/>
          </w:tcPr>
          <w:p>
            <w:pPr>
              <w:jc w:val="right"/>
              <w:ind w:right="78"/>
              <w:spacing w:after="0" w:line="88" w:lineRule="exact"/>
              <w:rPr>
                <w:sz w:val="20"/>
                <w:szCs w:val="20"/>
                <w:color w:val="auto"/>
              </w:rPr>
            </w:pPr>
            <w:r>
              <w:rPr>
                <w:rFonts w:ascii="Times New Roman" w:cs="Times New Roman" w:eastAsia="Times New Roman" w:hAnsi="Times New Roman"/>
                <w:sz w:val="8"/>
                <w:szCs w:val="8"/>
                <w:color w:val="auto"/>
                <w:w w:val="73"/>
              </w:rPr>
              <w:t>)</w:t>
            </w:r>
          </w:p>
        </w:tc>
        <w:tc>
          <w:tcPr>
            <w:tcW w:w="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640" w:type="dxa"/>
            <w:vAlign w:val="bottom"/>
            <w:tcBorders>
              <w:top w:val="single" w:sz="8" w:color="auto"/>
              <w:bottom w:val="single" w:sz="8" w:color="auto"/>
            </w:tcBorders>
            <w:shd w:val="clear" w:color="auto" w:fill="CCEEFF"/>
          </w:tcPr>
          <w:p>
            <w:pPr>
              <w:jc w:val="right"/>
              <w:spacing w:after="0" w:line="88" w:lineRule="exact"/>
              <w:rPr>
                <w:sz w:val="20"/>
                <w:szCs w:val="20"/>
                <w:color w:val="auto"/>
              </w:rPr>
            </w:pPr>
            <w:r>
              <w:rPr>
                <w:rFonts w:ascii="Times New Roman" w:cs="Times New Roman" w:eastAsia="Times New Roman" w:hAnsi="Times New Roman"/>
                <w:sz w:val="10"/>
                <w:szCs w:val="10"/>
                <w:color w:val="auto"/>
              </w:rPr>
              <w:t>(1,348,919</w:t>
            </w:r>
          </w:p>
        </w:tc>
        <w:tc>
          <w:tcPr>
            <w:tcW w:w="80" w:type="dxa"/>
            <w:vAlign w:val="bottom"/>
            <w:tcBorders>
              <w:top w:val="single" w:sz="8" w:color="CCEEFF"/>
              <w:bottom w:val="single" w:sz="8" w:color="CCEEFF"/>
            </w:tcBorders>
            <w:shd w:val="clear" w:color="auto" w:fill="CCEEFF"/>
          </w:tcPr>
          <w:p>
            <w:pPr>
              <w:jc w:val="right"/>
              <w:spacing w:after="0" w:line="88" w:lineRule="exact"/>
              <w:rPr>
                <w:sz w:val="20"/>
                <w:szCs w:val="20"/>
                <w:color w:val="auto"/>
              </w:rPr>
            </w:pPr>
            <w:r>
              <w:rPr>
                <w:rFonts w:ascii="Times New Roman" w:cs="Times New Roman" w:eastAsia="Times New Roman" w:hAnsi="Times New Roman"/>
                <w:sz w:val="8"/>
                <w:szCs w:val="8"/>
                <w:color w:val="auto"/>
                <w:w w:val="73"/>
              </w:rPr>
              <w:t>)</w:t>
            </w:r>
          </w:p>
        </w:tc>
      </w:tr>
    </w:tbl>
    <w:p>
      <w:pPr>
        <w:spacing w:after="0" w:line="13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485" w:right="29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159"/>
        </w:trPr>
        <w:tc>
          <w:tcPr>
            <w:tcW w:w="3960" w:type="dxa"/>
            <w:vAlign w:val="bottom"/>
          </w:tcPr>
          <w:p>
            <w:pPr>
              <w:spacing w:after="0"/>
              <w:rPr>
                <w:sz w:val="13"/>
                <w:szCs w:val="13"/>
                <w:color w:val="auto"/>
              </w:rPr>
            </w:pPr>
          </w:p>
        </w:tc>
        <w:tc>
          <w:tcPr>
            <w:tcW w:w="6040" w:type="dxa"/>
            <w:vAlign w:val="bottom"/>
            <w:gridSpan w:val="2"/>
          </w:tcPr>
          <w:p>
            <w:pPr>
              <w:jc w:val="center"/>
              <w:ind w:right="2626"/>
              <w:spacing w:after="0"/>
              <w:rPr>
                <w:sz w:val="20"/>
                <w:szCs w:val="20"/>
                <w:color w:val="auto"/>
              </w:rPr>
            </w:pPr>
            <w:r>
              <w:rPr>
                <w:rFonts w:ascii="Times New Roman" w:cs="Times New Roman" w:eastAsia="Times New Roman" w:hAnsi="Times New Roman"/>
                <w:sz w:val="12"/>
                <w:szCs w:val="12"/>
                <w:b w:val="1"/>
                <w:bCs w:val="1"/>
                <w:color w:val="auto"/>
                <w:w w:val="99"/>
              </w:rPr>
              <w:t>CLEARDOC, INC. AND SUBSIDIARY CONSOLIDATED</w:t>
            </w:r>
          </w:p>
        </w:tc>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288"/>
        </w:trPr>
        <w:tc>
          <w:tcPr>
            <w:tcW w:w="3960" w:type="dxa"/>
            <w:vAlign w:val="bottom"/>
          </w:tcPr>
          <w:p>
            <w:pPr>
              <w:spacing w:after="0"/>
              <w:rPr>
                <w:sz w:val="24"/>
                <w:szCs w:val="24"/>
                <w:color w:val="auto"/>
              </w:rPr>
            </w:pPr>
          </w:p>
        </w:tc>
        <w:tc>
          <w:tcPr>
            <w:tcW w:w="6040" w:type="dxa"/>
            <w:vAlign w:val="bottom"/>
            <w:gridSpan w:val="2"/>
          </w:tcPr>
          <w:p>
            <w:pPr>
              <w:jc w:val="center"/>
              <w:ind w:right="2626"/>
              <w:spacing w:after="0"/>
              <w:rPr>
                <w:sz w:val="20"/>
                <w:szCs w:val="20"/>
                <w:color w:val="auto"/>
              </w:rPr>
            </w:pPr>
            <w:r>
              <w:rPr>
                <w:rFonts w:ascii="Times New Roman" w:cs="Times New Roman" w:eastAsia="Times New Roman" w:hAnsi="Times New Roman"/>
                <w:sz w:val="12"/>
                <w:szCs w:val="12"/>
                <w:b w:val="1"/>
                <w:bCs w:val="1"/>
                <w:color w:val="auto"/>
                <w:w w:val="99"/>
              </w:rPr>
              <w:t>STATEMENT OF CASH FLOWS</w:t>
            </w: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88"/>
        </w:trPr>
        <w:tc>
          <w:tcPr>
            <w:tcW w:w="3960" w:type="dxa"/>
            <w:vAlign w:val="bottom"/>
          </w:tcPr>
          <w:p>
            <w:pPr>
              <w:spacing w:after="0"/>
              <w:rPr>
                <w:sz w:val="24"/>
                <w:szCs w:val="24"/>
                <w:color w:val="auto"/>
              </w:rPr>
            </w:pPr>
          </w:p>
        </w:tc>
        <w:tc>
          <w:tcPr>
            <w:tcW w:w="6040" w:type="dxa"/>
            <w:vAlign w:val="bottom"/>
            <w:gridSpan w:val="2"/>
          </w:tcPr>
          <w:p>
            <w:pPr>
              <w:jc w:val="center"/>
              <w:ind w:right="2626"/>
              <w:spacing w:after="0"/>
              <w:rPr>
                <w:sz w:val="20"/>
                <w:szCs w:val="20"/>
                <w:color w:val="auto"/>
              </w:rPr>
            </w:pPr>
            <w:r>
              <w:rPr>
                <w:rFonts w:ascii="Times New Roman" w:cs="Times New Roman" w:eastAsia="Times New Roman" w:hAnsi="Times New Roman"/>
                <w:sz w:val="12"/>
                <w:szCs w:val="12"/>
                <w:color w:val="auto"/>
                <w:w w:val="99"/>
              </w:rPr>
              <w:t>Year ended December 31, 2023</w:t>
            </w: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44"/>
        </w:trPr>
        <w:tc>
          <w:tcPr>
            <w:tcW w:w="3960" w:type="dxa"/>
            <w:vAlign w:val="bottom"/>
          </w:tcPr>
          <w:p>
            <w:pPr>
              <w:spacing w:after="0"/>
              <w:rPr>
                <w:sz w:val="12"/>
                <w:szCs w:val="12"/>
                <w:color w:val="auto"/>
              </w:rPr>
            </w:pPr>
          </w:p>
        </w:tc>
        <w:tc>
          <w:tcPr>
            <w:tcW w:w="53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4"/>
        </w:trPr>
        <w:tc>
          <w:tcPr>
            <w:tcW w:w="39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CASH FLOWS FROM OPERATING ACTIVITIES</w:t>
            </w:r>
          </w:p>
        </w:tc>
        <w:tc>
          <w:tcPr>
            <w:tcW w:w="53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r>
      <w:tr>
        <w:trPr>
          <w:trHeight w:val="144"/>
        </w:trPr>
        <w:tc>
          <w:tcPr>
            <w:tcW w:w="396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Net loss</w:t>
            </w:r>
          </w:p>
        </w:tc>
        <w:tc>
          <w:tcPr>
            <w:tcW w:w="6040" w:type="dxa"/>
            <w:vAlign w:val="bottom"/>
            <w:gridSpan w:val="2"/>
          </w:tcPr>
          <w:p>
            <w:pPr>
              <w:jc w:val="right"/>
              <w:ind w:right="606"/>
              <w:spacing w:after="0"/>
              <w:rPr>
                <w:sz w:val="20"/>
                <w:szCs w:val="20"/>
                <w:color w:val="auto"/>
              </w:rPr>
            </w:pPr>
            <w:r>
              <w:rPr>
                <w:rFonts w:ascii="Times New Roman" w:cs="Times New Roman" w:eastAsia="Times New Roman" w:hAnsi="Times New Roman"/>
                <w:sz w:val="12"/>
                <w:szCs w:val="12"/>
                <w:color w:val="auto"/>
              </w:rPr>
              <w:t>$</w:t>
            </w:r>
          </w:p>
        </w:tc>
        <w:tc>
          <w:tcPr>
            <w:tcW w:w="130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(1,283,206)</w:t>
            </w:r>
          </w:p>
        </w:tc>
      </w:tr>
      <w:tr>
        <w:trPr>
          <w:trHeight w:val="144"/>
        </w:trPr>
        <w:tc>
          <w:tcPr>
            <w:tcW w:w="39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Adjustments to reconcile net loss to net cash flows from Operating activities:</w:t>
            </w:r>
          </w:p>
        </w:tc>
        <w:tc>
          <w:tcPr>
            <w:tcW w:w="53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r>
      <w:tr>
        <w:trPr>
          <w:trHeight w:val="144"/>
        </w:trPr>
        <w:tc>
          <w:tcPr>
            <w:tcW w:w="396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Depreciation and amortization</w:t>
            </w:r>
          </w:p>
        </w:tc>
        <w:tc>
          <w:tcPr>
            <w:tcW w:w="53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132,543</w:t>
            </w:r>
          </w:p>
        </w:tc>
      </w:tr>
      <w:tr>
        <w:trPr>
          <w:trHeight w:val="144"/>
        </w:trPr>
        <w:tc>
          <w:tcPr>
            <w:tcW w:w="39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2"/>
                <w:szCs w:val="12"/>
                <w:color w:val="auto"/>
              </w:rPr>
              <w:t>Provision for credit losses</w:t>
            </w:r>
          </w:p>
        </w:tc>
        <w:tc>
          <w:tcPr>
            <w:tcW w:w="53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3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3,162</w:t>
            </w:r>
          </w:p>
        </w:tc>
      </w:tr>
      <w:tr>
        <w:trPr>
          <w:trHeight w:val="144"/>
        </w:trPr>
        <w:tc>
          <w:tcPr>
            <w:tcW w:w="396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Amortization of deferred sales commissions</w:t>
            </w:r>
          </w:p>
        </w:tc>
        <w:tc>
          <w:tcPr>
            <w:tcW w:w="53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896,356</w:t>
            </w:r>
          </w:p>
        </w:tc>
      </w:tr>
      <w:tr>
        <w:trPr>
          <w:trHeight w:val="144"/>
        </w:trPr>
        <w:tc>
          <w:tcPr>
            <w:tcW w:w="39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2"/>
                <w:szCs w:val="12"/>
                <w:color w:val="auto"/>
              </w:rPr>
              <w:t>Amortization of deferred financing costs reflected as interest expense</w:t>
            </w:r>
          </w:p>
        </w:tc>
        <w:tc>
          <w:tcPr>
            <w:tcW w:w="53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3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3,945</w:t>
            </w:r>
          </w:p>
        </w:tc>
      </w:tr>
      <w:tr>
        <w:trPr>
          <w:trHeight w:val="144"/>
        </w:trPr>
        <w:tc>
          <w:tcPr>
            <w:tcW w:w="396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Stock-based compensation</w:t>
            </w:r>
          </w:p>
        </w:tc>
        <w:tc>
          <w:tcPr>
            <w:tcW w:w="53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173,165</w:t>
            </w:r>
          </w:p>
        </w:tc>
      </w:tr>
      <w:tr>
        <w:trPr>
          <w:trHeight w:val="144"/>
        </w:trPr>
        <w:tc>
          <w:tcPr>
            <w:tcW w:w="39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Change in operating assets:</w:t>
            </w:r>
          </w:p>
        </w:tc>
        <w:tc>
          <w:tcPr>
            <w:tcW w:w="53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r>
      <w:tr>
        <w:trPr>
          <w:trHeight w:val="144"/>
        </w:trPr>
        <w:tc>
          <w:tcPr>
            <w:tcW w:w="396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Accounts receivable</w:t>
            </w:r>
          </w:p>
        </w:tc>
        <w:tc>
          <w:tcPr>
            <w:tcW w:w="53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102,376</w:t>
            </w:r>
          </w:p>
        </w:tc>
      </w:tr>
      <w:tr>
        <w:trPr>
          <w:trHeight w:val="144"/>
        </w:trPr>
        <w:tc>
          <w:tcPr>
            <w:tcW w:w="39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2"/>
                <w:szCs w:val="12"/>
                <w:color w:val="auto"/>
              </w:rPr>
              <w:t>Deferred sales commissions</w:t>
            </w:r>
          </w:p>
        </w:tc>
        <w:tc>
          <w:tcPr>
            <w:tcW w:w="53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3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(535,038)</w:t>
            </w:r>
          </w:p>
        </w:tc>
      </w:tr>
      <w:tr>
        <w:trPr>
          <w:trHeight w:val="144"/>
        </w:trPr>
        <w:tc>
          <w:tcPr>
            <w:tcW w:w="396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Prepaid expenses</w:t>
            </w:r>
          </w:p>
        </w:tc>
        <w:tc>
          <w:tcPr>
            <w:tcW w:w="53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59,457</w:t>
            </w:r>
          </w:p>
        </w:tc>
      </w:tr>
      <w:tr>
        <w:trPr>
          <w:trHeight w:val="144"/>
        </w:trPr>
        <w:tc>
          <w:tcPr>
            <w:tcW w:w="39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Change in operating liabilities:</w:t>
            </w:r>
          </w:p>
        </w:tc>
        <w:tc>
          <w:tcPr>
            <w:tcW w:w="53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r>
      <w:tr>
        <w:trPr>
          <w:trHeight w:val="144"/>
        </w:trPr>
        <w:tc>
          <w:tcPr>
            <w:tcW w:w="396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Accounts payable</w:t>
            </w:r>
          </w:p>
        </w:tc>
        <w:tc>
          <w:tcPr>
            <w:tcW w:w="53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30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(602,929)</w:t>
            </w:r>
          </w:p>
        </w:tc>
      </w:tr>
      <w:tr>
        <w:trPr>
          <w:trHeight w:val="144"/>
        </w:trPr>
        <w:tc>
          <w:tcPr>
            <w:tcW w:w="39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2"/>
                <w:szCs w:val="12"/>
                <w:color w:val="auto"/>
              </w:rPr>
              <w:t>Accrued expenses</w:t>
            </w:r>
          </w:p>
        </w:tc>
        <w:tc>
          <w:tcPr>
            <w:tcW w:w="53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3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(406,767)</w:t>
            </w:r>
          </w:p>
        </w:tc>
      </w:tr>
      <w:tr>
        <w:trPr>
          <w:trHeight w:val="144"/>
        </w:trPr>
        <w:tc>
          <w:tcPr>
            <w:tcW w:w="396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Deferred revenue</w:t>
            </w:r>
          </w:p>
        </w:tc>
        <w:tc>
          <w:tcPr>
            <w:tcW w:w="53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30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(592,554)</w:t>
            </w:r>
          </w:p>
        </w:tc>
      </w:tr>
      <w:tr>
        <w:trPr>
          <w:trHeight w:val="144"/>
        </w:trPr>
        <w:tc>
          <w:tcPr>
            <w:tcW w:w="3960" w:type="dxa"/>
            <w:vAlign w:val="bottom"/>
            <w:shd w:val="clear" w:color="auto" w:fill="CCEEFF"/>
          </w:tcPr>
          <w:p>
            <w:pPr>
              <w:spacing w:after="0"/>
              <w:rPr>
                <w:sz w:val="12"/>
                <w:szCs w:val="12"/>
                <w:color w:val="auto"/>
              </w:rPr>
            </w:pPr>
          </w:p>
        </w:tc>
        <w:tc>
          <w:tcPr>
            <w:tcW w:w="53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r>
      <w:tr>
        <w:trPr>
          <w:trHeight w:val="153"/>
        </w:trPr>
        <w:tc>
          <w:tcPr>
            <w:tcW w:w="3960" w:type="dxa"/>
            <w:vAlign w:val="bottom"/>
          </w:tcPr>
          <w:p>
            <w:pPr>
              <w:ind w:left="360"/>
              <w:spacing w:after="0"/>
              <w:rPr>
                <w:sz w:val="20"/>
                <w:szCs w:val="20"/>
                <w:color w:val="auto"/>
              </w:rPr>
            </w:pPr>
            <w:r>
              <w:rPr>
                <w:rFonts w:ascii="Times New Roman" w:cs="Times New Roman" w:eastAsia="Times New Roman" w:hAnsi="Times New Roman"/>
                <w:sz w:val="12"/>
                <w:szCs w:val="12"/>
                <w:color w:val="auto"/>
              </w:rPr>
              <w:t>NET CASH FLOWS FROM OPERATING ACTIVITIES</w:t>
            </w:r>
          </w:p>
        </w:tc>
        <w:tc>
          <w:tcPr>
            <w:tcW w:w="53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30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(2,049,490)</w:t>
            </w:r>
          </w:p>
        </w:tc>
      </w:tr>
      <w:tr>
        <w:trPr>
          <w:trHeight w:val="133"/>
        </w:trPr>
        <w:tc>
          <w:tcPr>
            <w:tcW w:w="3960" w:type="dxa"/>
            <w:vAlign w:val="bottom"/>
            <w:tcBorders>
              <w:top w:val="single" w:sz="8" w:color="CCEEFF"/>
            </w:tcBorders>
            <w:shd w:val="clear" w:color="auto" w:fill="CCEEFF"/>
          </w:tcPr>
          <w:p>
            <w:pPr>
              <w:spacing w:after="0" w:line="133" w:lineRule="exact"/>
              <w:rPr>
                <w:sz w:val="20"/>
                <w:szCs w:val="20"/>
                <w:color w:val="auto"/>
              </w:rPr>
            </w:pPr>
            <w:r>
              <w:rPr>
                <w:rFonts w:ascii="Times New Roman" w:cs="Times New Roman" w:eastAsia="Times New Roman" w:hAnsi="Times New Roman"/>
                <w:sz w:val="12"/>
                <w:szCs w:val="12"/>
                <w:b w:val="1"/>
                <w:bCs w:val="1"/>
                <w:color w:val="auto"/>
              </w:rPr>
              <w:t>CASH FLOWS FROM INVESTING ACTIVITIES</w:t>
            </w:r>
          </w:p>
        </w:tc>
        <w:tc>
          <w:tcPr>
            <w:tcW w:w="5320" w:type="dxa"/>
            <w:vAlign w:val="bottom"/>
            <w:tcBorders>
              <w:top w:val="single" w:sz="8" w:color="CCEEFF"/>
            </w:tcBorders>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spacing w:after="0"/>
              <w:rPr>
                <w:sz w:val="11"/>
                <w:szCs w:val="11"/>
                <w:color w:val="auto"/>
              </w:rPr>
            </w:pPr>
          </w:p>
        </w:tc>
        <w:tc>
          <w:tcPr>
            <w:tcW w:w="118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r>
      <w:tr>
        <w:trPr>
          <w:trHeight w:val="153"/>
        </w:trPr>
        <w:tc>
          <w:tcPr>
            <w:tcW w:w="396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Purchase of intangible assets</w:t>
            </w:r>
          </w:p>
        </w:tc>
        <w:tc>
          <w:tcPr>
            <w:tcW w:w="53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30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(5,415)</w:t>
            </w:r>
          </w:p>
        </w:tc>
      </w:tr>
      <w:tr>
        <w:trPr>
          <w:trHeight w:val="133"/>
        </w:trPr>
        <w:tc>
          <w:tcPr>
            <w:tcW w:w="3960" w:type="dxa"/>
            <w:vAlign w:val="bottom"/>
            <w:tcBorders>
              <w:top w:val="single" w:sz="8" w:color="CCEEFF"/>
            </w:tcBorders>
            <w:shd w:val="clear" w:color="auto" w:fill="CCEEFF"/>
          </w:tcPr>
          <w:p>
            <w:pPr>
              <w:spacing w:after="0" w:line="133" w:lineRule="exact"/>
              <w:rPr>
                <w:sz w:val="20"/>
                <w:szCs w:val="20"/>
                <w:color w:val="auto"/>
              </w:rPr>
            </w:pPr>
            <w:r>
              <w:rPr>
                <w:rFonts w:ascii="Times New Roman" w:cs="Times New Roman" w:eastAsia="Times New Roman" w:hAnsi="Times New Roman"/>
                <w:sz w:val="12"/>
                <w:szCs w:val="12"/>
                <w:b w:val="1"/>
                <w:bCs w:val="1"/>
                <w:color w:val="auto"/>
              </w:rPr>
              <w:t>CASH FLOWS FROM FINANCING ACTIVITIES</w:t>
            </w:r>
          </w:p>
        </w:tc>
        <w:tc>
          <w:tcPr>
            <w:tcW w:w="5320" w:type="dxa"/>
            <w:vAlign w:val="bottom"/>
            <w:tcBorders>
              <w:top w:val="single" w:sz="8" w:color="CCEEFF"/>
            </w:tcBorders>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spacing w:after="0"/>
              <w:rPr>
                <w:sz w:val="11"/>
                <w:szCs w:val="11"/>
                <w:color w:val="auto"/>
              </w:rPr>
            </w:pPr>
          </w:p>
        </w:tc>
        <w:tc>
          <w:tcPr>
            <w:tcW w:w="118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r>
      <w:tr>
        <w:trPr>
          <w:trHeight w:val="144"/>
        </w:trPr>
        <w:tc>
          <w:tcPr>
            <w:tcW w:w="396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Proceeds from exercise of stock options</w:t>
            </w:r>
          </w:p>
        </w:tc>
        <w:tc>
          <w:tcPr>
            <w:tcW w:w="53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4,390</w:t>
            </w:r>
          </w:p>
        </w:tc>
      </w:tr>
      <w:tr>
        <w:trPr>
          <w:trHeight w:val="144"/>
        </w:trPr>
        <w:tc>
          <w:tcPr>
            <w:tcW w:w="39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Payments of long-term debt</w:t>
            </w:r>
          </w:p>
        </w:tc>
        <w:tc>
          <w:tcPr>
            <w:tcW w:w="53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3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(175,000)</w:t>
            </w:r>
          </w:p>
        </w:tc>
      </w:tr>
      <w:tr>
        <w:trPr>
          <w:trHeight w:val="144"/>
        </w:trPr>
        <w:tc>
          <w:tcPr>
            <w:tcW w:w="396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Proceeds from long-term debt</w:t>
            </w:r>
          </w:p>
        </w:tc>
        <w:tc>
          <w:tcPr>
            <w:tcW w:w="53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750,000</w:t>
            </w:r>
          </w:p>
        </w:tc>
      </w:tr>
      <w:tr>
        <w:trPr>
          <w:trHeight w:val="153"/>
        </w:trPr>
        <w:tc>
          <w:tcPr>
            <w:tcW w:w="39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Proceeds from line of credit</w:t>
            </w:r>
          </w:p>
        </w:tc>
        <w:tc>
          <w:tcPr>
            <w:tcW w:w="53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3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230,000</w:t>
            </w:r>
          </w:p>
        </w:tc>
      </w:tr>
      <w:tr>
        <w:trPr>
          <w:trHeight w:val="133"/>
        </w:trPr>
        <w:tc>
          <w:tcPr>
            <w:tcW w:w="3960" w:type="dxa"/>
            <w:vAlign w:val="bottom"/>
          </w:tcPr>
          <w:p>
            <w:pPr>
              <w:spacing w:after="0"/>
              <w:rPr>
                <w:sz w:val="11"/>
                <w:szCs w:val="11"/>
                <w:color w:val="auto"/>
              </w:rPr>
            </w:pPr>
          </w:p>
        </w:tc>
        <w:tc>
          <w:tcPr>
            <w:tcW w:w="5320" w:type="dxa"/>
            <w:vAlign w:val="bottom"/>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118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r>
      <w:tr>
        <w:trPr>
          <w:trHeight w:val="153"/>
        </w:trPr>
        <w:tc>
          <w:tcPr>
            <w:tcW w:w="39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2"/>
                <w:szCs w:val="12"/>
                <w:color w:val="auto"/>
              </w:rPr>
              <w:t>NET CASH FLOWS FROM FINANCING ACTIVITIES</w:t>
            </w:r>
          </w:p>
        </w:tc>
        <w:tc>
          <w:tcPr>
            <w:tcW w:w="53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3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809,390</w:t>
            </w:r>
          </w:p>
        </w:tc>
      </w:tr>
      <w:tr>
        <w:trPr>
          <w:trHeight w:val="133"/>
        </w:trPr>
        <w:tc>
          <w:tcPr>
            <w:tcW w:w="3960" w:type="dxa"/>
            <w:vAlign w:val="bottom"/>
          </w:tcPr>
          <w:p>
            <w:pPr>
              <w:ind w:left="360"/>
              <w:spacing w:after="0" w:line="133" w:lineRule="exact"/>
              <w:rPr>
                <w:sz w:val="20"/>
                <w:szCs w:val="20"/>
                <w:color w:val="auto"/>
              </w:rPr>
            </w:pPr>
            <w:r>
              <w:rPr>
                <w:rFonts w:ascii="Times New Roman" w:cs="Times New Roman" w:eastAsia="Times New Roman" w:hAnsi="Times New Roman"/>
                <w:sz w:val="12"/>
                <w:szCs w:val="12"/>
                <w:color w:val="auto"/>
              </w:rPr>
              <w:t>NET CHANGE IN CASH</w:t>
            </w:r>
          </w:p>
        </w:tc>
        <w:tc>
          <w:tcPr>
            <w:tcW w:w="5320" w:type="dxa"/>
            <w:vAlign w:val="bottom"/>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1180" w:type="dxa"/>
            <w:vAlign w:val="bottom"/>
            <w:tcBorders>
              <w:top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(1,245,515)</w:t>
            </w:r>
          </w:p>
        </w:tc>
        <w:tc>
          <w:tcPr>
            <w:tcW w:w="120" w:type="dxa"/>
            <w:vAlign w:val="bottom"/>
          </w:tcPr>
          <w:p>
            <w:pPr>
              <w:spacing w:after="0"/>
              <w:rPr>
                <w:sz w:val="11"/>
                <w:szCs w:val="11"/>
                <w:color w:val="auto"/>
              </w:rPr>
            </w:pPr>
          </w:p>
        </w:tc>
      </w:tr>
      <w:tr>
        <w:trPr>
          <w:trHeight w:val="153"/>
        </w:trPr>
        <w:tc>
          <w:tcPr>
            <w:tcW w:w="39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2"/>
                <w:szCs w:val="12"/>
                <w:color w:val="auto"/>
              </w:rPr>
              <w:t>CASH, BEGINNING OF YEAR</w:t>
            </w:r>
          </w:p>
        </w:tc>
        <w:tc>
          <w:tcPr>
            <w:tcW w:w="53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3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1,966,147</w:t>
            </w:r>
          </w:p>
        </w:tc>
      </w:tr>
      <w:tr>
        <w:trPr>
          <w:trHeight w:val="149"/>
        </w:trPr>
        <w:tc>
          <w:tcPr>
            <w:tcW w:w="3960" w:type="dxa"/>
            <w:vAlign w:val="bottom"/>
            <w:tcBorders>
              <w:bottom w:val="single" w:sz="8" w:color="CCEEFF"/>
            </w:tcBorders>
          </w:tcPr>
          <w:p>
            <w:pPr>
              <w:ind w:left="360"/>
              <w:spacing w:after="0" w:line="135" w:lineRule="exact"/>
              <w:rPr>
                <w:sz w:val="20"/>
                <w:szCs w:val="20"/>
                <w:color w:val="auto"/>
              </w:rPr>
            </w:pPr>
            <w:r>
              <w:rPr>
                <w:rFonts w:ascii="Times New Roman" w:cs="Times New Roman" w:eastAsia="Times New Roman" w:hAnsi="Times New Roman"/>
                <w:sz w:val="12"/>
                <w:szCs w:val="12"/>
                <w:color w:val="auto"/>
              </w:rPr>
              <w:t>CASH, END OF YEAR</w:t>
            </w:r>
          </w:p>
        </w:tc>
        <w:tc>
          <w:tcPr>
            <w:tcW w:w="5320" w:type="dxa"/>
            <w:vAlign w:val="bottom"/>
            <w:tcBorders>
              <w:bottom w:val="single" w:sz="8" w:color="CCEEFF"/>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606"/>
              <w:spacing w:after="0"/>
              <w:rPr>
                <w:sz w:val="20"/>
                <w:szCs w:val="20"/>
                <w:color w:val="auto"/>
              </w:rPr>
            </w:pPr>
            <w:r>
              <w:rPr>
                <w:rFonts w:ascii="Times New Roman" w:cs="Times New Roman" w:eastAsia="Times New Roman" w:hAnsi="Times New Roman"/>
                <w:sz w:val="11"/>
                <w:szCs w:val="11"/>
                <w:color w:val="auto"/>
                <w:w w:val="71"/>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720,633</w:t>
            </w:r>
          </w:p>
        </w:tc>
        <w:tc>
          <w:tcPr>
            <w:tcW w:w="120" w:type="dxa"/>
            <w:vAlign w:val="bottom"/>
            <w:tcBorders>
              <w:bottom w:val="single" w:sz="8" w:color="CCEEFF"/>
            </w:tcBorders>
          </w:tcPr>
          <w:p>
            <w:pPr>
              <w:spacing w:after="0"/>
              <w:rPr>
                <w:sz w:val="12"/>
                <w:szCs w:val="12"/>
                <w:color w:val="auto"/>
              </w:rPr>
            </w:pPr>
          </w:p>
        </w:tc>
      </w:tr>
      <w:tr>
        <w:trPr>
          <w:trHeight w:val="144"/>
        </w:trPr>
        <w:tc>
          <w:tcPr>
            <w:tcW w:w="39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2"/>
                <w:szCs w:val="12"/>
                <w:b w:val="1"/>
                <w:bCs w:val="1"/>
                <w:color w:val="auto"/>
              </w:rPr>
              <w:t>SUPPLEMENTAL CASH FLOWS INFORMATION</w:t>
            </w:r>
          </w:p>
        </w:tc>
        <w:tc>
          <w:tcPr>
            <w:tcW w:w="53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r>
      <w:tr>
        <w:trPr>
          <w:trHeight w:val="169"/>
        </w:trPr>
        <w:tc>
          <w:tcPr>
            <w:tcW w:w="3960" w:type="dxa"/>
            <w:vAlign w:val="bottom"/>
          </w:tcPr>
          <w:p>
            <w:pPr>
              <w:ind w:left="480"/>
              <w:spacing w:after="0"/>
              <w:rPr>
                <w:sz w:val="20"/>
                <w:szCs w:val="20"/>
                <w:color w:val="auto"/>
              </w:rPr>
            </w:pPr>
            <w:r>
              <w:rPr>
                <w:rFonts w:ascii="Times New Roman" w:cs="Times New Roman" w:eastAsia="Times New Roman" w:hAnsi="Times New Roman"/>
                <w:sz w:val="12"/>
                <w:szCs w:val="12"/>
                <w:color w:val="auto"/>
              </w:rPr>
              <w:t>Interest paid</w:t>
            </w:r>
          </w:p>
        </w:tc>
        <w:tc>
          <w:tcPr>
            <w:tcW w:w="6040" w:type="dxa"/>
            <w:vAlign w:val="bottom"/>
            <w:gridSpan w:val="2"/>
          </w:tcPr>
          <w:p>
            <w:pPr>
              <w:jc w:val="right"/>
              <w:ind w:right="606"/>
              <w:spacing w:after="0"/>
              <w:rPr>
                <w:sz w:val="20"/>
                <w:szCs w:val="20"/>
                <w:color w:val="auto"/>
              </w:rPr>
            </w:pPr>
            <w:r>
              <w:rPr>
                <w:rFonts w:ascii="Times New Roman" w:cs="Times New Roman" w:eastAsia="Times New Roman" w:hAnsi="Times New Roman"/>
                <w:sz w:val="12"/>
                <w:szCs w:val="12"/>
                <w:color w:val="auto"/>
              </w:rPr>
              <w:t>$</w:t>
            </w: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70,691</w:t>
            </w:r>
          </w:p>
        </w:tc>
      </w:tr>
      <w:tr>
        <w:trPr>
          <w:trHeight w:val="288"/>
        </w:trPr>
        <w:tc>
          <w:tcPr>
            <w:tcW w:w="3960" w:type="dxa"/>
            <w:vAlign w:val="bottom"/>
            <w:tcBorders>
              <w:bottom w:val="single" w:sz="8" w:color="auto"/>
            </w:tcBorders>
          </w:tcPr>
          <w:p>
            <w:pPr>
              <w:spacing w:after="0"/>
              <w:rPr>
                <w:sz w:val="24"/>
                <w:szCs w:val="24"/>
                <w:color w:val="auto"/>
              </w:rPr>
            </w:pPr>
          </w:p>
        </w:tc>
        <w:tc>
          <w:tcPr>
            <w:tcW w:w="5320" w:type="dxa"/>
            <w:vAlign w:val="bottom"/>
            <w:tcBorders>
              <w:bottom w:val="single" w:sz="8" w:color="auto"/>
            </w:tcBorders>
          </w:tcPr>
          <w:p>
            <w:pPr>
              <w:jc w:val="center"/>
              <w:ind w:right="1880"/>
              <w:spacing w:after="0"/>
              <w:rPr>
                <w:sz w:val="20"/>
                <w:szCs w:val="20"/>
                <w:color w:val="auto"/>
              </w:rPr>
            </w:pPr>
            <w:r>
              <w:rPr>
                <w:rFonts w:ascii="Times New Roman" w:cs="Times New Roman" w:eastAsia="Times New Roman" w:hAnsi="Times New Roman"/>
                <w:sz w:val="12"/>
                <w:szCs w:val="12"/>
                <w:color w:val="auto"/>
                <w:w w:val="99"/>
              </w:rPr>
              <w:t>4</w:t>
            </w:r>
          </w:p>
        </w:tc>
        <w:tc>
          <w:tcPr>
            <w:tcW w:w="720" w:type="dxa"/>
            <w:vAlign w:val="bottom"/>
            <w:tcBorders>
              <w:top w:val="single" w:sz="8" w:color="auto"/>
              <w:bottom w:val="single" w:sz="8" w:color="auto"/>
            </w:tcBorders>
          </w:tcPr>
          <w:p>
            <w:pPr>
              <w:spacing w:after="0"/>
              <w:rPr>
                <w:sz w:val="24"/>
                <w:szCs w:val="24"/>
                <w:color w:val="auto"/>
              </w:rPr>
            </w:pPr>
          </w:p>
        </w:tc>
        <w:tc>
          <w:tcPr>
            <w:tcW w:w="1180" w:type="dxa"/>
            <w:vAlign w:val="bottom"/>
            <w:tcBorders>
              <w:top w:val="single" w:sz="8" w:color="auto"/>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r>
    </w:tbl>
    <w:p>
      <w:pPr>
        <w:sectPr>
          <w:pgSz w:w="11900" w:h="16838" w:orient="portrait"/>
          <w:cols w:equalWidth="0" w:num="1">
            <w:col w:w="11300"/>
          </w:cols>
          <w:pgMar w:left="300" w:top="485" w:right="29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2"/>
          <w:szCs w:val="12"/>
          <w:b w:val="1"/>
          <w:bCs w:val="1"/>
          <w:u w:val="single" w:color="auto"/>
          <w:color w:val="auto"/>
        </w:rPr>
        <w:t>(1) Summary of significant accounting policies</w:t>
      </w:r>
    </w:p>
    <w:p>
      <w:pPr>
        <w:spacing w:after="0" w:line="150" w:lineRule="exact"/>
        <w:rPr>
          <w:sz w:val="20"/>
          <w:szCs w:val="20"/>
          <w:color w:val="auto"/>
        </w:rPr>
      </w:pPr>
    </w:p>
    <w:p>
      <w:pPr>
        <w:jc w:val="both"/>
        <w:ind w:left="420"/>
        <w:spacing w:after="0" w:line="286" w:lineRule="auto"/>
        <w:rPr>
          <w:sz w:val="20"/>
          <w:szCs w:val="20"/>
          <w:color w:val="auto"/>
        </w:rPr>
      </w:pPr>
      <w:r>
        <w:rPr>
          <w:rFonts w:ascii="Times New Roman" w:cs="Times New Roman" w:eastAsia="Times New Roman" w:hAnsi="Times New Roman"/>
          <w:sz w:val="12"/>
          <w:szCs w:val="12"/>
          <w:b w:val="1"/>
          <w:bCs w:val="1"/>
          <w:color w:val="auto"/>
        </w:rPr>
        <w:t xml:space="preserve">Principles of consolidation </w:t>
      </w:r>
      <w:r>
        <w:rPr>
          <w:rFonts w:ascii="Times New Roman" w:cs="Times New Roman" w:eastAsia="Times New Roman" w:hAnsi="Times New Roman"/>
          <w:sz w:val="12"/>
          <w:szCs w:val="12"/>
          <w:color w:val="auto"/>
        </w:rPr>
        <w:t>– The accompanying financial statements include the accounts of ClearDoc, Inc., a Delaware corporation incorporated on February 9, 2017, and its wholly owned subsidiary, Balloon Technologies,</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Inc. (collectively, the “Company”). All intercompany profits, transactions and balances have been eliminated in consolidation.</w:t>
      </w:r>
    </w:p>
    <w:p>
      <w:pPr>
        <w:spacing w:after="0" w:line="103" w:lineRule="exact"/>
        <w:rPr>
          <w:sz w:val="20"/>
          <w:szCs w:val="20"/>
          <w:color w:val="auto"/>
        </w:rPr>
      </w:pPr>
    </w:p>
    <w:p>
      <w:pPr>
        <w:jc w:val="both"/>
        <w:ind w:left="420" w:right="20"/>
        <w:spacing w:after="0" w:line="286" w:lineRule="auto"/>
        <w:rPr>
          <w:sz w:val="20"/>
          <w:szCs w:val="20"/>
          <w:color w:val="auto"/>
        </w:rPr>
      </w:pPr>
      <w:r>
        <w:rPr>
          <w:rFonts w:ascii="Times New Roman" w:cs="Times New Roman" w:eastAsia="Times New Roman" w:hAnsi="Times New Roman"/>
          <w:sz w:val="12"/>
          <w:szCs w:val="12"/>
          <w:b w:val="1"/>
          <w:bCs w:val="1"/>
          <w:color w:val="auto"/>
        </w:rPr>
        <w:t xml:space="preserve">Nature of operations </w:t>
      </w:r>
      <w:r>
        <w:rPr>
          <w:rFonts w:ascii="Times New Roman" w:cs="Times New Roman" w:eastAsia="Times New Roman" w:hAnsi="Times New Roman"/>
          <w:sz w:val="12"/>
          <w:szCs w:val="12"/>
          <w:color w:val="auto"/>
        </w:rPr>
        <w:t>– The Company is a remote video capture technology provider headquartered in New York, New York. The Company provides subscription-based software as a service (“SaaS”) offering to enterprise,</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media, entertainment and agency teams to remotely control, direct, script, film, and collaborate on high-definition video projects from a mobile device or webcam.</w:t>
      </w:r>
    </w:p>
    <w:p>
      <w:pPr>
        <w:spacing w:after="0" w:line="103" w:lineRule="exact"/>
        <w:rPr>
          <w:sz w:val="20"/>
          <w:szCs w:val="20"/>
          <w:color w:val="auto"/>
        </w:rPr>
      </w:pPr>
    </w:p>
    <w:p>
      <w:pPr>
        <w:jc w:val="both"/>
        <w:ind w:left="420"/>
        <w:spacing w:after="0" w:line="268" w:lineRule="auto"/>
        <w:rPr>
          <w:sz w:val="20"/>
          <w:szCs w:val="20"/>
          <w:color w:val="auto"/>
        </w:rPr>
      </w:pPr>
      <w:r>
        <w:rPr>
          <w:rFonts w:ascii="Times New Roman" w:cs="Times New Roman" w:eastAsia="Times New Roman" w:hAnsi="Times New Roman"/>
          <w:sz w:val="12"/>
          <w:szCs w:val="12"/>
          <w:b w:val="1"/>
          <w:bCs w:val="1"/>
          <w:color w:val="auto"/>
        </w:rPr>
        <w:t xml:space="preserve">Use of estimates </w:t>
      </w:r>
      <w:r>
        <w:rPr>
          <w:rFonts w:ascii="Times New Roman" w:cs="Times New Roman" w:eastAsia="Times New Roman" w:hAnsi="Times New Roman"/>
          <w:sz w:val="12"/>
          <w:szCs w:val="12"/>
          <w:color w:val="auto"/>
        </w:rPr>
        <w:t>– The preparation of these financial statements in conformity with accounting principles generally accepted in the United States of America (“U.S. GAAP”) requires management to make estimates and</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assumptions that affect the reported amounts of assets and liabilities, and disclosures of contingent assets and liabilities, at the date of the financial statements and the reported amounts of revenues and expenses during the reporting period. Management’s significant estimates and assumptions include the deferred income tax valuation allowance. Actual results could differ from those estimates.</w:t>
      </w:r>
    </w:p>
    <w:p>
      <w:pPr>
        <w:spacing w:after="0" w:line="114" w:lineRule="exact"/>
        <w:rPr>
          <w:sz w:val="20"/>
          <w:szCs w:val="20"/>
          <w:color w:val="auto"/>
        </w:rPr>
      </w:pPr>
    </w:p>
    <w:p>
      <w:pPr>
        <w:jc w:val="both"/>
        <w:ind w:left="420"/>
        <w:spacing w:after="0" w:line="286" w:lineRule="auto"/>
        <w:rPr>
          <w:sz w:val="20"/>
          <w:szCs w:val="20"/>
          <w:color w:val="auto"/>
        </w:rPr>
      </w:pPr>
      <w:r>
        <w:rPr>
          <w:rFonts w:ascii="Times New Roman" w:cs="Times New Roman" w:eastAsia="Times New Roman" w:hAnsi="Times New Roman"/>
          <w:sz w:val="12"/>
          <w:szCs w:val="12"/>
          <w:b w:val="1"/>
          <w:bCs w:val="1"/>
          <w:color w:val="auto"/>
        </w:rPr>
        <w:t xml:space="preserve">Cash </w:t>
      </w:r>
      <w:r>
        <w:rPr>
          <w:rFonts w:ascii="Times New Roman" w:cs="Times New Roman" w:eastAsia="Times New Roman" w:hAnsi="Times New Roman"/>
          <w:sz w:val="12"/>
          <w:szCs w:val="12"/>
          <w:color w:val="auto"/>
        </w:rPr>
        <w:t>– The Company’s cash consists of cash on hand and demand deposits held by financial institutions. At times, the Company maintains cash deposits in financial institutions in excess of federally insured limits. As of</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December 31, 2023, the uninsured portion of cash deposits held by financial institutions was $460,954. Management monitors the cash in excess of these limits and believes the risk of loss is negligible.</w:t>
      </w:r>
    </w:p>
    <w:p>
      <w:pPr>
        <w:spacing w:after="0" w:line="103" w:lineRule="exact"/>
        <w:rPr>
          <w:sz w:val="20"/>
          <w:szCs w:val="20"/>
          <w:color w:val="auto"/>
        </w:rPr>
      </w:pPr>
    </w:p>
    <w:p>
      <w:pPr>
        <w:jc w:val="both"/>
        <w:ind w:left="420" w:right="20"/>
        <w:spacing w:after="0" w:line="268" w:lineRule="auto"/>
        <w:rPr>
          <w:sz w:val="20"/>
          <w:szCs w:val="20"/>
          <w:color w:val="auto"/>
        </w:rPr>
      </w:pPr>
      <w:r>
        <w:rPr>
          <w:rFonts w:ascii="Times New Roman" w:cs="Times New Roman" w:eastAsia="Times New Roman" w:hAnsi="Times New Roman"/>
          <w:sz w:val="12"/>
          <w:szCs w:val="12"/>
          <w:b w:val="1"/>
          <w:bCs w:val="1"/>
          <w:color w:val="auto"/>
        </w:rPr>
        <w:t xml:space="preserve">Adoption of new accounting standard </w:t>
      </w:r>
      <w:r>
        <w:rPr>
          <w:rFonts w:ascii="Times New Roman" w:cs="Times New Roman" w:eastAsia="Times New Roman" w:hAnsi="Times New Roman"/>
          <w:sz w:val="12"/>
          <w:szCs w:val="12"/>
          <w:color w:val="auto"/>
        </w:rPr>
        <w:t>– On January 1, 2023, the Company implemented Accounting Standards Update (“ASU”) No. 2016-13,</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i w:val="1"/>
          <w:iCs w:val="1"/>
          <w:color w:val="auto"/>
        </w:rPr>
        <w:t>Financial Instruments – Credit Losses</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(Topic 326):</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i w:val="1"/>
          <w:iCs w:val="1"/>
          <w:color w:val="auto"/>
        </w:rPr>
        <w:t>Measurement of Credit</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i w:val="1"/>
          <w:iCs w:val="1"/>
          <w:color w:val="auto"/>
        </w:rPr>
        <w:t xml:space="preserve">Losses on Financial Instruments, </w:t>
      </w:r>
      <w:r>
        <w:rPr>
          <w:rFonts w:ascii="Times New Roman" w:cs="Times New Roman" w:eastAsia="Times New Roman" w:hAnsi="Times New Roman"/>
          <w:sz w:val="12"/>
          <w:szCs w:val="12"/>
          <w:color w:val="auto"/>
        </w:rPr>
        <w:t>and all of the related amendments using the modified retrospective method. The adoption of Accounting Standards Codification (“ASC”) Topic 326 did not have a material impact on the</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Company’s financial position, results of operations, or cash flows. As such, the Company did not make any adjustments to its financial position upon adoption.</w:t>
      </w:r>
    </w:p>
    <w:p>
      <w:pPr>
        <w:spacing w:after="0" w:line="114" w:lineRule="exact"/>
        <w:rPr>
          <w:sz w:val="20"/>
          <w:szCs w:val="20"/>
          <w:color w:val="auto"/>
        </w:rPr>
      </w:pPr>
    </w:p>
    <w:p>
      <w:pPr>
        <w:jc w:val="both"/>
        <w:ind w:left="420"/>
        <w:spacing w:after="0" w:line="262" w:lineRule="auto"/>
        <w:rPr>
          <w:sz w:val="20"/>
          <w:szCs w:val="20"/>
          <w:color w:val="auto"/>
        </w:rPr>
      </w:pPr>
      <w:r>
        <w:rPr>
          <w:rFonts w:ascii="Times New Roman" w:cs="Times New Roman" w:eastAsia="Times New Roman" w:hAnsi="Times New Roman"/>
          <w:sz w:val="12"/>
          <w:szCs w:val="12"/>
          <w:b w:val="1"/>
          <w:bCs w:val="1"/>
          <w:color w:val="auto"/>
        </w:rPr>
        <w:t xml:space="preserve">Accounts receivable, net </w:t>
      </w:r>
      <w:r>
        <w:rPr>
          <w:rFonts w:ascii="Times New Roman" w:cs="Times New Roman" w:eastAsia="Times New Roman" w:hAnsi="Times New Roman"/>
          <w:sz w:val="12"/>
          <w:szCs w:val="12"/>
          <w:color w:val="auto"/>
        </w:rPr>
        <w:t>– The Company grants unsecured credit to all qualified customers. Billings and other consideration received on contracts in excess of related revenues recognized are recorded as advances from</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customers within deferred revenue. Interest is not charged on past-due accounts. When necessary, the Company maintains an allowance for credit losses based on the best estimate of the amounts that will not be collected, which includes consideration of past events, current conditions, and forecasts of future expectations. If actual bad debts differ from the reserves calculated, the Company records an adjustment to bad debt expense in the period in which the difference occurs. As of December 31, 2023, the Company had an allowance for credit losses of $3,162.</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485" w:right="299" w:bottom="1440" w:gutter="0" w:footer="0" w:header="0"/>
        </w:sectPr>
      </w:pPr>
    </w:p>
    <w:bookmarkStart w:id="9" w:name="page10"/>
    <w:bookmarkEnd w:id="9"/>
    <w:p>
      <w:pPr>
        <w:jc w:val="both"/>
        <w:spacing w:after="0" w:line="268" w:lineRule="auto"/>
        <w:rPr>
          <w:sz w:val="20"/>
          <w:szCs w:val="20"/>
          <w:color w:val="auto"/>
        </w:rPr>
      </w:pPr>
      <w:r>
        <w:rPr>
          <w:rFonts w:ascii="Times New Roman" w:cs="Times New Roman" w:eastAsia="Times New Roman" w:hAnsi="Times New Roman"/>
          <w:sz w:val="12"/>
          <w:szCs w:val="12"/>
          <w:b w:val="1"/>
          <w:bCs w:val="1"/>
          <w:color w:val="auto"/>
        </w:rPr>
        <w:t xml:space="preserve">Deferred sales commissions </w:t>
      </w:r>
      <w:r>
        <w:rPr>
          <w:rFonts w:ascii="Times New Roman" w:cs="Times New Roman" w:eastAsia="Times New Roman" w:hAnsi="Times New Roman"/>
          <w:sz w:val="12"/>
          <w:szCs w:val="12"/>
          <w:color w:val="auto"/>
        </w:rPr>
        <w:t>– Sales commissions earned by the Company’s sales force are considered incremental and recoverable costs of obtaining a contract with a customer. Sales commissions for initial contracts are</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deferred and then amortized on a straight-line basis over a period of benefit the Company has determined to be three years. The Company determined the period of benefit by taking into consideration the average contractual customer term, technology obsolescence and other factors.</w:t>
      </w:r>
    </w:p>
    <w:p>
      <w:pPr>
        <w:spacing w:after="0" w:line="11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2"/>
          <w:szCs w:val="12"/>
          <w:b w:val="1"/>
          <w:bCs w:val="1"/>
          <w:color w:val="auto"/>
        </w:rPr>
        <w:t xml:space="preserve">Property and equipment, net </w:t>
      </w:r>
      <w:r>
        <w:rPr>
          <w:rFonts w:ascii="Times New Roman" w:cs="Times New Roman" w:eastAsia="Times New Roman" w:hAnsi="Times New Roman"/>
          <w:sz w:val="12"/>
          <w:szCs w:val="12"/>
          <w:color w:val="auto"/>
        </w:rPr>
        <w:t>– Property and equipment, which consists of computer equipment, is stated at cost less accumulated depreciation. Depreciation for computer equipment is charged to expense on the straight-line</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basis over a three-year estimated useful life. The Company does not own any other property and equipment as employees work remotely and an office building is not currently utilized.</w:t>
      </w:r>
    </w:p>
    <w:p>
      <w:pPr>
        <w:spacing w:after="0" w:line="10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2"/>
          <w:szCs w:val="12"/>
          <w:b w:val="1"/>
          <w:bCs w:val="1"/>
          <w:color w:val="auto"/>
        </w:rPr>
        <w:t xml:space="preserve">Goodwill – </w:t>
      </w:r>
      <w:r>
        <w:rPr>
          <w:rFonts w:ascii="Times New Roman" w:cs="Times New Roman" w:eastAsia="Times New Roman" w:hAnsi="Times New Roman"/>
          <w:sz w:val="12"/>
          <w:szCs w:val="12"/>
          <w:color w:val="auto"/>
        </w:rPr>
        <w:t>The Company has adopted ASU 2017-04, Intangibles – Goodwill and Other (Topic 350) – Simplifying the Test for Goodwill Impairment. Upon election of this accounting alternative for evaluating goodwill</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impairment triggering events, the Company performs a goodwill impairment triggering event evaluation only as of the end of each reporting period. The entity manages as one segment and integrates any acquired entities fully onto the Company’s platform, which is determined to be the reporting unit. A qualitative assessment is performed to determine whether the existence of events or circumstances leads to a determination that it is more likely than not the fair value of a reporting unit is less than the carrying amount, including goodwill. If, based on the evaluation, it is determined to be more likely than not that the fair value of a reporting unit is less than the carrying value, then goodwill is tested further for impairment. The quantitative impairment test consists of calculating the fair value of a reporting unit and comparing it to the carrying amount, including goodwill. The goodwill impairment loss, if any, is measured as the amount by which the carrying amount of a reporting unit, including goodwill, exceeds its fair value. Subsequent increases in goodwill value are not recognized in the consolidated financial statements.</w:t>
      </w:r>
    </w:p>
    <w:p>
      <w:pPr>
        <w:spacing w:after="0" w:line="122"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2"/>
          <w:szCs w:val="12"/>
          <w:b w:val="1"/>
          <w:bCs w:val="1"/>
          <w:color w:val="auto"/>
        </w:rPr>
        <w:t xml:space="preserve">Identifiable intangible assets, net </w:t>
      </w:r>
      <w:r>
        <w:rPr>
          <w:rFonts w:ascii="Times New Roman" w:cs="Times New Roman" w:eastAsia="Times New Roman" w:hAnsi="Times New Roman"/>
          <w:sz w:val="12"/>
          <w:szCs w:val="12"/>
          <w:color w:val="auto"/>
        </w:rPr>
        <w:t>– Identifiable intangible assets consist of video material licenses, a web domain, patents, trademarks, customer relationships, non-compete agreements, and technology, which are stated at</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cost, with the exception of assets acquired in a business combination which are capitalized at their initial fair values, and are being amortized ratably over their estimated useful lives. Identifiable intangible assets are amortized over the following estimated useful lives:</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84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90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Estimated</w:t>
            </w:r>
          </w:p>
        </w:tc>
      </w:tr>
      <w:tr>
        <w:trPr>
          <w:trHeight w:val="155"/>
        </w:trPr>
        <w:tc>
          <w:tcPr>
            <w:tcW w:w="862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Asset</w:t>
            </w:r>
          </w:p>
        </w:tc>
        <w:tc>
          <w:tcPr>
            <w:tcW w:w="190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8"/>
              </w:rPr>
              <w:t>Useful Life</w:t>
            </w:r>
          </w:p>
        </w:tc>
      </w:tr>
      <w:tr>
        <w:trPr>
          <w:trHeight w:val="142"/>
        </w:trPr>
        <w:tc>
          <w:tcPr>
            <w:tcW w:w="842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900" w:type="dxa"/>
            <w:vAlign w:val="bottom"/>
            <w:tcBorders>
              <w:top w:val="single" w:sz="8" w:color="auto"/>
            </w:tcBorders>
          </w:tcPr>
          <w:p>
            <w:pPr>
              <w:spacing w:after="0"/>
              <w:rPr>
                <w:sz w:val="12"/>
                <w:szCs w:val="12"/>
                <w:color w:val="auto"/>
              </w:rPr>
            </w:pPr>
          </w:p>
        </w:tc>
      </w:tr>
      <w:tr>
        <w:trPr>
          <w:trHeight w:val="144"/>
        </w:trPr>
        <w:tc>
          <w:tcPr>
            <w:tcW w:w="8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Video material licenses</w:t>
            </w:r>
          </w:p>
        </w:tc>
        <w:tc>
          <w:tcPr>
            <w:tcW w:w="1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8"/>
              </w:rPr>
              <w:t>5 years</w:t>
            </w:r>
          </w:p>
        </w:tc>
      </w:tr>
      <w:tr>
        <w:trPr>
          <w:trHeight w:val="144"/>
        </w:trPr>
        <w:tc>
          <w:tcPr>
            <w:tcW w:w="862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Web domain</w:t>
            </w:r>
          </w:p>
        </w:tc>
        <w:tc>
          <w:tcPr>
            <w:tcW w:w="190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15 years</w:t>
            </w:r>
          </w:p>
        </w:tc>
      </w:tr>
      <w:tr>
        <w:trPr>
          <w:trHeight w:val="144"/>
        </w:trPr>
        <w:tc>
          <w:tcPr>
            <w:tcW w:w="8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Patents</w:t>
            </w:r>
          </w:p>
        </w:tc>
        <w:tc>
          <w:tcPr>
            <w:tcW w:w="1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rPr>
              <w:t>20 years</w:t>
            </w:r>
          </w:p>
        </w:tc>
      </w:tr>
      <w:tr>
        <w:trPr>
          <w:trHeight w:val="144"/>
        </w:trPr>
        <w:tc>
          <w:tcPr>
            <w:tcW w:w="862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Trademark</w:t>
            </w:r>
          </w:p>
        </w:tc>
        <w:tc>
          <w:tcPr>
            <w:tcW w:w="190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8"/>
              </w:rPr>
              <w:t>2 years</w:t>
            </w:r>
          </w:p>
        </w:tc>
      </w:tr>
      <w:tr>
        <w:trPr>
          <w:trHeight w:val="144"/>
        </w:trPr>
        <w:tc>
          <w:tcPr>
            <w:tcW w:w="8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Customer Relationships</w:t>
            </w:r>
          </w:p>
        </w:tc>
        <w:tc>
          <w:tcPr>
            <w:tcW w:w="1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8"/>
              </w:rPr>
              <w:t>3 years</w:t>
            </w:r>
          </w:p>
        </w:tc>
      </w:tr>
      <w:tr>
        <w:trPr>
          <w:trHeight w:val="144"/>
        </w:trPr>
        <w:tc>
          <w:tcPr>
            <w:tcW w:w="862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Existing Technology</w:t>
            </w:r>
          </w:p>
        </w:tc>
        <w:tc>
          <w:tcPr>
            <w:tcW w:w="190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8"/>
              </w:rPr>
              <w:t>5 years</w:t>
            </w:r>
          </w:p>
        </w:tc>
      </w:tr>
      <w:tr>
        <w:trPr>
          <w:trHeight w:val="144"/>
        </w:trPr>
        <w:tc>
          <w:tcPr>
            <w:tcW w:w="8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Non-Compete Agreements</w:t>
            </w:r>
          </w:p>
        </w:tc>
        <w:tc>
          <w:tcPr>
            <w:tcW w:w="1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8"/>
              </w:rPr>
              <w:t>3 years</w:t>
            </w:r>
          </w:p>
        </w:tc>
      </w:tr>
    </w:tbl>
    <w:p>
      <w:pPr>
        <w:spacing w:after="0" w:line="129"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2"/>
          <w:szCs w:val="12"/>
          <w:b w:val="1"/>
          <w:bCs w:val="1"/>
          <w:color w:val="auto"/>
        </w:rPr>
        <w:t xml:space="preserve">Impairment of long-lived assets </w:t>
      </w:r>
      <w:r>
        <w:rPr>
          <w:rFonts w:ascii="Times New Roman" w:cs="Times New Roman" w:eastAsia="Times New Roman" w:hAnsi="Times New Roman"/>
          <w:sz w:val="12"/>
          <w:szCs w:val="12"/>
          <w:color w:val="auto"/>
        </w:rPr>
        <w:t>– Management reviews long-lived assets, which includes property and equipment and identifiable definite lived intangible assets, for impairment when circumstances indicate the carrying</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amount of an asset may not be recoverable based on the undiscounted future cash flows of the asset. If the carrying amount of an asset may not be recoverable, a write-down to fair value is recorded. There were no impairment losses recognized during the year ended December 31, 2023.</w:t>
      </w:r>
    </w:p>
    <w:p>
      <w:pPr>
        <w:spacing w:after="0" w:line="11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2"/>
          <w:szCs w:val="12"/>
          <w:b w:val="1"/>
          <w:bCs w:val="1"/>
          <w:color w:val="auto"/>
        </w:rPr>
        <w:t xml:space="preserve">Stock-based compensation </w:t>
      </w:r>
      <w:r>
        <w:rPr>
          <w:rFonts w:ascii="Times New Roman" w:cs="Times New Roman" w:eastAsia="Times New Roman" w:hAnsi="Times New Roman"/>
          <w:sz w:val="12"/>
          <w:szCs w:val="12"/>
          <w:color w:val="auto"/>
        </w:rPr>
        <w:t>– The Company measures stock-based compensation to employees at the grant date and recognizes compensation expense over the requisite service period. Stock-based compensation costs are</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included in operating expenses in the consolidated statement of operations.</w:t>
      </w:r>
    </w:p>
    <w:p>
      <w:pPr>
        <w:spacing w:after="0" w:line="107"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2"/>
          <w:szCs w:val="1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-271145</wp:posOffset>
            </wp:positionH>
            <wp:positionV relativeFrom="paragraph">
              <wp:posOffset>10795</wp:posOffset>
            </wp:positionV>
            <wp:extent cx="7178040" cy="571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0880"/>
          </w:cols>
          <w:pgMar w:left="720" w:top="485" w:right="299" w:bottom="1440" w:gutter="0" w:footer="0" w:header="0"/>
        </w:sectPr>
      </w:pPr>
    </w:p>
    <w:bookmarkStart w:id="10" w:name="page11"/>
    <w:bookmarkEnd w:id="10"/>
    <w:p>
      <w:pPr>
        <w:jc w:val="both"/>
        <w:ind w:right="20"/>
        <w:spacing w:after="0" w:line="268" w:lineRule="auto"/>
        <w:rPr>
          <w:sz w:val="20"/>
          <w:szCs w:val="20"/>
          <w:color w:val="auto"/>
        </w:rPr>
      </w:pPr>
      <w:r>
        <w:rPr>
          <w:rFonts w:ascii="Times New Roman" w:cs="Times New Roman" w:eastAsia="Times New Roman" w:hAnsi="Times New Roman"/>
          <w:sz w:val="12"/>
          <w:szCs w:val="12"/>
          <w:b w:val="1"/>
          <w:bCs w:val="1"/>
          <w:color w:val="auto"/>
        </w:rPr>
        <w:t xml:space="preserve">Income taxes </w:t>
      </w:r>
      <w:r>
        <w:rPr>
          <w:rFonts w:ascii="Times New Roman" w:cs="Times New Roman" w:eastAsia="Times New Roman" w:hAnsi="Times New Roman"/>
          <w:sz w:val="12"/>
          <w:szCs w:val="12"/>
          <w:color w:val="auto"/>
        </w:rPr>
        <w:t>– ClearDoc, Inc. and Balloon Technologies, Inc. are corporations. The Company utilizes the asset and liability method of accounting for income taxes in accordance with ASC 740-10,</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i w:val="1"/>
          <w:iCs w:val="1"/>
          <w:color w:val="auto"/>
        </w:rPr>
        <w:t>Income Taxes</w:t>
      </w:r>
      <w:r>
        <w:rPr>
          <w:rFonts w:ascii="Times New Roman" w:cs="Times New Roman" w:eastAsia="Times New Roman" w:hAnsi="Times New Roman"/>
          <w:sz w:val="12"/>
          <w:szCs w:val="12"/>
          <w:color w:val="auto"/>
        </w:rPr>
        <w:t>, under which</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deferred income taxes are determined based on the temporary differences between the financial statements and income tax basis of assets and liabilities using tax rates expected to be in effect during the years in which the basis differences reverse. A valuation allowance is recorded when it is more likely than not that some of the deferred income tax assets will not be realized.</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As the Company has net operating loss carry forwards for federal and state purposes, the statute of limitations remains open for all tax years to the extent the tax attributes are carried forward into future tax years.</w:t>
      </w:r>
    </w:p>
    <w:p>
      <w:pPr>
        <w:spacing w:after="0" w:line="14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2"/>
          <w:szCs w:val="12"/>
          <w:color w:val="auto"/>
        </w:rPr>
        <w:t xml:space="preserve">The Company has adopted the standards requiring disclosure of uncertain income tax positions under ASC 740, </w:t>
      </w:r>
      <w:r>
        <w:rPr>
          <w:rFonts w:ascii="Times New Roman" w:cs="Times New Roman" w:eastAsia="Times New Roman" w:hAnsi="Times New Roman"/>
          <w:sz w:val="12"/>
          <w:szCs w:val="12"/>
          <w:i w:val="1"/>
          <w:iCs w:val="1"/>
          <w:color w:val="auto"/>
        </w:rPr>
        <w:t>Income Taxes</w:t>
      </w:r>
      <w:r>
        <w:rPr>
          <w:rFonts w:ascii="Times New Roman" w:cs="Times New Roman" w:eastAsia="Times New Roman" w:hAnsi="Times New Roman"/>
          <w:sz w:val="12"/>
          <w:szCs w:val="12"/>
          <w:color w:val="auto"/>
        </w:rPr>
        <w:t>. A company may recognize the tax benefit from an uncertain tax position only if it is more likely than not that the tax position will be sustained on examination by taxing authorities, based on the technical merits of the position. The tax benefits recognized in the financial statements from such a position are measured on the largest benefit that has a greater than 50% likelihood of being realized upon settlement. The Company has not identified any tax positions which are considered to be uncertain. There has been no interest or penalties recognized in the financial statements.</w:t>
      </w:r>
    </w:p>
    <w:p>
      <w:pPr>
        <w:spacing w:after="0" w:line="122"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2"/>
          <w:szCs w:val="12"/>
          <w:color w:val="auto"/>
        </w:rPr>
        <w:t>In addition, no tax positions exist for which it is reasonably possible that the total amounts of unrecognized tax benefits will significantly increase or decrease within the next 12 months. The Company files income tax returns in the U.S. federal jurisdiction and in various state jurisdictions. With few exceptions, the Company is no longer subject to income tax examination by the U.S. federal, state or local tax authorities for years before 2020. As the Company has indefinite lived net operating losses, the statute of limitations remains open until three years after the net operating losses are utilized.</w:t>
      </w:r>
    </w:p>
    <w:p>
      <w:pPr>
        <w:spacing w:after="0" w:line="11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2"/>
          <w:szCs w:val="12"/>
          <w:b w:val="1"/>
          <w:bCs w:val="1"/>
          <w:color w:val="auto"/>
        </w:rPr>
        <w:t xml:space="preserve">Revenue recognition </w:t>
      </w:r>
      <w:r>
        <w:rPr>
          <w:rFonts w:ascii="Times New Roman" w:cs="Times New Roman" w:eastAsia="Times New Roman" w:hAnsi="Times New Roman"/>
          <w:sz w:val="12"/>
          <w:szCs w:val="12"/>
          <w:color w:val="auto"/>
        </w:rPr>
        <w:t>– The Company primarily derives its revenues using a SaaS subscription model. Revenues are recognized by completing a five-step process: 1) identifying the contract with a customer, 2) identifying the</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performance obligations in the contract, 3) determining the transaction price, 4) allocating the transaction price to the performance obligations, and 5) recognizing revenue when or as the performance obligation is satisfied.</w:t>
      </w:r>
    </w:p>
    <w:p>
      <w:pPr>
        <w:spacing w:after="0" w:line="107"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2"/>
          <w:szCs w:val="12"/>
          <w:color w:val="auto"/>
        </w:rPr>
        <w:t>The Company primarily enters into fixed price subscription contracts with customers. Customers have the option of entering into monthly, one-year, or multi-year service agreements, which auto-renew without discount for additional periods of the same duration as the initial term, unless either party requests termination in writing at least thirty days prior to the end of the initial service term. Subscription revenues are recognized ratably over the term of the service agreement, which is considered an output method, as the obligation of hosting the SaaS product is fulfilled over the course of the agreement. The Company does not charge for implementation or recognize any revenues upfront due to the minimal effort required.</w:t>
      </w:r>
    </w:p>
    <w:p>
      <w:pPr>
        <w:spacing w:after="0" w:line="122"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2"/>
          <w:szCs w:val="12"/>
          <w:color w:val="auto"/>
        </w:rPr>
        <w:t>Deferred revenue results from advance cash receipts from customers or advance billings of customers at the inception of the billing period for subscriptions and is recognized as revenue when revenue recognition criteria are met. Deferred revenue represents contract liabilities.</w:t>
      </w:r>
    </w:p>
    <w:p>
      <w:pPr>
        <w:spacing w:after="0" w:line="111"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2"/>
          <w:szCs w:val="1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-271145</wp:posOffset>
            </wp:positionH>
            <wp:positionV relativeFrom="paragraph">
              <wp:posOffset>10795</wp:posOffset>
            </wp:positionV>
            <wp:extent cx="7178040" cy="57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0880"/>
          </w:cols>
          <w:pgMar w:left="720" w:top="485" w:right="299"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159"/>
        </w:trPr>
        <w:tc>
          <w:tcPr>
            <w:tcW w:w="696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 xml:space="preserve">Revenue recognition (continued) </w:t>
            </w:r>
            <w:r>
              <w:rPr>
                <w:rFonts w:ascii="Times New Roman" w:cs="Times New Roman" w:eastAsia="Times New Roman" w:hAnsi="Times New Roman"/>
                <w:sz w:val="12"/>
                <w:szCs w:val="12"/>
                <w:color w:val="auto"/>
              </w:rPr>
              <w:t>– The beginning and ending contract balances are as follows:</w:t>
            </w:r>
          </w:p>
        </w:tc>
        <w:tc>
          <w:tcPr>
            <w:tcW w:w="2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86"/>
        </w:trPr>
        <w:tc>
          <w:tcPr>
            <w:tcW w:w="6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60" w:type="dxa"/>
            <w:vAlign w:val="bottom"/>
            <w:gridSpan w:val="2"/>
          </w:tcPr>
          <w:p>
            <w:pPr>
              <w:ind w:left="200"/>
              <w:spacing w:after="0"/>
              <w:rPr>
                <w:sz w:val="20"/>
                <w:szCs w:val="20"/>
                <w:color w:val="auto"/>
              </w:rPr>
            </w:pPr>
            <w:r>
              <w:rPr>
                <w:rFonts w:ascii="Times New Roman" w:cs="Times New Roman" w:eastAsia="Times New Roman" w:hAnsi="Times New Roman"/>
                <w:sz w:val="12"/>
                <w:szCs w:val="12"/>
                <w:color w:val="auto"/>
              </w:rPr>
              <w:t>December 31,</w:t>
            </w:r>
          </w:p>
        </w:tc>
        <w:tc>
          <w:tcPr>
            <w:tcW w:w="280" w:type="dxa"/>
            <w:vAlign w:val="bottom"/>
          </w:tcPr>
          <w:p>
            <w:pPr>
              <w:spacing w:after="0"/>
              <w:rPr>
                <w:sz w:val="24"/>
                <w:szCs w:val="24"/>
                <w:color w:val="auto"/>
              </w:rPr>
            </w:pPr>
          </w:p>
        </w:tc>
        <w:tc>
          <w:tcPr>
            <w:tcW w:w="1380" w:type="dxa"/>
            <w:vAlign w:val="bottom"/>
            <w:gridSpan w:val="2"/>
          </w:tcPr>
          <w:p>
            <w:pPr>
              <w:ind w:left="240"/>
              <w:spacing w:after="0"/>
              <w:rPr>
                <w:sz w:val="20"/>
                <w:szCs w:val="20"/>
                <w:color w:val="auto"/>
              </w:rPr>
            </w:pPr>
            <w:r>
              <w:rPr>
                <w:rFonts w:ascii="Times New Roman" w:cs="Times New Roman" w:eastAsia="Times New Roman" w:hAnsi="Times New Roman"/>
                <w:sz w:val="12"/>
                <w:szCs w:val="12"/>
                <w:color w:val="auto"/>
              </w:rPr>
              <w:t>January 1,</w:t>
            </w:r>
          </w:p>
        </w:tc>
      </w:tr>
      <w:tr>
        <w:trPr>
          <w:trHeight w:val="155"/>
        </w:trPr>
        <w:tc>
          <w:tcPr>
            <w:tcW w:w="696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tcPr>
          <w:p>
            <w:pPr>
              <w:jc w:val="right"/>
              <w:ind w:right="620"/>
              <w:spacing w:after="0"/>
              <w:rPr>
                <w:sz w:val="20"/>
                <w:szCs w:val="20"/>
                <w:color w:val="auto"/>
              </w:rPr>
            </w:pPr>
            <w:r>
              <w:rPr>
                <w:rFonts w:ascii="Times New Roman" w:cs="Times New Roman" w:eastAsia="Times New Roman" w:hAnsi="Times New Roman"/>
                <w:sz w:val="12"/>
                <w:szCs w:val="12"/>
                <w:color w:val="auto"/>
              </w:rPr>
              <w:t>2023</w:t>
            </w:r>
          </w:p>
        </w:tc>
        <w:tc>
          <w:tcPr>
            <w:tcW w:w="320" w:type="dxa"/>
            <w:vAlign w:val="bottom"/>
            <w:tcBorders>
              <w:bottom w:val="single" w:sz="8" w:color="CCEE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jc w:val="right"/>
              <w:ind w:right="600"/>
              <w:spacing w:after="0"/>
              <w:rPr>
                <w:sz w:val="20"/>
                <w:szCs w:val="20"/>
                <w:color w:val="auto"/>
              </w:rPr>
            </w:pPr>
            <w:r>
              <w:rPr>
                <w:rFonts w:ascii="Times New Roman" w:cs="Times New Roman" w:eastAsia="Times New Roman" w:hAnsi="Times New Roman"/>
                <w:sz w:val="12"/>
                <w:szCs w:val="12"/>
                <w:color w:val="auto"/>
              </w:rPr>
              <w:t>2023</w:t>
            </w:r>
          </w:p>
        </w:tc>
        <w:tc>
          <w:tcPr>
            <w:tcW w:w="100" w:type="dxa"/>
            <w:vAlign w:val="bottom"/>
            <w:tcBorders>
              <w:bottom w:val="single" w:sz="8" w:color="CCEEFF"/>
            </w:tcBorders>
          </w:tcPr>
          <w:p>
            <w:pPr>
              <w:spacing w:after="0"/>
              <w:rPr>
                <w:sz w:val="13"/>
                <w:szCs w:val="13"/>
                <w:color w:val="auto"/>
              </w:rPr>
            </w:pPr>
          </w:p>
        </w:tc>
      </w:tr>
      <w:tr>
        <w:trPr>
          <w:trHeight w:val="133"/>
        </w:trPr>
        <w:tc>
          <w:tcPr>
            <w:tcW w:w="696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Accounts receivable, net</w:t>
            </w:r>
          </w:p>
        </w:tc>
        <w:tc>
          <w:tcPr>
            <w:tcW w:w="240" w:type="dxa"/>
            <w:vAlign w:val="bottom"/>
            <w:shd w:val="clear" w:color="auto" w:fill="CCEEFF"/>
          </w:tcPr>
          <w:p>
            <w:pPr>
              <w:jc w:val="right"/>
              <w:ind w:right="126"/>
              <w:spacing w:after="0"/>
              <w:rPr>
                <w:sz w:val="20"/>
                <w:szCs w:val="20"/>
                <w:color w:val="auto"/>
              </w:rPr>
            </w:pPr>
            <w:r>
              <w:rPr>
                <w:rFonts w:ascii="Times New Roman" w:cs="Times New Roman" w:eastAsia="Times New Roman" w:hAnsi="Times New Roman"/>
                <w:sz w:val="11"/>
                <w:szCs w:val="11"/>
                <w:color w:val="auto"/>
                <w:w w:val="71"/>
              </w:rPr>
              <w:t>$</w:t>
            </w:r>
          </w:p>
        </w:tc>
        <w:tc>
          <w:tcPr>
            <w:tcW w:w="134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810,408</w:t>
            </w:r>
          </w:p>
        </w:tc>
        <w:tc>
          <w:tcPr>
            <w:tcW w:w="320" w:type="dxa"/>
            <w:vAlign w:val="bottom"/>
            <w:shd w:val="clear" w:color="auto" w:fill="CCEEFF"/>
          </w:tcPr>
          <w:p>
            <w:pPr>
              <w:spacing w:after="0"/>
              <w:rPr>
                <w:sz w:val="11"/>
                <w:szCs w:val="11"/>
                <w:color w:val="auto"/>
              </w:rPr>
            </w:pPr>
          </w:p>
        </w:tc>
        <w:tc>
          <w:tcPr>
            <w:tcW w:w="280" w:type="dxa"/>
            <w:vAlign w:val="bottom"/>
            <w:shd w:val="clear" w:color="auto" w:fill="CCEEFF"/>
          </w:tcPr>
          <w:p>
            <w:pPr>
              <w:jc w:val="right"/>
              <w:ind w:right="166"/>
              <w:spacing w:after="0"/>
              <w:rPr>
                <w:sz w:val="20"/>
                <w:szCs w:val="20"/>
                <w:color w:val="auto"/>
              </w:rPr>
            </w:pPr>
            <w:r>
              <w:rPr>
                <w:rFonts w:ascii="Times New Roman" w:cs="Times New Roman" w:eastAsia="Times New Roman" w:hAnsi="Times New Roman"/>
                <w:sz w:val="11"/>
                <w:szCs w:val="11"/>
                <w:color w:val="auto"/>
                <w:w w:val="71"/>
              </w:rPr>
              <w:t>$</w:t>
            </w:r>
          </w:p>
        </w:tc>
        <w:tc>
          <w:tcPr>
            <w:tcW w:w="128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915,946</w:t>
            </w:r>
          </w:p>
        </w:tc>
        <w:tc>
          <w:tcPr>
            <w:tcW w:w="100" w:type="dxa"/>
            <w:vAlign w:val="bottom"/>
            <w:shd w:val="clear" w:color="auto" w:fill="CCEEFF"/>
          </w:tcPr>
          <w:p>
            <w:pPr>
              <w:spacing w:after="0"/>
              <w:rPr>
                <w:sz w:val="11"/>
                <w:szCs w:val="11"/>
                <w:color w:val="auto"/>
              </w:rPr>
            </w:pPr>
          </w:p>
        </w:tc>
      </w:tr>
      <w:tr>
        <w:trPr>
          <w:trHeight w:val="144"/>
        </w:trPr>
        <w:tc>
          <w:tcPr>
            <w:tcW w:w="6960" w:type="dxa"/>
            <w:vAlign w:val="bottom"/>
          </w:tcPr>
          <w:p>
            <w:pPr>
              <w:spacing w:after="0"/>
              <w:rPr>
                <w:sz w:val="20"/>
                <w:szCs w:val="20"/>
                <w:color w:val="auto"/>
              </w:rPr>
            </w:pPr>
            <w:r>
              <w:rPr>
                <w:rFonts w:ascii="Times New Roman" w:cs="Times New Roman" w:eastAsia="Times New Roman" w:hAnsi="Times New Roman"/>
                <w:sz w:val="12"/>
                <w:szCs w:val="12"/>
                <w:color w:val="auto"/>
              </w:rPr>
              <w:t>Deferred sales commissions</w:t>
            </w:r>
          </w:p>
        </w:tc>
        <w:tc>
          <w:tcPr>
            <w:tcW w:w="240" w:type="dxa"/>
            <w:vAlign w:val="bottom"/>
          </w:tcPr>
          <w:p>
            <w:pPr>
              <w:jc w:val="right"/>
              <w:ind w:right="126"/>
              <w:spacing w:after="0"/>
              <w:rPr>
                <w:sz w:val="20"/>
                <w:szCs w:val="20"/>
                <w:color w:val="auto"/>
              </w:rPr>
            </w:pPr>
            <w:r>
              <w:rPr>
                <w:rFonts w:ascii="Times New Roman" w:cs="Times New Roman" w:eastAsia="Times New Roman" w:hAnsi="Times New Roman"/>
                <w:sz w:val="11"/>
                <w:szCs w:val="11"/>
                <w:color w:val="auto"/>
                <w:w w:val="71"/>
              </w:rPr>
              <w:t>$</w:t>
            </w:r>
          </w:p>
        </w:tc>
        <w:tc>
          <w:tcPr>
            <w:tcW w:w="1660" w:type="dxa"/>
            <w:vAlign w:val="bottom"/>
            <w:gridSpan w:val="2"/>
          </w:tcPr>
          <w:p>
            <w:pPr>
              <w:jc w:val="right"/>
              <w:ind w:right="320"/>
              <w:spacing w:after="0"/>
              <w:rPr>
                <w:sz w:val="20"/>
                <w:szCs w:val="20"/>
                <w:color w:val="auto"/>
              </w:rPr>
            </w:pPr>
            <w:r>
              <w:rPr>
                <w:rFonts w:ascii="Times New Roman" w:cs="Times New Roman" w:eastAsia="Times New Roman" w:hAnsi="Times New Roman"/>
                <w:sz w:val="12"/>
                <w:szCs w:val="12"/>
                <w:color w:val="auto"/>
              </w:rPr>
              <w:t>1,011,218</w:t>
            </w:r>
          </w:p>
        </w:tc>
        <w:tc>
          <w:tcPr>
            <w:tcW w:w="280" w:type="dxa"/>
            <w:vAlign w:val="bottom"/>
          </w:tcPr>
          <w:p>
            <w:pPr>
              <w:jc w:val="right"/>
              <w:ind w:right="166"/>
              <w:spacing w:after="0"/>
              <w:rPr>
                <w:sz w:val="20"/>
                <w:szCs w:val="20"/>
                <w:color w:val="auto"/>
              </w:rPr>
            </w:pPr>
            <w:r>
              <w:rPr>
                <w:rFonts w:ascii="Times New Roman" w:cs="Times New Roman" w:eastAsia="Times New Roman" w:hAnsi="Times New Roman"/>
                <w:sz w:val="11"/>
                <w:szCs w:val="11"/>
                <w:color w:val="auto"/>
                <w:w w:val="71"/>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1,372,536</w:t>
            </w:r>
          </w:p>
        </w:tc>
        <w:tc>
          <w:tcPr>
            <w:tcW w:w="100" w:type="dxa"/>
            <w:vAlign w:val="bottom"/>
          </w:tcPr>
          <w:p>
            <w:pPr>
              <w:spacing w:after="0"/>
              <w:rPr>
                <w:sz w:val="12"/>
                <w:szCs w:val="12"/>
                <w:color w:val="auto"/>
              </w:rPr>
            </w:pPr>
          </w:p>
        </w:tc>
      </w:tr>
      <w:tr>
        <w:trPr>
          <w:trHeight w:val="144"/>
        </w:trPr>
        <w:tc>
          <w:tcPr>
            <w:tcW w:w="69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Deferred revenue</w:t>
            </w:r>
          </w:p>
        </w:tc>
        <w:tc>
          <w:tcPr>
            <w:tcW w:w="240" w:type="dxa"/>
            <w:vAlign w:val="bottom"/>
            <w:shd w:val="clear" w:color="auto" w:fill="CCEEFF"/>
          </w:tcPr>
          <w:p>
            <w:pPr>
              <w:jc w:val="right"/>
              <w:ind w:right="126"/>
              <w:spacing w:after="0"/>
              <w:rPr>
                <w:sz w:val="20"/>
                <w:szCs w:val="20"/>
                <w:color w:val="auto"/>
              </w:rPr>
            </w:pPr>
            <w:r>
              <w:rPr>
                <w:rFonts w:ascii="Times New Roman" w:cs="Times New Roman" w:eastAsia="Times New Roman" w:hAnsi="Times New Roman"/>
                <w:sz w:val="11"/>
                <w:szCs w:val="11"/>
                <w:color w:val="auto"/>
                <w:w w:val="71"/>
              </w:rPr>
              <w:t>$</w:t>
            </w:r>
          </w:p>
        </w:tc>
        <w:tc>
          <w:tcPr>
            <w:tcW w:w="16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2"/>
                <w:szCs w:val="12"/>
                <w:color w:val="auto"/>
              </w:rPr>
              <w:t>3,171,874</w:t>
            </w:r>
          </w:p>
        </w:tc>
        <w:tc>
          <w:tcPr>
            <w:tcW w:w="280" w:type="dxa"/>
            <w:vAlign w:val="bottom"/>
            <w:shd w:val="clear" w:color="auto" w:fill="CCEEFF"/>
          </w:tcPr>
          <w:p>
            <w:pPr>
              <w:jc w:val="right"/>
              <w:ind w:right="166"/>
              <w:spacing w:after="0"/>
              <w:rPr>
                <w:sz w:val="20"/>
                <w:szCs w:val="20"/>
                <w:color w:val="auto"/>
              </w:rPr>
            </w:pPr>
            <w:r>
              <w:rPr>
                <w:rFonts w:ascii="Times New Roman" w:cs="Times New Roman" w:eastAsia="Times New Roman" w:hAnsi="Times New Roman"/>
                <w:sz w:val="11"/>
                <w:szCs w:val="11"/>
                <w:color w:val="auto"/>
                <w:w w:val="71"/>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3,764,428</w:t>
            </w:r>
          </w:p>
        </w:tc>
        <w:tc>
          <w:tcPr>
            <w:tcW w:w="100" w:type="dxa"/>
            <w:vAlign w:val="bottom"/>
            <w:shd w:val="clear" w:color="auto" w:fill="CCEEFF"/>
          </w:tcPr>
          <w:p>
            <w:pPr>
              <w:spacing w:after="0"/>
              <w:rPr>
                <w:sz w:val="12"/>
                <w:szCs w:val="12"/>
                <w:color w:val="auto"/>
              </w:rPr>
            </w:pPr>
          </w:p>
        </w:tc>
      </w:tr>
    </w:tbl>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Of the $3,764,428 deferred revenue opening balance as of January 1, 2023, $3,619,497 was recognized as revenue in 2023.</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xml:space="preserve">The following FASB ASC 606, </w:t>
      </w:r>
      <w:r>
        <w:rPr>
          <w:rFonts w:ascii="Times New Roman" w:cs="Times New Roman" w:eastAsia="Times New Roman" w:hAnsi="Times New Roman"/>
          <w:sz w:val="12"/>
          <w:szCs w:val="12"/>
          <w:i w:val="1"/>
          <w:iCs w:val="1"/>
          <w:color w:val="auto"/>
        </w:rPr>
        <w:t>Revenue from Contracts with Customers</w:t>
      </w:r>
      <w:r>
        <w:rPr>
          <w:rFonts w:ascii="Times New Roman" w:cs="Times New Roman" w:eastAsia="Times New Roman" w:hAnsi="Times New Roman"/>
          <w:sz w:val="12"/>
          <w:szCs w:val="12"/>
          <w:color w:val="auto"/>
        </w:rPr>
        <w:t>, practical expedients are utilized:</w:t>
      </w:r>
    </w:p>
    <w:p>
      <w:pPr>
        <w:spacing w:after="0" w:line="152" w:lineRule="exact"/>
        <w:rPr>
          <w:sz w:val="20"/>
          <w:szCs w:val="20"/>
          <w:color w:val="auto"/>
        </w:rPr>
      </w:pPr>
    </w:p>
    <w:p>
      <w:pPr>
        <w:ind w:left="660" w:hanging="440"/>
        <w:spacing w:after="0" w:line="259" w:lineRule="auto"/>
        <w:tabs>
          <w:tab w:leader="none" w:pos="660" w:val="left"/>
        </w:tabs>
        <w:numPr>
          <w:ilvl w:val="0"/>
          <w:numId w:val="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When an unconditional right to consideration from a customer in an amount that corresponds directly with the value of performance completed to date exists, revenue is recognized equal to the amount to which there is a right to invoice for services performed.</w:t>
      </w:r>
    </w:p>
    <w:p>
      <w:pPr>
        <w:spacing w:after="0" w:line="1" w:lineRule="exact"/>
        <w:rPr>
          <w:rFonts w:ascii="Times New Roman" w:cs="Times New Roman" w:eastAsia="Times New Roman" w:hAnsi="Times New Roman"/>
          <w:sz w:val="12"/>
          <w:szCs w:val="12"/>
          <w:color w:val="auto"/>
        </w:rPr>
      </w:pPr>
    </w:p>
    <w:p>
      <w:pPr>
        <w:ind w:left="660" w:hanging="440"/>
        <w:spacing w:after="0"/>
        <w:tabs>
          <w:tab w:leader="none" w:pos="660" w:val="left"/>
        </w:tabs>
        <w:numPr>
          <w:ilvl w:val="0"/>
          <w:numId w:val="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When the Company transfers goods or services to a customer and payment from the customer is expected within one year or less, a significant financing component is presumed not to exist.</w:t>
      </w:r>
    </w:p>
    <w:p>
      <w:pPr>
        <w:spacing w:after="0" w:line="6" w:lineRule="exact"/>
        <w:rPr>
          <w:rFonts w:ascii="Times New Roman" w:cs="Times New Roman" w:eastAsia="Times New Roman" w:hAnsi="Times New Roman"/>
          <w:sz w:val="12"/>
          <w:szCs w:val="12"/>
          <w:color w:val="auto"/>
        </w:rPr>
      </w:pPr>
    </w:p>
    <w:p>
      <w:pPr>
        <w:ind w:left="660" w:right="20" w:hanging="440"/>
        <w:spacing w:after="0" w:line="260" w:lineRule="auto"/>
        <w:tabs>
          <w:tab w:leader="none" w:pos="660" w:val="left"/>
        </w:tabs>
        <w:numPr>
          <w:ilvl w:val="0"/>
          <w:numId w:val="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As a result of an accounting policy election, all taxes assessed by governmental authorities that are collected by the Company from its customers (use taxes, value added taxes, some excise taxes), are excluded from the measurement of the transaction price.</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 xml:space="preserve">A/R Concentration </w:t>
      </w:r>
      <w:r>
        <w:rPr>
          <w:rFonts w:ascii="Times New Roman" w:cs="Times New Roman" w:eastAsia="Times New Roman" w:hAnsi="Times New Roman"/>
          <w:sz w:val="12"/>
          <w:szCs w:val="12"/>
          <w:color w:val="auto"/>
        </w:rPr>
        <w:t>– One customer accounted for 10% or more of accounts receivable with concentration of 12% of the total accounts receivable balance as of December 31, 2023.</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 xml:space="preserve">Cost of revenue </w:t>
      </w:r>
      <w:r>
        <w:rPr>
          <w:rFonts w:ascii="Times New Roman" w:cs="Times New Roman" w:eastAsia="Times New Roman" w:hAnsi="Times New Roman"/>
          <w:sz w:val="12"/>
          <w:szCs w:val="12"/>
          <w:color w:val="auto"/>
        </w:rPr>
        <w:t>– Cost of revenue primarily consists of salaries and wages, hosting, and other software expenses associated with providing services to customers.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 xml:space="preserve">Advertising costs </w:t>
      </w:r>
      <w:r>
        <w:rPr>
          <w:rFonts w:ascii="Times New Roman" w:cs="Times New Roman" w:eastAsia="Times New Roman" w:hAnsi="Times New Roman"/>
          <w:sz w:val="12"/>
          <w:szCs w:val="12"/>
          <w:color w:val="auto"/>
        </w:rPr>
        <w:t>– Advertising costs are expensed when incurred. Advertising expense for the year ended December 31, 2023, was $283,950.</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 xml:space="preserve">R&amp;D costs </w:t>
      </w:r>
      <w:r>
        <w:rPr>
          <w:rFonts w:ascii="Times New Roman" w:cs="Times New Roman" w:eastAsia="Times New Roman" w:hAnsi="Times New Roman"/>
          <w:sz w:val="12"/>
          <w:szCs w:val="12"/>
          <w:color w:val="auto"/>
        </w:rPr>
        <w:t>– R&amp;D costs are expensed when incurred. R&amp;D expense for the year ended December 31, 2023, was $2,540,002.</w:t>
      </w:r>
    </w:p>
    <w:p>
      <w:pPr>
        <w:spacing w:after="0" w:line="15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2"/>
          <w:szCs w:val="12"/>
          <w:b w:val="1"/>
          <w:bCs w:val="1"/>
          <w:color w:val="auto"/>
        </w:rPr>
        <w:t xml:space="preserve">Leases </w:t>
      </w:r>
      <w:r>
        <w:rPr>
          <w:rFonts w:ascii="Times New Roman" w:cs="Times New Roman" w:eastAsia="Times New Roman" w:hAnsi="Times New Roman"/>
          <w:sz w:val="12"/>
          <w:szCs w:val="12"/>
          <w:color w:val="auto"/>
        </w:rPr>
        <w:t>– The Company determines if an arrangement is a lease at inception. Operating leases are included in operating lease right-of-use (“ROU”) assets, other current liabilities, and operating lease liabilities on the</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consolidated balance sheet.</w:t>
      </w:r>
    </w:p>
    <w:p>
      <w:pPr>
        <w:spacing w:after="0" w:line="107"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2"/>
          <w:szCs w:val="12"/>
          <w:color w:val="auto"/>
        </w:rPr>
        <w:t>Operating lease ROU assets and operating lease liabilities are recognized based on the present value of the lease payments over the lease term at commencement date. The operating lease ROU asset also includes initial direct costs incurred by the lessee and any lease payments made to the lessor before the commencement date and exclude any lease incentives received.</w:t>
      </w:r>
    </w:p>
    <w:p>
      <w:pPr>
        <w:spacing w:after="0" w:line="111" w:lineRule="exact"/>
        <w:rPr>
          <w:sz w:val="20"/>
          <w:szCs w:val="20"/>
          <w:color w:val="auto"/>
        </w:rPr>
      </w:pPr>
    </w:p>
    <w:p>
      <w:pPr>
        <w:jc w:val="both"/>
        <w:ind w:right="20"/>
        <w:spacing w:after="0" w:line="279" w:lineRule="auto"/>
        <w:rPr>
          <w:sz w:val="20"/>
          <w:szCs w:val="20"/>
          <w:color w:val="auto"/>
        </w:rPr>
      </w:pPr>
      <w:r>
        <w:rPr>
          <w:rFonts w:ascii="Times New Roman" w:cs="Times New Roman" w:eastAsia="Times New Roman" w:hAnsi="Times New Roman"/>
          <w:sz w:val="12"/>
          <w:szCs w:val="12"/>
          <w:color w:val="auto"/>
        </w:rPr>
        <w:t>The lease terms consist of the following: any non-cancelable periods, periods covered by an option to extend the lease if the Company is reasonably certain to exercise that option and periods covered by an option to terminate the lease if the Company is reasonably certain not to exercise that option.</w:t>
      </w:r>
    </w:p>
    <w:p>
      <w:pPr>
        <w:spacing w:after="0" w:line="111"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2"/>
          <w:szCs w:val="12"/>
          <w:color w:val="auto"/>
        </w:rPr>
        <w:t>The Company elected to apply the short-term lease exception for all applicable classes of underlying assets. Leases, with an initial term of 12 months or less, that do not include an option to purchase the underlying assets that are reasonably certain to be exercised, are not recorded on the consolidated balance sheet. The Company’s short-term lease costs do not reflect ongoing short-term lease commitments. Total short-term lease expense, included in operating expense, for the year ended December 31, 2023, was $4,849.</w:t>
      </w:r>
    </w:p>
    <w:p>
      <w:pPr>
        <w:spacing w:after="0" w:line="119"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2"/>
          <w:szCs w:val="1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-271145</wp:posOffset>
            </wp:positionH>
            <wp:positionV relativeFrom="paragraph">
              <wp:posOffset>10795</wp:posOffset>
            </wp:positionV>
            <wp:extent cx="7178040" cy="57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0880"/>
          </w:cols>
          <w:pgMar w:left="720" w:top="485" w:right="299" w:bottom="1440" w:gutter="0" w:footer="0" w:header="0"/>
        </w:sectPr>
      </w:pPr>
    </w:p>
    <w:bookmarkStart w:id="12" w:name="page13"/>
    <w:bookmarkEnd w:id="12"/>
    <w:p>
      <w:pPr>
        <w:jc w:val="both"/>
        <w:ind w:left="420"/>
        <w:spacing w:after="0" w:line="268" w:lineRule="auto"/>
        <w:rPr>
          <w:sz w:val="20"/>
          <w:szCs w:val="20"/>
          <w:color w:val="auto"/>
        </w:rPr>
      </w:pPr>
      <w:r>
        <w:rPr>
          <w:rFonts w:ascii="Times New Roman" w:cs="Times New Roman" w:eastAsia="Times New Roman" w:hAnsi="Times New Roman"/>
          <w:sz w:val="12"/>
          <w:szCs w:val="12"/>
          <w:b w:val="1"/>
          <w:bCs w:val="1"/>
          <w:color w:val="auto"/>
        </w:rPr>
        <w:t xml:space="preserve">Going concern assessment </w:t>
      </w:r>
      <w:r>
        <w:rPr>
          <w:rFonts w:ascii="Times New Roman" w:cs="Times New Roman" w:eastAsia="Times New Roman" w:hAnsi="Times New Roman"/>
          <w:sz w:val="12"/>
          <w:szCs w:val="12"/>
          <w:color w:val="auto"/>
        </w:rPr>
        <w:t>– Management annually evaluates whether there are conditions or events, considered in the aggregate, that indicate it is probable that substantial doubt about the Company’s ability to continue as a</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going concern exists within one year of the date that the financial statements are available to be issued. This evaluation is based on relevant conditions and events that are known or reasonably knowable on the date that the financial statements are available to be issued.</w:t>
      </w:r>
    </w:p>
    <w:p>
      <w:pPr>
        <w:spacing w:after="0" w:line="118" w:lineRule="exact"/>
        <w:rPr>
          <w:sz w:val="20"/>
          <w:szCs w:val="20"/>
          <w:color w:val="auto"/>
        </w:rPr>
      </w:pPr>
    </w:p>
    <w:p>
      <w:pPr>
        <w:jc w:val="both"/>
        <w:ind w:left="420"/>
        <w:spacing w:after="0" w:line="257" w:lineRule="auto"/>
        <w:rPr>
          <w:sz w:val="20"/>
          <w:szCs w:val="20"/>
          <w:color w:val="auto"/>
        </w:rPr>
      </w:pPr>
      <w:r>
        <w:rPr>
          <w:rFonts w:ascii="Times New Roman" w:cs="Times New Roman" w:eastAsia="Times New Roman" w:hAnsi="Times New Roman"/>
          <w:sz w:val="12"/>
          <w:szCs w:val="12"/>
          <w:color w:val="auto"/>
        </w:rPr>
        <w:t>As a growth stage company, in accordance with the plan to grow the business, the Company has historically relied upon financing from its majority owner for significant investments across all functional areas and therefore has not generated operating cash flow sufficiently to support the business. Management expects that its existing cash on hand and cash flows generated from operations combined with additional cost-cutting measures, if necessary, will provide sufficient liquidity to fund the operations of the Company for 12 months from the date these financial statements are available to be issued. There are market and macro conditions that could affect actual results and if the Company is unable to achieve planned revenue increases or sufficient expense reductions to provide cash flows to maintain operations or compliance with debt covenants, then the Company will need to raise additional capital or debt.</w:t>
      </w:r>
    </w:p>
    <w:p>
      <w:pPr>
        <w:spacing w:after="0" w:line="121" w:lineRule="exact"/>
        <w:rPr>
          <w:sz w:val="20"/>
          <w:szCs w:val="20"/>
          <w:color w:val="auto"/>
        </w:rPr>
      </w:pPr>
    </w:p>
    <w:p>
      <w:pPr>
        <w:jc w:val="both"/>
        <w:ind w:left="420"/>
        <w:spacing w:after="0" w:line="257" w:lineRule="auto"/>
        <w:rPr>
          <w:sz w:val="20"/>
          <w:szCs w:val="20"/>
          <w:color w:val="auto"/>
        </w:rPr>
      </w:pPr>
      <w:r>
        <w:rPr>
          <w:rFonts w:ascii="Times New Roman" w:cs="Times New Roman" w:eastAsia="Times New Roman" w:hAnsi="Times New Roman"/>
          <w:sz w:val="12"/>
          <w:szCs w:val="12"/>
          <w:b w:val="1"/>
          <w:bCs w:val="1"/>
          <w:color w:val="auto"/>
        </w:rPr>
        <w:t xml:space="preserve">Accounting for acquisitions </w:t>
      </w:r>
      <w:r>
        <w:rPr>
          <w:rFonts w:ascii="Times New Roman" w:cs="Times New Roman" w:eastAsia="Times New Roman" w:hAnsi="Times New Roman"/>
          <w:sz w:val="12"/>
          <w:szCs w:val="12"/>
          <w:color w:val="auto"/>
        </w:rPr>
        <w:t>– Management accounts for acquisitions of businesses in accordance with FASB ASC Topic 805,</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i w:val="1"/>
          <w:iCs w:val="1"/>
          <w:color w:val="auto"/>
        </w:rPr>
        <w:t>Business Combinations</w:t>
      </w:r>
      <w:r>
        <w:rPr>
          <w:rFonts w:ascii="Times New Roman" w:cs="Times New Roman" w:eastAsia="Times New Roman" w:hAnsi="Times New Roman"/>
          <w:sz w:val="12"/>
          <w:szCs w:val="12"/>
          <w:color w:val="auto"/>
        </w:rPr>
        <w:t>. The Company records the fair value of all identifiable assets acquired and</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liabilities assumed. The Company determines the fair value of tangible assets generally using valuation techniques that consider comparable market transactions and other available information. As final information regarding fair value of the assets acquired and liabilities assumed is received and estimates are refined, appropriate adjustments will be made in no case later than twelve months after the acquisition date. Transaction costs and fees incurred related to acquisitions are expensed as incurred. The Company determines the fair value of identified intangible assets using valuation techniques that consider comparable market transactions, weighted average cost of capital, discounted cash flow techniques, and other available information. The Company allocates the purchase price based on the fair value of the identifiable tangible and intangible assets and liabilities. The difference between the total cost of the acquisition and the sum of the fair values of the acquired tangible and identifiable intangible assets less assumed liabilities is recorded as goodwill or bargain purchase gain.</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16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2"/>
                <w:szCs w:val="12"/>
                <w:b w:val="1"/>
                <w:bCs w:val="1"/>
                <w:color w:val="auto"/>
                <w:w w:val="98"/>
              </w:rPr>
              <w:t>(2) Property and equipment, net</w:t>
            </w:r>
          </w:p>
        </w:tc>
        <w:tc>
          <w:tcPr>
            <w:tcW w:w="74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95"/>
        </w:trPr>
        <w:tc>
          <w:tcPr>
            <w:tcW w:w="420" w:type="dxa"/>
            <w:vAlign w:val="bottom"/>
          </w:tcPr>
          <w:p>
            <w:pPr>
              <w:spacing w:after="0"/>
              <w:rPr>
                <w:sz w:val="24"/>
                <w:szCs w:val="24"/>
                <w:color w:val="auto"/>
              </w:rPr>
            </w:pPr>
          </w:p>
        </w:tc>
        <w:tc>
          <w:tcPr>
            <w:tcW w:w="86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Property and equipment, net consists of the following as of December 31, 2023:</w:t>
            </w:r>
          </w:p>
        </w:tc>
        <w:tc>
          <w:tcPr>
            <w:tcW w:w="7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44"/>
        </w:trPr>
        <w:tc>
          <w:tcPr>
            <w:tcW w:w="4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74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4"/>
        </w:trPr>
        <w:tc>
          <w:tcPr>
            <w:tcW w:w="420" w:type="dxa"/>
            <w:vAlign w:val="bottom"/>
          </w:tcPr>
          <w:p>
            <w:pPr>
              <w:spacing w:after="0"/>
              <w:rPr>
                <w:sz w:val="12"/>
                <w:szCs w:val="12"/>
                <w:color w:val="auto"/>
              </w:rPr>
            </w:pPr>
          </w:p>
        </w:tc>
        <w:tc>
          <w:tcPr>
            <w:tcW w:w="8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Computer equipment</w:t>
            </w:r>
          </w:p>
        </w:tc>
        <w:tc>
          <w:tcPr>
            <w:tcW w:w="760" w:type="dxa"/>
            <w:vAlign w:val="bottom"/>
            <w:shd w:val="clear" w:color="auto" w:fill="CCEEFF"/>
          </w:tcPr>
          <w:p>
            <w:pPr>
              <w:jc w:val="right"/>
              <w:ind w:right="646"/>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12,282</w:t>
            </w:r>
          </w:p>
        </w:tc>
      </w:tr>
      <w:tr>
        <w:trPr>
          <w:trHeight w:val="153"/>
        </w:trPr>
        <w:tc>
          <w:tcPr>
            <w:tcW w:w="420" w:type="dxa"/>
            <w:vAlign w:val="bottom"/>
          </w:tcPr>
          <w:p>
            <w:pPr>
              <w:spacing w:after="0"/>
              <w:rPr>
                <w:sz w:val="13"/>
                <w:szCs w:val="13"/>
                <w:color w:val="auto"/>
              </w:rPr>
            </w:pPr>
          </w:p>
        </w:tc>
        <w:tc>
          <w:tcPr>
            <w:tcW w:w="86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Accumulated depreciation</w:t>
            </w:r>
          </w:p>
        </w:tc>
        <w:tc>
          <w:tcPr>
            <w:tcW w:w="760" w:type="dxa"/>
            <w:vAlign w:val="bottom"/>
          </w:tcPr>
          <w:p>
            <w:pPr>
              <w:spacing w:after="0"/>
              <w:rPr>
                <w:sz w:val="13"/>
                <w:szCs w:val="13"/>
                <w:color w:val="auto"/>
              </w:rPr>
            </w:pP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(6,305)</w:t>
            </w:r>
          </w:p>
        </w:tc>
      </w:tr>
      <w:tr>
        <w:trPr>
          <w:trHeight w:val="149"/>
        </w:trPr>
        <w:tc>
          <w:tcPr>
            <w:tcW w:w="420" w:type="dxa"/>
            <w:vAlign w:val="bottom"/>
          </w:tcPr>
          <w:p>
            <w:pPr>
              <w:spacing w:after="0"/>
              <w:rPr>
                <w:sz w:val="12"/>
                <w:szCs w:val="12"/>
                <w:color w:val="auto"/>
              </w:rPr>
            </w:pPr>
          </w:p>
        </w:tc>
        <w:tc>
          <w:tcPr>
            <w:tcW w:w="8640" w:type="dxa"/>
            <w:vAlign w:val="bottom"/>
            <w:tcBorders>
              <w:top w:val="single" w:sz="8" w:color="CCEEFF"/>
              <w:bottom w:val="single" w:sz="8" w:color="CCEEFF"/>
            </w:tcBorders>
            <w:gridSpan w:val="2"/>
            <w:shd w:val="clear" w:color="auto" w:fill="CCEEFF"/>
          </w:tcPr>
          <w:p>
            <w:pPr>
              <w:ind w:left="120"/>
              <w:spacing w:after="0" w:line="135" w:lineRule="exact"/>
              <w:rPr>
                <w:sz w:val="20"/>
                <w:szCs w:val="20"/>
                <w:color w:val="auto"/>
              </w:rPr>
            </w:pPr>
            <w:r>
              <w:rPr>
                <w:rFonts w:ascii="Times New Roman" w:cs="Times New Roman" w:eastAsia="Times New Roman" w:hAnsi="Times New Roman"/>
                <w:sz w:val="12"/>
                <w:szCs w:val="12"/>
                <w:color w:val="auto"/>
              </w:rPr>
              <w:t>Property and equipment, net</w:t>
            </w:r>
          </w:p>
        </w:tc>
        <w:tc>
          <w:tcPr>
            <w:tcW w:w="760" w:type="dxa"/>
            <w:vAlign w:val="bottom"/>
            <w:tcBorders>
              <w:top w:val="single" w:sz="8" w:color="auto"/>
              <w:bottom w:val="single" w:sz="8" w:color="auto"/>
            </w:tcBorders>
            <w:shd w:val="clear" w:color="auto" w:fill="CCEEFF"/>
          </w:tcPr>
          <w:p>
            <w:pPr>
              <w:jc w:val="right"/>
              <w:ind w:right="646"/>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5,977</w:t>
            </w: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r>
    </w:tbl>
    <w:p>
      <w:pPr>
        <w:spacing w:after="0" w:line="13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Depreciation expense for the year ended December 31, 2023, was $2,456.</w:t>
      </w:r>
    </w:p>
    <w:p>
      <w:pPr>
        <w:spacing w:after="0" w:line="15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485" w:right="299"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138"/>
        </w:trPr>
        <w:tc>
          <w:tcPr>
            <w:tcW w:w="5480" w:type="dxa"/>
            <w:vAlign w:val="bottom"/>
            <w:gridSpan w:val="4"/>
          </w:tcPr>
          <w:p>
            <w:pPr>
              <w:spacing w:after="0"/>
              <w:rPr>
                <w:sz w:val="20"/>
                <w:szCs w:val="20"/>
                <w:color w:val="auto"/>
              </w:rPr>
            </w:pPr>
            <w:r>
              <w:rPr>
                <w:rFonts w:ascii="Times New Roman" w:cs="Times New Roman" w:eastAsia="Times New Roman" w:hAnsi="Times New Roman"/>
                <w:sz w:val="12"/>
                <w:szCs w:val="12"/>
                <w:b w:val="1"/>
                <w:bCs w:val="1"/>
                <w:color w:val="auto"/>
              </w:rPr>
              <w:t>(3) Goodwill and identifiable intangible assets, net</w:t>
            </w:r>
          </w:p>
        </w:tc>
        <w:tc>
          <w:tcPr>
            <w:tcW w:w="11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0"/>
        </w:trPr>
        <w:tc>
          <w:tcPr>
            <w:tcW w:w="42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95"/>
        </w:trPr>
        <w:tc>
          <w:tcPr>
            <w:tcW w:w="420" w:type="dxa"/>
            <w:vAlign w:val="bottom"/>
          </w:tcPr>
          <w:p>
            <w:pPr>
              <w:spacing w:after="0"/>
              <w:rPr>
                <w:sz w:val="24"/>
                <w:szCs w:val="24"/>
                <w:color w:val="auto"/>
              </w:rPr>
            </w:pPr>
          </w:p>
        </w:tc>
        <w:tc>
          <w:tcPr>
            <w:tcW w:w="506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Identifiable intangible assets and goodwill consisted of the following as of December 31, 2023:</w:t>
            </w:r>
          </w:p>
        </w:tc>
        <w:tc>
          <w:tcPr>
            <w:tcW w:w="1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86"/>
        </w:trPr>
        <w:tc>
          <w:tcPr>
            <w:tcW w:w="4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Gross Carrying</w:t>
            </w:r>
          </w:p>
        </w:tc>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0" w:type="dxa"/>
            <w:vAlign w:val="bottom"/>
            <w:gridSpan w:val="2"/>
          </w:tcPr>
          <w:p>
            <w:pPr>
              <w:jc w:val="right"/>
              <w:ind w:right="560"/>
              <w:spacing w:after="0"/>
              <w:rPr>
                <w:sz w:val="20"/>
                <w:szCs w:val="20"/>
                <w:color w:val="auto"/>
              </w:rPr>
            </w:pPr>
            <w:r>
              <w:rPr>
                <w:rFonts w:ascii="Times New Roman" w:cs="Times New Roman" w:eastAsia="Times New Roman" w:hAnsi="Times New Roman"/>
                <w:sz w:val="12"/>
                <w:szCs w:val="12"/>
                <w:color w:val="auto"/>
              </w:rPr>
              <w:t>Accumulated</w:t>
            </w: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55"/>
        </w:trPr>
        <w:tc>
          <w:tcPr>
            <w:tcW w:w="4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940" w:type="dxa"/>
            <w:vAlign w:val="bottom"/>
          </w:tcPr>
          <w:p>
            <w:pPr>
              <w:spacing w:after="0"/>
              <w:rPr>
                <w:sz w:val="13"/>
                <w:szCs w:val="13"/>
                <w:color w:val="auto"/>
              </w:rPr>
            </w:pPr>
          </w:p>
        </w:tc>
        <w:tc>
          <w:tcPr>
            <w:tcW w:w="1180" w:type="dxa"/>
            <w:vAlign w:val="bottom"/>
          </w:tcPr>
          <w:p>
            <w:pPr>
              <w:jc w:val="right"/>
              <w:ind w:right="123"/>
              <w:spacing w:after="0"/>
              <w:rPr>
                <w:sz w:val="20"/>
                <w:szCs w:val="20"/>
                <w:color w:val="auto"/>
              </w:rPr>
            </w:pPr>
            <w:r>
              <w:rPr>
                <w:rFonts w:ascii="Times New Roman" w:cs="Times New Roman" w:eastAsia="Times New Roman" w:hAnsi="Times New Roman"/>
                <w:sz w:val="12"/>
                <w:szCs w:val="12"/>
                <w:color w:val="auto"/>
              </w:rPr>
              <w:t>Amount</w:t>
            </w:r>
          </w:p>
        </w:tc>
        <w:tc>
          <w:tcPr>
            <w:tcW w:w="4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00" w:type="dxa"/>
            <w:vAlign w:val="bottom"/>
            <w:gridSpan w:val="2"/>
          </w:tcPr>
          <w:p>
            <w:pPr>
              <w:jc w:val="right"/>
              <w:ind w:right="560"/>
              <w:spacing w:after="0"/>
              <w:rPr>
                <w:sz w:val="20"/>
                <w:szCs w:val="20"/>
                <w:color w:val="auto"/>
              </w:rPr>
            </w:pPr>
            <w:r>
              <w:rPr>
                <w:rFonts w:ascii="Times New Roman" w:cs="Times New Roman" w:eastAsia="Times New Roman" w:hAnsi="Times New Roman"/>
                <w:sz w:val="12"/>
                <w:szCs w:val="12"/>
                <w:color w:val="auto"/>
              </w:rPr>
              <w:t>Amortization</w:t>
            </w: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40" w:type="dxa"/>
            <w:vAlign w:val="bottom"/>
            <w:gridSpan w:val="2"/>
          </w:tcPr>
          <w:p>
            <w:pPr>
              <w:ind w:left="180"/>
              <w:spacing w:after="0"/>
              <w:rPr>
                <w:sz w:val="20"/>
                <w:szCs w:val="20"/>
                <w:color w:val="auto"/>
              </w:rPr>
            </w:pPr>
            <w:r>
              <w:rPr>
                <w:rFonts w:ascii="Times New Roman" w:cs="Times New Roman" w:eastAsia="Times New Roman" w:hAnsi="Times New Roman"/>
                <w:sz w:val="12"/>
                <w:szCs w:val="12"/>
                <w:color w:val="auto"/>
              </w:rPr>
              <w:t>Intangibles, net</w:t>
            </w:r>
          </w:p>
        </w:tc>
      </w:tr>
      <w:tr>
        <w:trPr>
          <w:trHeight w:val="133"/>
        </w:trPr>
        <w:tc>
          <w:tcPr>
            <w:tcW w:w="420" w:type="dxa"/>
            <w:vAlign w:val="bottom"/>
          </w:tcPr>
          <w:p>
            <w:pPr>
              <w:spacing w:after="0"/>
              <w:rPr>
                <w:sz w:val="11"/>
                <w:szCs w:val="11"/>
                <w:color w:val="auto"/>
              </w:rPr>
            </w:pPr>
          </w:p>
        </w:tc>
        <w:tc>
          <w:tcPr>
            <w:tcW w:w="5060" w:type="dxa"/>
            <w:vAlign w:val="bottom"/>
            <w:tcBorders>
              <w:top w:val="single" w:sz="8" w:color="CCEEFF"/>
            </w:tcBorders>
            <w:gridSpan w:val="3"/>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Video Material Licenses</w:t>
            </w:r>
          </w:p>
        </w:tc>
        <w:tc>
          <w:tcPr>
            <w:tcW w:w="1180" w:type="dxa"/>
            <w:vAlign w:val="bottom"/>
            <w:tcBorders>
              <w:top w:val="single" w:sz="8" w:color="auto"/>
            </w:tcBorders>
            <w:shd w:val="clear" w:color="auto" w:fill="CCEEFF"/>
          </w:tcPr>
          <w:p>
            <w:pPr>
              <w:jc w:val="right"/>
              <w:ind w:right="1063"/>
              <w:spacing w:after="0"/>
              <w:rPr>
                <w:sz w:val="20"/>
                <w:szCs w:val="20"/>
                <w:color w:val="auto"/>
              </w:rPr>
            </w:pPr>
            <w:r>
              <w:rPr>
                <w:rFonts w:ascii="Times New Roman" w:cs="Times New Roman" w:eastAsia="Times New Roman" w:hAnsi="Times New Roman"/>
                <w:sz w:val="11"/>
                <w:szCs w:val="11"/>
                <w:color w:val="auto"/>
                <w:w w:val="71"/>
              </w:rPr>
              <w:t>$</w:t>
            </w:r>
          </w:p>
        </w:tc>
        <w:tc>
          <w:tcPr>
            <w:tcW w:w="40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12,386</w:t>
            </w:r>
          </w:p>
        </w:tc>
        <w:tc>
          <w:tcPr>
            <w:tcW w:w="320" w:type="dxa"/>
            <w:vAlign w:val="bottom"/>
            <w:tcBorders>
              <w:top w:val="single" w:sz="8" w:color="CCEEFF"/>
            </w:tcBorders>
            <w:shd w:val="clear" w:color="auto" w:fill="CCEEFF"/>
          </w:tcPr>
          <w:p>
            <w:pPr>
              <w:spacing w:after="0"/>
              <w:rPr>
                <w:sz w:val="11"/>
                <w:szCs w:val="11"/>
                <w:color w:val="auto"/>
              </w:rPr>
            </w:pPr>
          </w:p>
        </w:tc>
        <w:tc>
          <w:tcPr>
            <w:tcW w:w="280" w:type="dxa"/>
            <w:vAlign w:val="bottom"/>
            <w:tcBorders>
              <w:top w:val="single" w:sz="8" w:color="auto"/>
            </w:tcBorders>
            <w:shd w:val="clear" w:color="auto" w:fill="CCEEFF"/>
          </w:tcPr>
          <w:p>
            <w:pPr>
              <w:jc w:val="right"/>
              <w:ind w:right="140"/>
              <w:spacing w:after="0" w:line="133" w:lineRule="exact"/>
              <w:rPr>
                <w:sz w:val="20"/>
                <w:szCs w:val="20"/>
                <w:color w:val="auto"/>
              </w:rPr>
            </w:pPr>
            <w:r>
              <w:rPr>
                <w:rFonts w:ascii="Times New Roman" w:cs="Times New Roman" w:eastAsia="Times New Roman" w:hAnsi="Times New Roman"/>
                <w:sz w:val="12"/>
                <w:szCs w:val="12"/>
                <w:color w:val="auto"/>
                <w:w w:val="99"/>
              </w:rPr>
              <w:t>$</w:t>
            </w:r>
          </w:p>
        </w:tc>
        <w:tc>
          <w:tcPr>
            <w:tcW w:w="130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(3,096)</w:t>
            </w:r>
          </w:p>
        </w:tc>
        <w:tc>
          <w:tcPr>
            <w:tcW w:w="100" w:type="dxa"/>
            <w:vAlign w:val="bottom"/>
            <w:tcBorders>
              <w:top w:val="single" w:sz="8" w:color="CCEEFF"/>
            </w:tcBorders>
            <w:shd w:val="clear" w:color="auto" w:fill="CCEEFF"/>
          </w:tcPr>
          <w:p>
            <w:pPr>
              <w:spacing w:after="0"/>
              <w:rPr>
                <w:sz w:val="11"/>
                <w:szCs w:val="11"/>
                <w:color w:val="auto"/>
              </w:rPr>
            </w:pPr>
          </w:p>
        </w:tc>
        <w:tc>
          <w:tcPr>
            <w:tcW w:w="220" w:type="dxa"/>
            <w:vAlign w:val="bottom"/>
            <w:tcBorders>
              <w:top w:val="single" w:sz="8" w:color="CCEEFF"/>
            </w:tcBorders>
            <w:shd w:val="clear" w:color="auto" w:fill="CCEEFF"/>
          </w:tcPr>
          <w:p>
            <w:pPr>
              <w:spacing w:after="0"/>
              <w:rPr>
                <w:sz w:val="11"/>
                <w:szCs w:val="11"/>
                <w:color w:val="auto"/>
              </w:rPr>
            </w:pPr>
          </w:p>
        </w:tc>
        <w:tc>
          <w:tcPr>
            <w:tcW w:w="220" w:type="dxa"/>
            <w:vAlign w:val="bottom"/>
            <w:tcBorders>
              <w:top w:val="single" w:sz="8" w:color="auto"/>
            </w:tcBorders>
            <w:shd w:val="clear" w:color="auto" w:fill="CCEEFF"/>
          </w:tcPr>
          <w:p>
            <w:pPr>
              <w:jc w:val="right"/>
              <w:ind w:right="106"/>
              <w:spacing w:after="0"/>
              <w:rPr>
                <w:sz w:val="20"/>
                <w:szCs w:val="20"/>
                <w:color w:val="auto"/>
              </w:rPr>
            </w:pPr>
            <w:r>
              <w:rPr>
                <w:rFonts w:ascii="Times New Roman" w:cs="Times New Roman" w:eastAsia="Times New Roman" w:hAnsi="Times New Roman"/>
                <w:sz w:val="11"/>
                <w:szCs w:val="11"/>
                <w:color w:val="auto"/>
                <w:w w:val="71"/>
              </w:rPr>
              <w:t>$</w:t>
            </w:r>
          </w:p>
        </w:tc>
        <w:tc>
          <w:tcPr>
            <w:tcW w:w="134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9,290</w:t>
            </w:r>
          </w:p>
        </w:tc>
        <w:tc>
          <w:tcPr>
            <w:tcW w:w="100" w:type="dxa"/>
            <w:vAlign w:val="bottom"/>
            <w:tcBorders>
              <w:top w:val="single" w:sz="8" w:color="CCEEFF"/>
            </w:tcBorders>
            <w:shd w:val="clear" w:color="auto" w:fill="CCEEFF"/>
          </w:tcPr>
          <w:p>
            <w:pPr>
              <w:spacing w:after="0"/>
              <w:rPr>
                <w:sz w:val="11"/>
                <w:szCs w:val="11"/>
                <w:color w:val="auto"/>
              </w:rPr>
            </w:pPr>
          </w:p>
        </w:tc>
      </w:tr>
      <w:tr>
        <w:trPr>
          <w:trHeight w:val="144"/>
        </w:trPr>
        <w:tc>
          <w:tcPr>
            <w:tcW w:w="420" w:type="dxa"/>
            <w:vAlign w:val="bottom"/>
          </w:tcPr>
          <w:p>
            <w:pPr>
              <w:spacing w:after="0"/>
              <w:rPr>
                <w:sz w:val="12"/>
                <w:szCs w:val="12"/>
                <w:color w:val="auto"/>
              </w:rPr>
            </w:pPr>
          </w:p>
        </w:tc>
        <w:tc>
          <w:tcPr>
            <w:tcW w:w="506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Web domain</w:t>
            </w:r>
          </w:p>
        </w:tc>
        <w:tc>
          <w:tcPr>
            <w:tcW w:w="1180" w:type="dxa"/>
            <w:vAlign w:val="bottom"/>
          </w:tcPr>
          <w:p>
            <w:pPr>
              <w:spacing w:after="0"/>
              <w:rPr>
                <w:sz w:val="12"/>
                <w:szCs w:val="12"/>
                <w:color w:val="auto"/>
              </w:rPr>
            </w:pPr>
          </w:p>
        </w:tc>
        <w:tc>
          <w:tcPr>
            <w:tcW w:w="720" w:type="dxa"/>
            <w:vAlign w:val="bottom"/>
            <w:gridSpan w:val="2"/>
          </w:tcPr>
          <w:p>
            <w:pPr>
              <w:jc w:val="right"/>
              <w:ind w:right="320"/>
              <w:spacing w:after="0"/>
              <w:rPr>
                <w:sz w:val="20"/>
                <w:szCs w:val="20"/>
                <w:color w:val="auto"/>
              </w:rPr>
            </w:pPr>
            <w:r>
              <w:rPr>
                <w:rFonts w:ascii="Times New Roman" w:cs="Times New Roman" w:eastAsia="Times New Roman" w:hAnsi="Times New Roman"/>
                <w:sz w:val="12"/>
                <w:szCs w:val="12"/>
                <w:color w:val="auto"/>
              </w:rPr>
              <w:t>3,078</w:t>
            </w:r>
          </w:p>
        </w:tc>
        <w:tc>
          <w:tcPr>
            <w:tcW w:w="280" w:type="dxa"/>
            <w:vAlign w:val="bottom"/>
          </w:tcPr>
          <w:p>
            <w:pPr>
              <w:spacing w:after="0"/>
              <w:rPr>
                <w:sz w:val="12"/>
                <w:szCs w:val="12"/>
                <w:color w:val="auto"/>
              </w:rPr>
            </w:pPr>
          </w:p>
        </w:tc>
        <w:tc>
          <w:tcPr>
            <w:tcW w:w="140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(1,282)</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1,796</w:t>
            </w:r>
          </w:p>
        </w:tc>
        <w:tc>
          <w:tcPr>
            <w:tcW w:w="100" w:type="dxa"/>
            <w:vAlign w:val="bottom"/>
          </w:tcPr>
          <w:p>
            <w:pPr>
              <w:spacing w:after="0"/>
              <w:rPr>
                <w:sz w:val="12"/>
                <w:szCs w:val="12"/>
                <w:color w:val="auto"/>
              </w:rPr>
            </w:pPr>
          </w:p>
        </w:tc>
      </w:tr>
      <w:tr>
        <w:trPr>
          <w:trHeight w:val="144"/>
        </w:trPr>
        <w:tc>
          <w:tcPr>
            <w:tcW w:w="420" w:type="dxa"/>
            <w:vAlign w:val="bottom"/>
          </w:tcPr>
          <w:p>
            <w:pPr>
              <w:spacing w:after="0"/>
              <w:rPr>
                <w:sz w:val="12"/>
                <w:szCs w:val="12"/>
                <w:color w:val="auto"/>
              </w:rPr>
            </w:pPr>
          </w:p>
        </w:tc>
        <w:tc>
          <w:tcPr>
            <w:tcW w:w="50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2"/>
                <w:szCs w:val="12"/>
                <w:color w:val="auto"/>
              </w:rPr>
              <w:t>Patents</w:t>
            </w:r>
          </w:p>
        </w:tc>
        <w:tc>
          <w:tcPr>
            <w:tcW w:w="11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2"/>
                <w:szCs w:val="12"/>
                <w:color w:val="auto"/>
              </w:rPr>
              <w:t>91,253</w:t>
            </w:r>
          </w:p>
        </w:tc>
        <w:tc>
          <w:tcPr>
            <w:tcW w:w="280" w:type="dxa"/>
            <w:vAlign w:val="bottom"/>
            <w:shd w:val="clear" w:color="auto" w:fill="CCEEFF"/>
          </w:tcPr>
          <w:p>
            <w:pPr>
              <w:spacing w:after="0"/>
              <w:rPr>
                <w:sz w:val="12"/>
                <w:szCs w:val="12"/>
                <w:color w:val="auto"/>
              </w:rPr>
            </w:pPr>
          </w:p>
        </w:tc>
        <w:tc>
          <w:tcPr>
            <w:tcW w:w="14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(9,556)</w:t>
            </w: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81,697</w:t>
            </w:r>
          </w:p>
        </w:tc>
      </w:tr>
      <w:tr>
        <w:trPr>
          <w:trHeight w:val="144"/>
        </w:trPr>
        <w:tc>
          <w:tcPr>
            <w:tcW w:w="420" w:type="dxa"/>
            <w:vAlign w:val="bottom"/>
          </w:tcPr>
          <w:p>
            <w:pPr>
              <w:spacing w:after="0"/>
              <w:rPr>
                <w:sz w:val="12"/>
                <w:szCs w:val="12"/>
                <w:color w:val="auto"/>
              </w:rPr>
            </w:pPr>
          </w:p>
        </w:tc>
        <w:tc>
          <w:tcPr>
            <w:tcW w:w="506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Trademark - Routine IP Based</w:t>
            </w:r>
          </w:p>
        </w:tc>
        <w:tc>
          <w:tcPr>
            <w:tcW w:w="1180" w:type="dxa"/>
            <w:vAlign w:val="bottom"/>
          </w:tcPr>
          <w:p>
            <w:pPr>
              <w:spacing w:after="0"/>
              <w:rPr>
                <w:sz w:val="12"/>
                <w:szCs w:val="12"/>
                <w:color w:val="auto"/>
              </w:rPr>
            </w:pPr>
          </w:p>
        </w:tc>
        <w:tc>
          <w:tcPr>
            <w:tcW w:w="720" w:type="dxa"/>
            <w:vAlign w:val="bottom"/>
            <w:gridSpan w:val="2"/>
          </w:tcPr>
          <w:p>
            <w:pPr>
              <w:jc w:val="right"/>
              <w:ind w:right="320"/>
              <w:spacing w:after="0"/>
              <w:rPr>
                <w:sz w:val="20"/>
                <w:szCs w:val="20"/>
                <w:color w:val="auto"/>
              </w:rPr>
            </w:pPr>
            <w:r>
              <w:rPr>
                <w:rFonts w:ascii="Times New Roman" w:cs="Times New Roman" w:eastAsia="Times New Roman" w:hAnsi="Times New Roman"/>
                <w:sz w:val="12"/>
                <w:szCs w:val="12"/>
                <w:color w:val="auto"/>
              </w:rPr>
              <w:t>2,000</w:t>
            </w:r>
          </w:p>
        </w:tc>
        <w:tc>
          <w:tcPr>
            <w:tcW w:w="280" w:type="dxa"/>
            <w:vAlign w:val="bottom"/>
          </w:tcPr>
          <w:p>
            <w:pPr>
              <w:spacing w:after="0"/>
              <w:rPr>
                <w:sz w:val="12"/>
                <w:szCs w:val="12"/>
                <w:color w:val="auto"/>
              </w:rPr>
            </w:pPr>
          </w:p>
        </w:tc>
        <w:tc>
          <w:tcPr>
            <w:tcW w:w="140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(2,000)</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2"/>
                <w:szCs w:val="12"/>
                <w:color w:val="auto"/>
              </w:rPr>
            </w:pPr>
          </w:p>
        </w:tc>
      </w:tr>
      <w:tr>
        <w:trPr>
          <w:trHeight w:val="144"/>
        </w:trPr>
        <w:tc>
          <w:tcPr>
            <w:tcW w:w="420" w:type="dxa"/>
            <w:vAlign w:val="bottom"/>
          </w:tcPr>
          <w:p>
            <w:pPr>
              <w:spacing w:after="0"/>
              <w:rPr>
                <w:sz w:val="12"/>
                <w:szCs w:val="12"/>
                <w:color w:val="auto"/>
              </w:rPr>
            </w:pPr>
          </w:p>
        </w:tc>
        <w:tc>
          <w:tcPr>
            <w:tcW w:w="50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2"/>
                <w:szCs w:val="12"/>
                <w:color w:val="auto"/>
              </w:rPr>
              <w:t>Customer Relationships - Existing</w:t>
            </w:r>
          </w:p>
        </w:tc>
        <w:tc>
          <w:tcPr>
            <w:tcW w:w="11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2"/>
                <w:szCs w:val="12"/>
                <w:color w:val="auto"/>
              </w:rPr>
              <w:t>69,000</w:t>
            </w:r>
          </w:p>
        </w:tc>
        <w:tc>
          <w:tcPr>
            <w:tcW w:w="280" w:type="dxa"/>
            <w:vAlign w:val="bottom"/>
            <w:shd w:val="clear" w:color="auto" w:fill="CCEEFF"/>
          </w:tcPr>
          <w:p>
            <w:pPr>
              <w:spacing w:after="0"/>
              <w:rPr>
                <w:sz w:val="12"/>
                <w:szCs w:val="12"/>
                <w:color w:val="auto"/>
              </w:rPr>
            </w:pPr>
          </w:p>
        </w:tc>
        <w:tc>
          <w:tcPr>
            <w:tcW w:w="14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(55,583)</w:t>
            </w: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13,417</w:t>
            </w:r>
          </w:p>
        </w:tc>
      </w:tr>
      <w:tr>
        <w:trPr>
          <w:trHeight w:val="144"/>
        </w:trPr>
        <w:tc>
          <w:tcPr>
            <w:tcW w:w="420" w:type="dxa"/>
            <w:vAlign w:val="bottom"/>
          </w:tcPr>
          <w:p>
            <w:pPr>
              <w:spacing w:after="0"/>
              <w:rPr>
                <w:sz w:val="12"/>
                <w:szCs w:val="12"/>
                <w:color w:val="auto"/>
              </w:rPr>
            </w:pPr>
          </w:p>
        </w:tc>
        <w:tc>
          <w:tcPr>
            <w:tcW w:w="506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Existing Technology - Routine IP Based</w:t>
            </w:r>
          </w:p>
        </w:tc>
        <w:tc>
          <w:tcPr>
            <w:tcW w:w="1180" w:type="dxa"/>
            <w:vAlign w:val="bottom"/>
          </w:tcPr>
          <w:p>
            <w:pPr>
              <w:spacing w:after="0"/>
              <w:rPr>
                <w:sz w:val="12"/>
                <w:szCs w:val="12"/>
                <w:color w:val="auto"/>
              </w:rPr>
            </w:pPr>
          </w:p>
        </w:tc>
        <w:tc>
          <w:tcPr>
            <w:tcW w:w="720" w:type="dxa"/>
            <w:vAlign w:val="bottom"/>
            <w:gridSpan w:val="2"/>
          </w:tcPr>
          <w:p>
            <w:pPr>
              <w:jc w:val="right"/>
              <w:ind w:right="320"/>
              <w:spacing w:after="0"/>
              <w:rPr>
                <w:sz w:val="20"/>
                <w:szCs w:val="20"/>
                <w:color w:val="auto"/>
              </w:rPr>
            </w:pPr>
            <w:r>
              <w:rPr>
                <w:rFonts w:ascii="Times New Roman" w:cs="Times New Roman" w:eastAsia="Times New Roman" w:hAnsi="Times New Roman"/>
                <w:sz w:val="12"/>
                <w:szCs w:val="12"/>
                <w:color w:val="auto"/>
                <w:w w:val="97"/>
              </w:rPr>
              <w:t>480,000</w:t>
            </w:r>
          </w:p>
        </w:tc>
        <w:tc>
          <w:tcPr>
            <w:tcW w:w="280" w:type="dxa"/>
            <w:vAlign w:val="bottom"/>
          </w:tcPr>
          <w:p>
            <w:pPr>
              <w:spacing w:after="0"/>
              <w:rPr>
                <w:sz w:val="12"/>
                <w:szCs w:val="12"/>
                <w:color w:val="auto"/>
              </w:rPr>
            </w:pPr>
          </w:p>
        </w:tc>
        <w:tc>
          <w:tcPr>
            <w:tcW w:w="140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(232,000)</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248,000</w:t>
            </w:r>
          </w:p>
        </w:tc>
        <w:tc>
          <w:tcPr>
            <w:tcW w:w="100" w:type="dxa"/>
            <w:vAlign w:val="bottom"/>
          </w:tcPr>
          <w:p>
            <w:pPr>
              <w:spacing w:after="0"/>
              <w:rPr>
                <w:sz w:val="12"/>
                <w:szCs w:val="12"/>
                <w:color w:val="auto"/>
              </w:rPr>
            </w:pPr>
          </w:p>
        </w:tc>
      </w:tr>
      <w:tr>
        <w:trPr>
          <w:trHeight w:val="144"/>
        </w:trPr>
        <w:tc>
          <w:tcPr>
            <w:tcW w:w="420" w:type="dxa"/>
            <w:vAlign w:val="bottom"/>
          </w:tcPr>
          <w:p>
            <w:pPr>
              <w:spacing w:after="0"/>
              <w:rPr>
                <w:sz w:val="12"/>
                <w:szCs w:val="12"/>
                <w:color w:val="auto"/>
              </w:rPr>
            </w:pPr>
          </w:p>
        </w:tc>
        <w:tc>
          <w:tcPr>
            <w:tcW w:w="50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2"/>
                <w:szCs w:val="12"/>
                <w:color w:val="auto"/>
              </w:rPr>
              <w:t>Non-Compete Agreements</w:t>
            </w:r>
          </w:p>
        </w:tc>
        <w:tc>
          <w:tcPr>
            <w:tcW w:w="11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2"/>
                <w:szCs w:val="12"/>
                <w:color w:val="auto"/>
              </w:rPr>
              <w:t>10,000</w:t>
            </w:r>
          </w:p>
        </w:tc>
        <w:tc>
          <w:tcPr>
            <w:tcW w:w="280" w:type="dxa"/>
            <w:vAlign w:val="bottom"/>
            <w:shd w:val="clear" w:color="auto" w:fill="CCEEFF"/>
          </w:tcPr>
          <w:p>
            <w:pPr>
              <w:spacing w:after="0"/>
              <w:rPr>
                <w:sz w:val="12"/>
                <w:szCs w:val="12"/>
                <w:color w:val="auto"/>
              </w:rPr>
            </w:pPr>
          </w:p>
        </w:tc>
        <w:tc>
          <w:tcPr>
            <w:tcW w:w="14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(8,056)</w:t>
            </w: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1,944</w:t>
            </w:r>
          </w:p>
        </w:tc>
        <w:tc>
          <w:tcPr>
            <w:tcW w:w="100" w:type="dxa"/>
            <w:vAlign w:val="bottom"/>
            <w:shd w:val="clear" w:color="auto" w:fill="CCEEFF"/>
          </w:tcPr>
          <w:p>
            <w:pPr>
              <w:spacing w:after="0"/>
              <w:rPr>
                <w:sz w:val="12"/>
                <w:szCs w:val="12"/>
                <w:color w:val="auto"/>
              </w:rPr>
            </w:pPr>
          </w:p>
        </w:tc>
      </w:tr>
      <w:tr>
        <w:trPr>
          <w:trHeight w:val="153"/>
        </w:trPr>
        <w:tc>
          <w:tcPr>
            <w:tcW w:w="420" w:type="dxa"/>
            <w:vAlign w:val="bottom"/>
          </w:tcPr>
          <w:p>
            <w:pPr>
              <w:spacing w:after="0"/>
              <w:rPr>
                <w:sz w:val="13"/>
                <w:szCs w:val="13"/>
                <w:color w:val="auto"/>
              </w:rPr>
            </w:pPr>
          </w:p>
        </w:tc>
        <w:tc>
          <w:tcPr>
            <w:tcW w:w="506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Goodwill</w:t>
            </w:r>
          </w:p>
        </w:tc>
        <w:tc>
          <w:tcPr>
            <w:tcW w:w="1180" w:type="dxa"/>
            <w:vAlign w:val="bottom"/>
          </w:tcPr>
          <w:p>
            <w:pPr>
              <w:spacing w:after="0"/>
              <w:rPr>
                <w:sz w:val="13"/>
                <w:szCs w:val="13"/>
                <w:color w:val="auto"/>
              </w:rPr>
            </w:pPr>
          </w:p>
        </w:tc>
        <w:tc>
          <w:tcPr>
            <w:tcW w:w="720" w:type="dxa"/>
            <w:vAlign w:val="bottom"/>
            <w:gridSpan w:val="2"/>
          </w:tcPr>
          <w:p>
            <w:pPr>
              <w:jc w:val="right"/>
              <w:ind w:right="320"/>
              <w:spacing w:after="0"/>
              <w:rPr>
                <w:sz w:val="20"/>
                <w:szCs w:val="20"/>
                <w:color w:val="auto"/>
              </w:rPr>
            </w:pPr>
            <w:r>
              <w:rPr>
                <w:rFonts w:ascii="Times New Roman" w:cs="Times New Roman" w:eastAsia="Times New Roman" w:hAnsi="Times New Roman"/>
                <w:sz w:val="12"/>
                <w:szCs w:val="12"/>
                <w:color w:val="auto"/>
                <w:w w:val="97"/>
              </w:rPr>
              <w:t>312,883</w:t>
            </w:r>
          </w:p>
        </w:tc>
        <w:tc>
          <w:tcPr>
            <w:tcW w:w="280" w:type="dxa"/>
            <w:vAlign w:val="bottom"/>
          </w:tcPr>
          <w:p>
            <w:pPr>
              <w:spacing w:after="0"/>
              <w:rPr>
                <w:sz w:val="13"/>
                <w:szCs w:val="13"/>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312,883</w:t>
            </w:r>
          </w:p>
        </w:tc>
        <w:tc>
          <w:tcPr>
            <w:tcW w:w="100" w:type="dxa"/>
            <w:vAlign w:val="bottom"/>
          </w:tcPr>
          <w:p>
            <w:pPr>
              <w:spacing w:after="0"/>
              <w:rPr>
                <w:sz w:val="13"/>
                <w:szCs w:val="13"/>
                <w:color w:val="auto"/>
              </w:rPr>
            </w:pPr>
          </w:p>
        </w:tc>
      </w:tr>
      <w:tr>
        <w:trPr>
          <w:trHeight w:val="133"/>
        </w:trPr>
        <w:tc>
          <w:tcPr>
            <w:tcW w:w="420" w:type="dxa"/>
            <w:vAlign w:val="bottom"/>
          </w:tcPr>
          <w:p>
            <w:pPr>
              <w:spacing w:after="0"/>
              <w:rPr>
                <w:sz w:val="11"/>
                <w:szCs w:val="11"/>
                <w:color w:val="auto"/>
              </w:rPr>
            </w:pPr>
          </w:p>
        </w:tc>
        <w:tc>
          <w:tcPr>
            <w:tcW w:w="1340" w:type="dxa"/>
            <w:vAlign w:val="bottom"/>
            <w:tcBorders>
              <w:top w:val="single" w:sz="8" w:color="CCEEFF"/>
            </w:tcBorders>
            <w:shd w:val="clear" w:color="auto" w:fill="CCEEFF"/>
          </w:tcPr>
          <w:p>
            <w:pPr>
              <w:spacing w:after="0"/>
              <w:rPr>
                <w:sz w:val="11"/>
                <w:szCs w:val="11"/>
                <w:color w:val="auto"/>
              </w:rPr>
            </w:pPr>
          </w:p>
        </w:tc>
        <w:tc>
          <w:tcPr>
            <w:tcW w:w="780" w:type="dxa"/>
            <w:vAlign w:val="bottom"/>
            <w:tcBorders>
              <w:top w:val="single" w:sz="8" w:color="CCEEFF"/>
            </w:tcBorders>
            <w:shd w:val="clear" w:color="auto" w:fill="CCEEFF"/>
          </w:tcPr>
          <w:p>
            <w:pPr>
              <w:spacing w:after="0"/>
              <w:rPr>
                <w:sz w:val="11"/>
                <w:szCs w:val="11"/>
                <w:color w:val="auto"/>
              </w:rPr>
            </w:pPr>
          </w:p>
        </w:tc>
        <w:tc>
          <w:tcPr>
            <w:tcW w:w="2940" w:type="dxa"/>
            <w:vAlign w:val="bottom"/>
            <w:tcBorders>
              <w:top w:val="single" w:sz="8" w:color="CCEEFF"/>
            </w:tcBorders>
            <w:shd w:val="clear" w:color="auto" w:fill="CCEEFF"/>
          </w:tcPr>
          <w:p>
            <w:pPr>
              <w:spacing w:after="0"/>
              <w:rPr>
                <w:sz w:val="11"/>
                <w:szCs w:val="11"/>
                <w:color w:val="auto"/>
              </w:rPr>
            </w:pPr>
          </w:p>
        </w:tc>
        <w:tc>
          <w:tcPr>
            <w:tcW w:w="1180" w:type="dxa"/>
            <w:vAlign w:val="bottom"/>
            <w:tcBorders>
              <w:top w:val="single" w:sz="8" w:color="auto"/>
            </w:tcBorders>
            <w:shd w:val="clear" w:color="auto" w:fill="CCEEFF"/>
          </w:tcPr>
          <w:p>
            <w:pPr>
              <w:spacing w:after="0"/>
              <w:rPr>
                <w:sz w:val="11"/>
                <w:szCs w:val="11"/>
                <w:color w:val="auto"/>
              </w:rPr>
            </w:pPr>
          </w:p>
        </w:tc>
        <w:tc>
          <w:tcPr>
            <w:tcW w:w="400" w:type="dxa"/>
            <w:vAlign w:val="bottom"/>
            <w:tcBorders>
              <w:top w:val="single" w:sz="8" w:color="auto"/>
            </w:tcBorders>
            <w:shd w:val="clear" w:color="auto" w:fill="CCEEFF"/>
          </w:tcPr>
          <w:p>
            <w:pPr>
              <w:spacing w:after="0"/>
              <w:rPr>
                <w:sz w:val="11"/>
                <w:szCs w:val="11"/>
                <w:color w:val="auto"/>
              </w:rPr>
            </w:pPr>
          </w:p>
        </w:tc>
        <w:tc>
          <w:tcPr>
            <w:tcW w:w="320" w:type="dxa"/>
            <w:vAlign w:val="bottom"/>
            <w:tcBorders>
              <w:top w:val="single" w:sz="8" w:color="CCEEFF"/>
            </w:tcBorders>
            <w:shd w:val="clear" w:color="auto" w:fill="CCEEFF"/>
          </w:tcPr>
          <w:p>
            <w:pPr>
              <w:spacing w:after="0"/>
              <w:rPr>
                <w:sz w:val="11"/>
                <w:szCs w:val="11"/>
                <w:color w:val="auto"/>
              </w:rPr>
            </w:pPr>
          </w:p>
        </w:tc>
        <w:tc>
          <w:tcPr>
            <w:tcW w:w="280" w:type="dxa"/>
            <w:vAlign w:val="bottom"/>
            <w:tcBorders>
              <w:top w:val="single" w:sz="8" w:color="auto"/>
            </w:tcBorders>
            <w:shd w:val="clear" w:color="auto" w:fill="CCEEFF"/>
          </w:tcPr>
          <w:p>
            <w:pPr>
              <w:spacing w:after="0"/>
              <w:rPr>
                <w:sz w:val="11"/>
                <w:szCs w:val="11"/>
                <w:color w:val="auto"/>
              </w:rPr>
            </w:pPr>
          </w:p>
        </w:tc>
        <w:tc>
          <w:tcPr>
            <w:tcW w:w="130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220" w:type="dxa"/>
            <w:vAlign w:val="bottom"/>
            <w:tcBorders>
              <w:top w:val="single" w:sz="8" w:color="CCEEFF"/>
            </w:tcBorders>
            <w:shd w:val="clear" w:color="auto" w:fill="CCEEFF"/>
          </w:tcPr>
          <w:p>
            <w:pPr>
              <w:spacing w:after="0"/>
              <w:rPr>
                <w:sz w:val="11"/>
                <w:szCs w:val="11"/>
                <w:color w:val="auto"/>
              </w:rPr>
            </w:pPr>
          </w:p>
        </w:tc>
        <w:tc>
          <w:tcPr>
            <w:tcW w:w="220" w:type="dxa"/>
            <w:vAlign w:val="bottom"/>
            <w:tcBorders>
              <w:top w:val="single" w:sz="8" w:color="auto"/>
            </w:tcBorders>
            <w:shd w:val="clear" w:color="auto" w:fill="CCEEFF"/>
          </w:tcPr>
          <w:p>
            <w:pPr>
              <w:spacing w:after="0"/>
              <w:rPr>
                <w:sz w:val="11"/>
                <w:szCs w:val="11"/>
                <w:color w:val="auto"/>
              </w:rPr>
            </w:pPr>
          </w:p>
        </w:tc>
        <w:tc>
          <w:tcPr>
            <w:tcW w:w="134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r>
      <w:tr>
        <w:trPr>
          <w:trHeight w:val="169"/>
        </w:trPr>
        <w:tc>
          <w:tcPr>
            <w:tcW w:w="420" w:type="dxa"/>
            <w:vAlign w:val="bottom"/>
          </w:tcPr>
          <w:p>
            <w:pPr>
              <w:spacing w:after="0"/>
              <w:rPr>
                <w:sz w:val="14"/>
                <w:szCs w:val="14"/>
                <w:color w:val="auto"/>
              </w:rPr>
            </w:pPr>
          </w:p>
        </w:tc>
        <w:tc>
          <w:tcPr>
            <w:tcW w:w="5060" w:type="dxa"/>
            <w:vAlign w:val="bottom"/>
            <w:gridSpan w:val="3"/>
          </w:tcPr>
          <w:p>
            <w:pPr>
              <w:ind w:left="120"/>
              <w:spacing w:after="0"/>
              <w:rPr>
                <w:sz w:val="20"/>
                <w:szCs w:val="20"/>
                <w:color w:val="auto"/>
              </w:rPr>
            </w:pPr>
            <w:r>
              <w:rPr>
                <w:rFonts w:ascii="Times New Roman" w:cs="Times New Roman" w:eastAsia="Times New Roman" w:hAnsi="Times New Roman"/>
                <w:sz w:val="12"/>
                <w:szCs w:val="12"/>
                <w:color w:val="auto"/>
              </w:rPr>
              <w:t>Totals</w:t>
            </w:r>
          </w:p>
        </w:tc>
        <w:tc>
          <w:tcPr>
            <w:tcW w:w="1180" w:type="dxa"/>
            <w:vAlign w:val="bottom"/>
          </w:tcPr>
          <w:p>
            <w:pPr>
              <w:jc w:val="right"/>
              <w:ind w:right="106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gridSpan w:val="2"/>
          </w:tcPr>
          <w:p>
            <w:pPr>
              <w:jc w:val="right"/>
              <w:ind w:right="320"/>
              <w:spacing w:after="0"/>
              <w:rPr>
                <w:sz w:val="20"/>
                <w:szCs w:val="20"/>
                <w:color w:val="auto"/>
              </w:rPr>
            </w:pPr>
            <w:r>
              <w:rPr>
                <w:rFonts w:ascii="Times New Roman" w:cs="Times New Roman" w:eastAsia="Times New Roman" w:hAnsi="Times New Roman"/>
                <w:sz w:val="12"/>
                <w:szCs w:val="12"/>
                <w:color w:val="auto"/>
                <w:w w:val="97"/>
              </w:rPr>
              <w:t>980,600</w:t>
            </w:r>
          </w:p>
        </w:tc>
        <w:tc>
          <w:tcPr>
            <w:tcW w:w="280" w:type="dxa"/>
            <w:vAlign w:val="bottom"/>
          </w:tcPr>
          <w:p>
            <w:pPr>
              <w:jc w:val="right"/>
              <w:ind w:right="140"/>
              <w:spacing w:after="0"/>
              <w:rPr>
                <w:sz w:val="20"/>
                <w:szCs w:val="20"/>
                <w:color w:val="auto"/>
              </w:rPr>
            </w:pPr>
            <w:r>
              <w:rPr>
                <w:rFonts w:ascii="Times New Roman" w:cs="Times New Roman" w:eastAsia="Times New Roman" w:hAnsi="Times New Roman"/>
                <w:sz w:val="12"/>
                <w:szCs w:val="12"/>
                <w:color w:val="auto"/>
                <w:w w:val="99"/>
              </w:rPr>
              <w:t>$</w:t>
            </w:r>
          </w:p>
        </w:tc>
        <w:tc>
          <w:tcPr>
            <w:tcW w:w="140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(311,573)</w:t>
            </w:r>
          </w:p>
        </w:tc>
        <w:tc>
          <w:tcPr>
            <w:tcW w:w="440" w:type="dxa"/>
            <w:vAlign w:val="bottom"/>
            <w:gridSpan w:val="2"/>
          </w:tcPr>
          <w:p>
            <w:pPr>
              <w:jc w:val="right"/>
              <w:ind w:right="106"/>
              <w:spacing w:after="0"/>
              <w:rPr>
                <w:sz w:val="20"/>
                <w:szCs w:val="20"/>
                <w:color w:val="auto"/>
              </w:rPr>
            </w:pPr>
            <w:r>
              <w:rPr>
                <w:rFonts w:ascii="Times New Roman" w:cs="Times New Roman" w:eastAsia="Times New Roman" w:hAnsi="Times New Roman"/>
                <w:sz w:val="12"/>
                <w:szCs w:val="12"/>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669,027</w:t>
            </w:r>
          </w:p>
        </w:tc>
        <w:tc>
          <w:tcPr>
            <w:tcW w:w="100" w:type="dxa"/>
            <w:vAlign w:val="bottom"/>
          </w:tcPr>
          <w:p>
            <w:pPr>
              <w:spacing w:after="0"/>
              <w:rPr>
                <w:sz w:val="14"/>
                <w:szCs w:val="14"/>
                <w:color w:val="auto"/>
              </w:rPr>
            </w:pPr>
          </w:p>
        </w:tc>
      </w:tr>
      <w:tr>
        <w:trPr>
          <w:trHeight w:val="288"/>
        </w:trPr>
        <w:tc>
          <w:tcPr>
            <w:tcW w:w="420" w:type="dxa"/>
            <w:vAlign w:val="bottom"/>
          </w:tcPr>
          <w:p>
            <w:pPr>
              <w:spacing w:after="0"/>
              <w:rPr>
                <w:sz w:val="24"/>
                <w:szCs w:val="24"/>
                <w:color w:val="auto"/>
              </w:rPr>
            </w:pPr>
          </w:p>
        </w:tc>
        <w:tc>
          <w:tcPr>
            <w:tcW w:w="506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Amortization expense charged to operations for the year ended December 31, 2023, was $130,087.</w:t>
            </w:r>
          </w:p>
        </w:tc>
        <w:tc>
          <w:tcPr>
            <w:tcW w:w="1180" w:type="dxa"/>
            <w:vAlign w:val="bottom"/>
            <w:tcBorders>
              <w:top w:val="single" w:sz="8" w:color="auto"/>
            </w:tcBorders>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3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3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88"/>
        </w:trPr>
        <w:tc>
          <w:tcPr>
            <w:tcW w:w="420" w:type="dxa"/>
            <w:vAlign w:val="bottom"/>
          </w:tcPr>
          <w:p>
            <w:pPr>
              <w:spacing w:after="0"/>
              <w:rPr>
                <w:sz w:val="24"/>
                <w:szCs w:val="24"/>
                <w:color w:val="auto"/>
              </w:rPr>
            </w:pPr>
          </w:p>
        </w:tc>
        <w:tc>
          <w:tcPr>
            <w:tcW w:w="506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Estimated amortization expense for each of the next five years and thereafter is as follows:</w:t>
            </w:r>
          </w:p>
        </w:tc>
        <w:tc>
          <w:tcPr>
            <w:tcW w:w="1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44"/>
        </w:trPr>
        <w:tc>
          <w:tcPr>
            <w:tcW w:w="4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9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24"/>
        </w:trPr>
        <w:tc>
          <w:tcPr>
            <w:tcW w:w="420" w:type="dxa"/>
            <w:vAlign w:val="bottom"/>
          </w:tcPr>
          <w:p>
            <w:pPr>
              <w:spacing w:after="0"/>
              <w:rPr>
                <w:sz w:val="10"/>
                <w:szCs w:val="10"/>
                <w:color w:val="auto"/>
              </w:rPr>
            </w:pPr>
          </w:p>
        </w:tc>
        <w:tc>
          <w:tcPr>
            <w:tcW w:w="5060" w:type="dxa"/>
            <w:vAlign w:val="bottom"/>
            <w:gridSpan w:val="3"/>
            <w:shd w:val="clear" w:color="auto" w:fill="CCEEFF"/>
          </w:tcPr>
          <w:p>
            <w:pPr>
              <w:spacing w:after="0" w:line="117" w:lineRule="exact"/>
              <w:rPr>
                <w:sz w:val="20"/>
                <w:szCs w:val="20"/>
                <w:color w:val="auto"/>
              </w:rPr>
            </w:pPr>
            <w:r>
              <w:rPr>
                <w:rFonts w:ascii="Times New Roman" w:cs="Times New Roman" w:eastAsia="Times New Roman" w:hAnsi="Times New Roman"/>
                <w:sz w:val="12"/>
                <w:szCs w:val="12"/>
                <w:color w:val="auto"/>
              </w:rPr>
              <w:t>Years ending December 31:</w:t>
            </w:r>
          </w:p>
        </w:tc>
        <w:tc>
          <w:tcPr>
            <w:tcW w:w="11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13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20" w:type="dxa"/>
            <w:vAlign w:val="bottom"/>
            <w:shd w:val="clear" w:color="auto" w:fill="CCEEFF"/>
          </w:tcPr>
          <w:p>
            <w:pPr>
              <w:jc w:val="right"/>
              <w:ind w:right="104"/>
              <w:spacing w:after="0" w:line="117" w:lineRule="exact"/>
              <w:rPr>
                <w:sz w:val="20"/>
                <w:szCs w:val="20"/>
                <w:color w:val="auto"/>
              </w:rPr>
            </w:pPr>
            <w:r>
              <w:rPr>
                <w:rFonts w:ascii="Times New Roman" w:cs="Times New Roman" w:eastAsia="Times New Roman" w:hAnsi="Times New Roman"/>
                <w:sz w:val="11"/>
                <w:szCs w:val="11"/>
                <w:color w:val="auto"/>
                <w:w w:val="71"/>
              </w:rPr>
              <w:t>$</w:t>
            </w:r>
          </w:p>
        </w:tc>
        <w:tc>
          <w:tcPr>
            <w:tcW w:w="220" w:type="dxa"/>
            <w:vAlign w:val="bottom"/>
            <w:shd w:val="clear" w:color="auto" w:fill="CCEEFF"/>
          </w:tcPr>
          <w:p>
            <w:pPr>
              <w:spacing w:after="0"/>
              <w:rPr>
                <w:sz w:val="10"/>
                <w:szCs w:val="10"/>
                <w:color w:val="auto"/>
              </w:rPr>
            </w:pPr>
          </w:p>
        </w:tc>
        <w:tc>
          <w:tcPr>
            <w:tcW w:w="1340" w:type="dxa"/>
            <w:vAlign w:val="bottom"/>
            <w:shd w:val="clear" w:color="auto" w:fill="CCEEFF"/>
          </w:tcPr>
          <w:p>
            <w:pPr>
              <w:jc w:val="right"/>
              <w:spacing w:after="0" w:line="117" w:lineRule="exact"/>
              <w:rPr>
                <w:sz w:val="20"/>
                <w:szCs w:val="20"/>
                <w:color w:val="auto"/>
              </w:rPr>
            </w:pPr>
            <w:r>
              <w:rPr>
                <w:rFonts w:ascii="Times New Roman" w:cs="Times New Roman" w:eastAsia="Times New Roman" w:hAnsi="Times New Roman"/>
                <w:sz w:val="12"/>
                <w:szCs w:val="12"/>
                <w:color w:val="auto"/>
              </w:rPr>
              <w:t>118,565</w:t>
            </w:r>
          </w:p>
        </w:tc>
        <w:tc>
          <w:tcPr>
            <w:tcW w:w="100" w:type="dxa"/>
            <w:vAlign w:val="bottom"/>
            <w:shd w:val="clear" w:color="auto" w:fill="CCEEFF"/>
          </w:tcPr>
          <w:p>
            <w:pPr>
              <w:spacing w:after="0"/>
              <w:rPr>
                <w:sz w:val="10"/>
                <w:szCs w:val="10"/>
                <w:color w:val="auto"/>
              </w:rPr>
            </w:pPr>
          </w:p>
        </w:tc>
      </w:tr>
      <w:tr>
        <w:trPr>
          <w:trHeight w:val="144"/>
        </w:trPr>
        <w:tc>
          <w:tcPr>
            <w:tcW w:w="420" w:type="dxa"/>
            <w:vAlign w:val="bottom"/>
          </w:tcPr>
          <w:p>
            <w:pPr>
              <w:spacing w:after="0"/>
              <w:rPr>
                <w:sz w:val="12"/>
                <w:szCs w:val="12"/>
                <w:color w:val="auto"/>
              </w:rPr>
            </w:pPr>
          </w:p>
        </w:tc>
        <w:tc>
          <w:tcPr>
            <w:tcW w:w="1340" w:type="dxa"/>
            <w:vAlign w:val="bottom"/>
            <w:tcBorders>
              <w:top w:val="single" w:sz="8" w:color="auto"/>
            </w:tcBorders>
          </w:tcPr>
          <w:p>
            <w:pPr>
              <w:ind w:left="120"/>
              <w:spacing w:after="0"/>
              <w:rPr>
                <w:sz w:val="20"/>
                <w:szCs w:val="20"/>
                <w:color w:val="auto"/>
              </w:rPr>
            </w:pPr>
            <w:r>
              <w:rPr>
                <w:rFonts w:ascii="Times New Roman" w:cs="Times New Roman" w:eastAsia="Times New Roman" w:hAnsi="Times New Roman"/>
                <w:sz w:val="12"/>
                <w:szCs w:val="12"/>
                <w:color w:val="auto"/>
              </w:rPr>
              <w:t>2024</w:t>
            </w:r>
          </w:p>
        </w:tc>
        <w:tc>
          <w:tcPr>
            <w:tcW w:w="780" w:type="dxa"/>
            <w:vAlign w:val="bottom"/>
            <w:tcBorders>
              <w:top w:val="single" w:sz="8" w:color="CCEEFF"/>
            </w:tcBorders>
          </w:tcPr>
          <w:p>
            <w:pPr>
              <w:spacing w:after="0"/>
              <w:rPr>
                <w:sz w:val="12"/>
                <w:szCs w:val="12"/>
                <w:color w:val="auto"/>
              </w:rPr>
            </w:pPr>
          </w:p>
        </w:tc>
        <w:tc>
          <w:tcPr>
            <w:tcW w:w="2940" w:type="dxa"/>
            <w:vAlign w:val="bottom"/>
            <w:tcBorders>
              <w:top w:val="single" w:sz="8" w:color="CCEEFF"/>
            </w:tcBorders>
          </w:tcPr>
          <w:p>
            <w:pPr>
              <w:spacing w:after="0"/>
              <w:rPr>
                <w:sz w:val="12"/>
                <w:szCs w:val="12"/>
                <w:color w:val="auto"/>
              </w:rPr>
            </w:pPr>
          </w:p>
        </w:tc>
        <w:tc>
          <w:tcPr>
            <w:tcW w:w="1180" w:type="dxa"/>
            <w:vAlign w:val="bottom"/>
            <w:tcBorders>
              <w:top w:val="single" w:sz="8" w:color="CCEEFF"/>
            </w:tcBorders>
          </w:tcPr>
          <w:p>
            <w:pPr>
              <w:spacing w:after="0"/>
              <w:rPr>
                <w:sz w:val="12"/>
                <w:szCs w:val="12"/>
                <w:color w:val="auto"/>
              </w:rPr>
            </w:pPr>
          </w:p>
        </w:tc>
        <w:tc>
          <w:tcPr>
            <w:tcW w:w="400" w:type="dxa"/>
            <w:vAlign w:val="bottom"/>
            <w:tcBorders>
              <w:top w:val="single" w:sz="8" w:color="CCEEFF"/>
            </w:tcBorders>
          </w:tcPr>
          <w:p>
            <w:pPr>
              <w:spacing w:after="0"/>
              <w:rPr>
                <w:sz w:val="12"/>
                <w:szCs w:val="12"/>
                <w:color w:val="auto"/>
              </w:rPr>
            </w:pPr>
          </w:p>
        </w:tc>
        <w:tc>
          <w:tcPr>
            <w:tcW w:w="320" w:type="dxa"/>
            <w:vAlign w:val="bottom"/>
            <w:tcBorders>
              <w:top w:val="single" w:sz="8" w:color="CCEEFF"/>
            </w:tcBorders>
          </w:tcPr>
          <w:p>
            <w:pPr>
              <w:spacing w:after="0"/>
              <w:rPr>
                <w:sz w:val="12"/>
                <w:szCs w:val="12"/>
                <w:color w:val="auto"/>
              </w:rPr>
            </w:pPr>
          </w:p>
        </w:tc>
        <w:tc>
          <w:tcPr>
            <w:tcW w:w="280" w:type="dxa"/>
            <w:vAlign w:val="bottom"/>
            <w:tcBorders>
              <w:top w:val="single" w:sz="8" w:color="CCEEFF"/>
            </w:tcBorders>
          </w:tcPr>
          <w:p>
            <w:pPr>
              <w:spacing w:after="0"/>
              <w:rPr>
                <w:sz w:val="12"/>
                <w:szCs w:val="12"/>
                <w:color w:val="auto"/>
              </w:rPr>
            </w:pPr>
          </w:p>
        </w:tc>
        <w:tc>
          <w:tcPr>
            <w:tcW w:w="1300" w:type="dxa"/>
            <w:vAlign w:val="bottom"/>
            <w:tcBorders>
              <w:top w:val="single" w:sz="8" w:color="CCEEFF"/>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220" w:type="dxa"/>
            <w:vAlign w:val="bottom"/>
            <w:tcBorders>
              <w:top w:val="single" w:sz="8" w:color="CCEEFF"/>
            </w:tcBorders>
          </w:tcPr>
          <w:p>
            <w:pPr>
              <w:spacing w:after="0"/>
              <w:rPr>
                <w:sz w:val="12"/>
                <w:szCs w:val="12"/>
                <w:color w:val="auto"/>
              </w:rPr>
            </w:pPr>
          </w:p>
        </w:tc>
        <w:tc>
          <w:tcPr>
            <w:tcW w:w="220" w:type="dxa"/>
            <w:vAlign w:val="bottom"/>
            <w:tcBorders>
              <w:top w:val="single" w:sz="8" w:color="CCEEFF"/>
            </w:tcBorders>
          </w:tcPr>
          <w:p>
            <w:pPr>
              <w:spacing w:after="0"/>
              <w:rPr>
                <w:sz w:val="12"/>
                <w:szCs w:val="12"/>
                <w:color w:val="auto"/>
              </w:rPr>
            </w:pPr>
          </w:p>
        </w:tc>
        <w:tc>
          <w:tcPr>
            <w:tcW w:w="1340" w:type="dxa"/>
            <w:vAlign w:val="bottom"/>
            <w:tcBorders>
              <w:top w:val="single" w:sz="8" w:color="CCEEFF"/>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r>
      <w:tr>
        <w:trPr>
          <w:trHeight w:val="144"/>
        </w:trPr>
        <w:tc>
          <w:tcPr>
            <w:tcW w:w="420" w:type="dxa"/>
            <w:vAlign w:val="bottom"/>
          </w:tcPr>
          <w:p>
            <w:pPr>
              <w:spacing w:after="0"/>
              <w:rPr>
                <w:sz w:val="12"/>
                <w:szCs w:val="12"/>
                <w:color w:val="auto"/>
              </w:rPr>
            </w:pPr>
          </w:p>
        </w:tc>
        <w:tc>
          <w:tcPr>
            <w:tcW w:w="13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2025</w:t>
            </w:r>
          </w:p>
        </w:tc>
        <w:tc>
          <w:tcPr>
            <w:tcW w:w="780" w:type="dxa"/>
            <w:vAlign w:val="bottom"/>
            <w:shd w:val="clear" w:color="auto" w:fill="CCEEFF"/>
          </w:tcPr>
          <w:p>
            <w:pPr>
              <w:spacing w:after="0"/>
              <w:rPr>
                <w:sz w:val="12"/>
                <w:szCs w:val="12"/>
                <w:color w:val="auto"/>
              </w:rPr>
            </w:pPr>
          </w:p>
        </w:tc>
        <w:tc>
          <w:tcPr>
            <w:tcW w:w="294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103,204</w:t>
            </w:r>
          </w:p>
        </w:tc>
        <w:tc>
          <w:tcPr>
            <w:tcW w:w="100" w:type="dxa"/>
            <w:vAlign w:val="bottom"/>
            <w:shd w:val="clear" w:color="auto" w:fill="CCEEFF"/>
          </w:tcPr>
          <w:p>
            <w:pPr>
              <w:spacing w:after="0"/>
              <w:rPr>
                <w:sz w:val="12"/>
                <w:szCs w:val="12"/>
                <w:color w:val="auto"/>
              </w:rPr>
            </w:pPr>
          </w:p>
        </w:tc>
      </w:tr>
      <w:tr>
        <w:trPr>
          <w:trHeight w:val="144"/>
        </w:trPr>
        <w:tc>
          <w:tcPr>
            <w:tcW w:w="420" w:type="dxa"/>
            <w:vAlign w:val="bottom"/>
          </w:tcPr>
          <w:p>
            <w:pPr>
              <w:spacing w:after="0"/>
              <w:rPr>
                <w:sz w:val="12"/>
                <w:szCs w:val="12"/>
                <w:color w:val="auto"/>
              </w:rPr>
            </w:pPr>
          </w:p>
        </w:tc>
        <w:tc>
          <w:tcPr>
            <w:tcW w:w="134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2026</w:t>
            </w:r>
          </w:p>
        </w:tc>
        <w:tc>
          <w:tcPr>
            <w:tcW w:w="780" w:type="dxa"/>
            <w:vAlign w:val="bottom"/>
          </w:tcPr>
          <w:p>
            <w:pPr>
              <w:spacing w:after="0"/>
              <w:rPr>
                <w:sz w:val="12"/>
                <w:szCs w:val="12"/>
                <w:color w:val="auto"/>
              </w:rPr>
            </w:pPr>
          </w:p>
        </w:tc>
        <w:tc>
          <w:tcPr>
            <w:tcW w:w="29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63,204</w:t>
            </w:r>
          </w:p>
        </w:tc>
      </w:tr>
      <w:tr>
        <w:trPr>
          <w:trHeight w:val="144"/>
        </w:trPr>
        <w:tc>
          <w:tcPr>
            <w:tcW w:w="420" w:type="dxa"/>
            <w:vAlign w:val="bottom"/>
          </w:tcPr>
          <w:p>
            <w:pPr>
              <w:spacing w:after="0"/>
              <w:rPr>
                <w:sz w:val="12"/>
                <w:szCs w:val="12"/>
                <w:color w:val="auto"/>
              </w:rPr>
            </w:pPr>
          </w:p>
        </w:tc>
        <w:tc>
          <w:tcPr>
            <w:tcW w:w="13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2027</w:t>
            </w:r>
          </w:p>
        </w:tc>
        <w:tc>
          <w:tcPr>
            <w:tcW w:w="780" w:type="dxa"/>
            <w:vAlign w:val="bottom"/>
            <w:shd w:val="clear" w:color="auto" w:fill="CCEEFF"/>
          </w:tcPr>
          <w:p>
            <w:pPr>
              <w:spacing w:after="0"/>
              <w:rPr>
                <w:sz w:val="12"/>
                <w:szCs w:val="12"/>
                <w:color w:val="auto"/>
              </w:rPr>
            </w:pPr>
          </w:p>
        </w:tc>
        <w:tc>
          <w:tcPr>
            <w:tcW w:w="294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6,585</w:t>
            </w:r>
          </w:p>
        </w:tc>
        <w:tc>
          <w:tcPr>
            <w:tcW w:w="100" w:type="dxa"/>
            <w:vAlign w:val="bottom"/>
            <w:shd w:val="clear" w:color="auto" w:fill="CCEEFF"/>
          </w:tcPr>
          <w:p>
            <w:pPr>
              <w:spacing w:after="0"/>
              <w:rPr>
                <w:sz w:val="12"/>
                <w:szCs w:val="12"/>
                <w:color w:val="auto"/>
              </w:rPr>
            </w:pPr>
          </w:p>
        </w:tc>
      </w:tr>
      <w:tr>
        <w:trPr>
          <w:trHeight w:val="144"/>
        </w:trPr>
        <w:tc>
          <w:tcPr>
            <w:tcW w:w="420" w:type="dxa"/>
            <w:vAlign w:val="bottom"/>
          </w:tcPr>
          <w:p>
            <w:pPr>
              <w:spacing w:after="0"/>
              <w:rPr>
                <w:sz w:val="12"/>
                <w:szCs w:val="12"/>
                <w:color w:val="auto"/>
              </w:rPr>
            </w:pPr>
          </w:p>
        </w:tc>
        <w:tc>
          <w:tcPr>
            <w:tcW w:w="134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2028</w:t>
            </w:r>
          </w:p>
        </w:tc>
        <w:tc>
          <w:tcPr>
            <w:tcW w:w="780" w:type="dxa"/>
            <w:vAlign w:val="bottom"/>
          </w:tcPr>
          <w:p>
            <w:pPr>
              <w:spacing w:after="0"/>
              <w:rPr>
                <w:sz w:val="12"/>
                <w:szCs w:val="12"/>
                <w:color w:val="auto"/>
              </w:rPr>
            </w:pPr>
          </w:p>
        </w:tc>
        <w:tc>
          <w:tcPr>
            <w:tcW w:w="29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4,727</w:t>
            </w:r>
          </w:p>
        </w:tc>
        <w:tc>
          <w:tcPr>
            <w:tcW w:w="100" w:type="dxa"/>
            <w:vAlign w:val="bottom"/>
          </w:tcPr>
          <w:p>
            <w:pPr>
              <w:spacing w:after="0"/>
              <w:rPr>
                <w:sz w:val="12"/>
                <w:szCs w:val="12"/>
                <w:color w:val="auto"/>
              </w:rPr>
            </w:pPr>
          </w:p>
        </w:tc>
      </w:tr>
      <w:tr>
        <w:trPr>
          <w:trHeight w:val="153"/>
        </w:trPr>
        <w:tc>
          <w:tcPr>
            <w:tcW w:w="420" w:type="dxa"/>
            <w:vAlign w:val="bottom"/>
          </w:tcPr>
          <w:p>
            <w:pPr>
              <w:spacing w:after="0"/>
              <w:rPr>
                <w:sz w:val="13"/>
                <w:szCs w:val="13"/>
                <w:color w:val="auto"/>
              </w:rPr>
            </w:pPr>
          </w:p>
        </w:tc>
        <w:tc>
          <w:tcPr>
            <w:tcW w:w="506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Thereafter</w:t>
            </w:r>
          </w:p>
        </w:tc>
        <w:tc>
          <w:tcPr>
            <w:tcW w:w="11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3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59,858</w:t>
            </w:r>
          </w:p>
        </w:tc>
      </w:tr>
      <w:tr>
        <w:trPr>
          <w:trHeight w:val="149"/>
        </w:trPr>
        <w:tc>
          <w:tcPr>
            <w:tcW w:w="420" w:type="dxa"/>
            <w:vAlign w:val="bottom"/>
          </w:tcPr>
          <w:p>
            <w:pPr>
              <w:spacing w:after="0"/>
              <w:rPr>
                <w:sz w:val="12"/>
                <w:szCs w:val="12"/>
                <w:color w:val="auto"/>
              </w:rPr>
            </w:pPr>
          </w:p>
        </w:tc>
        <w:tc>
          <w:tcPr>
            <w:tcW w:w="5060" w:type="dxa"/>
            <w:vAlign w:val="bottom"/>
            <w:gridSpan w:val="3"/>
          </w:tcPr>
          <w:p>
            <w:pPr>
              <w:ind w:left="120"/>
              <w:spacing w:after="0"/>
              <w:rPr>
                <w:sz w:val="20"/>
                <w:szCs w:val="20"/>
                <w:color w:val="auto"/>
              </w:rPr>
            </w:pPr>
            <w:r>
              <w:rPr>
                <w:rFonts w:ascii="Times New Roman" w:cs="Times New Roman" w:eastAsia="Times New Roman" w:hAnsi="Times New Roman"/>
                <w:sz w:val="12"/>
                <w:szCs w:val="12"/>
                <w:color w:val="auto"/>
              </w:rPr>
              <w:t>Total</w:t>
            </w:r>
          </w:p>
        </w:tc>
        <w:tc>
          <w:tcPr>
            <w:tcW w:w="11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Borders>
              <w:top w:val="single" w:sz="8" w:color="auto"/>
              <w:bottom w:val="single" w:sz="8" w:color="auto"/>
            </w:tcBorders>
          </w:tcPr>
          <w:p>
            <w:pPr>
              <w:jc w:val="right"/>
              <w:ind w:right="104"/>
              <w:spacing w:after="0"/>
              <w:rPr>
                <w:sz w:val="20"/>
                <w:szCs w:val="20"/>
                <w:color w:val="auto"/>
              </w:rPr>
            </w:pPr>
            <w:r>
              <w:rPr>
                <w:rFonts w:ascii="Times New Roman" w:cs="Times New Roman" w:eastAsia="Times New Roman" w:hAnsi="Times New Roman"/>
                <w:sz w:val="11"/>
                <w:szCs w:val="11"/>
                <w:color w:val="auto"/>
                <w:w w:val="71"/>
              </w:rPr>
              <w:t>$</w:t>
            </w:r>
          </w:p>
        </w:tc>
        <w:tc>
          <w:tcPr>
            <w:tcW w:w="220" w:type="dxa"/>
            <w:vAlign w:val="bottom"/>
            <w:tcBorders>
              <w:top w:val="single" w:sz="8" w:color="auto"/>
              <w:bottom w:val="single" w:sz="8" w:color="auto"/>
            </w:tcBorders>
          </w:tcPr>
          <w:p>
            <w:pPr>
              <w:spacing w:after="0"/>
              <w:rPr>
                <w:sz w:val="12"/>
                <w:szCs w:val="12"/>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356,143</w:t>
            </w:r>
          </w:p>
        </w:tc>
        <w:tc>
          <w:tcPr>
            <w:tcW w:w="100" w:type="dxa"/>
            <w:vAlign w:val="bottom"/>
          </w:tcPr>
          <w:p>
            <w:pPr>
              <w:spacing w:after="0"/>
              <w:rPr>
                <w:sz w:val="12"/>
                <w:szCs w:val="12"/>
                <w:color w:val="auto"/>
              </w:rPr>
            </w:pPr>
          </w:p>
        </w:tc>
      </w:tr>
    </w:tbl>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u w:val="single" w:color="auto"/>
          <w:color w:val="auto"/>
        </w:rPr>
        <w:t>(4) Credit facility</w:t>
      </w:r>
    </w:p>
    <w:p>
      <w:pPr>
        <w:spacing w:after="0" w:line="154" w:lineRule="exact"/>
        <w:rPr>
          <w:sz w:val="20"/>
          <w:szCs w:val="20"/>
          <w:color w:val="auto"/>
        </w:rPr>
      </w:pPr>
    </w:p>
    <w:p>
      <w:pPr>
        <w:jc w:val="both"/>
        <w:ind w:left="420"/>
        <w:spacing w:after="0" w:line="256" w:lineRule="auto"/>
        <w:rPr>
          <w:sz w:val="20"/>
          <w:szCs w:val="20"/>
          <w:color w:val="auto"/>
        </w:rPr>
      </w:pPr>
      <w:r>
        <w:rPr>
          <w:rFonts w:ascii="Times New Roman" w:cs="Times New Roman" w:eastAsia="Times New Roman" w:hAnsi="Times New Roman"/>
          <w:sz w:val="12"/>
          <w:szCs w:val="12"/>
          <w:color w:val="auto"/>
        </w:rPr>
        <w:t>The Company entered into a credit facility agreement with Signature Bank on November 12, 2021, which allowed for a line of credit and term loan. On May 12, 2023, the credit facility was transferred to Customers Bank due to Signature Bank being placed into receivership. The line of credit allowed for borrowings up to $10,000,000, which is collateralized by substantially all assets of the Company, however due to the transfer from Signature Bank to Customers Bank, there is no further availability subsequent to the borrowings described below. The credit facility was amended on November 1, 2023, to extend the maturity date of the line of credit to March 12, 2024. Subsequent to year end, the credit facility was amended to extend the maturity date of the line of credit to November 12, 2025. Additionally, per the second amendment, the Company must make equal payments of principal and all accrued interest beginning March 12, 2024, for twenty- one months. The line of credit carries interest at the greater of the Prime rate plus .75%, or 4% (9.25% as of December 31, 2023). As of December 31, 2023, the outstanding borrowings against the line of credit portion of the credit facility was $230,000.</w:t>
      </w:r>
    </w:p>
    <w:p>
      <w:pPr>
        <w:spacing w:after="0" w:line="125" w:lineRule="exact"/>
        <w:rPr>
          <w:sz w:val="20"/>
          <w:szCs w:val="20"/>
          <w:color w:val="auto"/>
        </w:rPr>
      </w:pPr>
    </w:p>
    <w:p>
      <w:pPr>
        <w:jc w:val="both"/>
        <w:ind w:left="420"/>
        <w:spacing w:after="0" w:line="279" w:lineRule="auto"/>
        <w:rPr>
          <w:sz w:val="20"/>
          <w:szCs w:val="20"/>
          <w:color w:val="auto"/>
        </w:rPr>
      </w:pPr>
      <w:r>
        <w:rPr>
          <w:rFonts w:ascii="Times New Roman" w:cs="Times New Roman" w:eastAsia="Times New Roman" w:hAnsi="Times New Roman"/>
          <w:sz w:val="12"/>
          <w:szCs w:val="12"/>
          <w:color w:val="auto"/>
        </w:rPr>
        <w:t>The term loan allowed for borrowings up to $5,000,000, carries interest at the greater of the Prime rate plus .75%, or 4% (9.25% as of December 31, 2023), and has a maturity date of November 12, 2025. As of December 31, 2023, the outstanding borrowings against the term loan portion of the credit facility was $575,000. As described above, there is no further availability subsequent to the outstanding amount.</w:t>
      </w:r>
    </w:p>
    <w:p>
      <w:pPr>
        <w:spacing w:after="0" w:line="1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479" w:right="299" w:bottom="1440" w:gutter="0" w:footer="0" w:header="0"/>
        </w:sectPr>
      </w:pPr>
    </w:p>
    <w:bookmarkStart w:id="14" w:name="page15"/>
    <w:bookmarkEnd w:id="14"/>
    <w:tbl>
      <w:tblPr>
        <w:tblLayout w:type="fixed"/>
        <w:tblInd w:w="420" w:type="dxa"/>
        <w:tblCellMar>
          <w:top w:w="0" w:type="dxa"/>
          <w:left w:w="0" w:type="dxa"/>
          <w:bottom w:w="0" w:type="dxa"/>
          <w:right w:w="0" w:type="dxa"/>
        </w:tblCellMar>
      </w:tblPr>
      <w:tr>
        <w:trPr>
          <w:trHeight w:val="138"/>
        </w:trPr>
        <w:tc>
          <w:tcPr>
            <w:tcW w:w="5060" w:type="dxa"/>
            <w:vAlign w:val="bottom"/>
            <w:gridSpan w:val="3"/>
          </w:tcPr>
          <w:p>
            <w:pPr>
              <w:spacing w:after="0"/>
              <w:rPr>
                <w:sz w:val="20"/>
                <w:szCs w:val="20"/>
                <w:color w:val="auto"/>
              </w:rPr>
            </w:pPr>
            <w:r>
              <w:rPr>
                <w:rFonts w:ascii="Times New Roman" w:cs="Times New Roman" w:eastAsia="Times New Roman" w:hAnsi="Times New Roman"/>
                <w:sz w:val="12"/>
                <w:szCs w:val="12"/>
                <w:b w:val="1"/>
                <w:bCs w:val="1"/>
                <w:color w:val="auto"/>
              </w:rPr>
              <w:t>Credit facility (continued)</w:t>
            </w:r>
          </w:p>
        </w:tc>
        <w:tc>
          <w:tcPr>
            <w:tcW w:w="1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0"/>
        </w:trPr>
        <w:tc>
          <w:tcPr>
            <w:tcW w:w="72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95"/>
        </w:trPr>
        <w:tc>
          <w:tcPr>
            <w:tcW w:w="506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Future maturities of the credit facility are as follows:</w:t>
            </w:r>
          </w:p>
        </w:tc>
        <w:tc>
          <w:tcPr>
            <w:tcW w:w="1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70"/>
        </w:trPr>
        <w:tc>
          <w:tcPr>
            <w:tcW w:w="506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Years Ending December 31,</w:t>
            </w:r>
          </w:p>
        </w:tc>
        <w:tc>
          <w:tcPr>
            <w:tcW w:w="1120" w:type="dxa"/>
            <w:vAlign w:val="bottom"/>
          </w:tcPr>
          <w:p>
            <w:pPr>
              <w:jc w:val="right"/>
              <w:ind w:right="4"/>
              <w:spacing w:after="0"/>
              <w:rPr>
                <w:sz w:val="20"/>
                <w:szCs w:val="20"/>
                <w:color w:val="auto"/>
              </w:rPr>
            </w:pPr>
            <w:r>
              <w:rPr>
                <w:rFonts w:ascii="Times New Roman" w:cs="Times New Roman" w:eastAsia="Times New Roman" w:hAnsi="Times New Roman"/>
                <w:sz w:val="12"/>
                <w:szCs w:val="12"/>
                <w:color w:val="auto"/>
              </w:rPr>
              <w:t>Term Loan</w:t>
            </w:r>
          </w:p>
        </w:tc>
        <w:tc>
          <w:tcPr>
            <w:tcW w:w="4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Line of Credit</w:t>
            </w:r>
          </w:p>
        </w:tc>
        <w:tc>
          <w:tcPr>
            <w:tcW w:w="4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300" w:type="dxa"/>
            <w:vAlign w:val="bottom"/>
            <w:gridSpan w:val="2"/>
          </w:tcPr>
          <w:p>
            <w:pPr>
              <w:ind w:left="300"/>
              <w:spacing w:after="0"/>
              <w:rPr>
                <w:sz w:val="20"/>
                <w:szCs w:val="20"/>
                <w:color w:val="auto"/>
              </w:rPr>
            </w:pPr>
            <w:r>
              <w:rPr>
                <w:rFonts w:ascii="Times New Roman" w:cs="Times New Roman" w:eastAsia="Times New Roman" w:hAnsi="Times New Roman"/>
                <w:sz w:val="12"/>
                <w:szCs w:val="12"/>
                <w:color w:val="auto"/>
              </w:rPr>
              <w:t>Total</w:t>
            </w:r>
          </w:p>
        </w:tc>
      </w:tr>
      <w:tr>
        <w:trPr>
          <w:trHeight w:val="20"/>
        </w:trPr>
        <w:tc>
          <w:tcPr>
            <w:tcW w:w="720" w:type="dxa"/>
            <w:vAlign w:val="bottom"/>
            <w:tcBorders>
              <w:top w:val="single" w:sz="8" w:color="auto"/>
              <w:bottom w:val="single" w:sz="8" w:color="CCEEFF"/>
            </w:tcBorders>
          </w:tcPr>
          <w:p>
            <w:pPr>
              <w:spacing w:after="0" w:line="20" w:lineRule="exact"/>
              <w:rPr>
                <w:sz w:val="1"/>
                <w:szCs w:val="1"/>
                <w:color w:val="auto"/>
              </w:rPr>
            </w:pPr>
          </w:p>
        </w:tc>
        <w:tc>
          <w:tcPr>
            <w:tcW w:w="640" w:type="dxa"/>
            <w:vAlign w:val="bottom"/>
            <w:tcBorders>
              <w:top w:val="single" w:sz="8" w:color="auto"/>
              <w:bottom w:val="single" w:sz="8" w:color="CCEEFF"/>
            </w:tcBorders>
          </w:tcPr>
          <w:p>
            <w:pPr>
              <w:spacing w:after="0" w:line="20" w:lineRule="exact"/>
              <w:rPr>
                <w:sz w:val="1"/>
                <w:szCs w:val="1"/>
                <w:color w:val="auto"/>
              </w:rPr>
            </w:pPr>
          </w:p>
        </w:tc>
        <w:tc>
          <w:tcPr>
            <w:tcW w:w="370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r>
      <w:tr>
        <w:trPr>
          <w:trHeight w:val="120"/>
        </w:trPr>
        <w:tc>
          <w:tcPr>
            <w:tcW w:w="720" w:type="dxa"/>
            <w:vAlign w:val="bottom"/>
            <w:shd w:val="clear" w:color="auto" w:fill="CCEEFF"/>
          </w:tcPr>
          <w:p>
            <w:pPr>
              <w:ind w:left="120"/>
              <w:spacing w:after="0" w:line="120" w:lineRule="exact"/>
              <w:rPr>
                <w:sz w:val="20"/>
                <w:szCs w:val="20"/>
                <w:color w:val="auto"/>
              </w:rPr>
            </w:pPr>
            <w:r>
              <w:rPr>
                <w:rFonts w:ascii="Times New Roman" w:cs="Times New Roman" w:eastAsia="Times New Roman" w:hAnsi="Times New Roman"/>
                <w:sz w:val="12"/>
                <w:szCs w:val="12"/>
                <w:color w:val="auto"/>
              </w:rPr>
              <w:t>2024</w:t>
            </w:r>
          </w:p>
        </w:tc>
        <w:tc>
          <w:tcPr>
            <w:tcW w:w="640" w:type="dxa"/>
            <w:vAlign w:val="bottom"/>
            <w:shd w:val="clear" w:color="auto" w:fill="CCEEFF"/>
          </w:tcPr>
          <w:p>
            <w:pPr>
              <w:spacing w:after="0"/>
              <w:rPr>
                <w:sz w:val="10"/>
                <w:szCs w:val="10"/>
                <w:color w:val="auto"/>
              </w:rPr>
            </w:pPr>
          </w:p>
        </w:tc>
        <w:tc>
          <w:tcPr>
            <w:tcW w:w="3700" w:type="dxa"/>
            <w:vAlign w:val="bottom"/>
            <w:shd w:val="clear" w:color="auto" w:fill="CCEEFF"/>
          </w:tcPr>
          <w:p>
            <w:pPr>
              <w:spacing w:after="0"/>
              <w:rPr>
                <w:sz w:val="10"/>
                <w:szCs w:val="10"/>
                <w:color w:val="auto"/>
              </w:rPr>
            </w:pPr>
          </w:p>
        </w:tc>
        <w:tc>
          <w:tcPr>
            <w:tcW w:w="1120" w:type="dxa"/>
            <w:vAlign w:val="bottom"/>
            <w:shd w:val="clear" w:color="auto" w:fill="CCEEFF"/>
          </w:tcPr>
          <w:p>
            <w:pPr>
              <w:jc w:val="right"/>
              <w:ind w:right="1004"/>
              <w:spacing w:after="0" w:line="120" w:lineRule="exact"/>
              <w:rPr>
                <w:sz w:val="20"/>
                <w:szCs w:val="20"/>
                <w:color w:val="auto"/>
              </w:rPr>
            </w:pPr>
            <w:r>
              <w:rPr>
                <w:rFonts w:ascii="Times New Roman" w:cs="Times New Roman" w:eastAsia="Times New Roman" w:hAnsi="Times New Roman"/>
                <w:sz w:val="11"/>
                <w:szCs w:val="11"/>
                <w:color w:val="auto"/>
                <w:w w:val="71"/>
              </w:rPr>
              <w:t>$</w:t>
            </w:r>
          </w:p>
        </w:tc>
        <w:tc>
          <w:tcPr>
            <w:tcW w:w="460" w:type="dxa"/>
            <w:vAlign w:val="bottom"/>
            <w:shd w:val="clear" w:color="auto" w:fill="CCEEFF"/>
          </w:tcPr>
          <w:p>
            <w:pPr>
              <w:jc w:val="right"/>
              <w:spacing w:after="0" w:line="120" w:lineRule="exact"/>
              <w:rPr>
                <w:sz w:val="20"/>
                <w:szCs w:val="20"/>
                <w:color w:val="auto"/>
              </w:rPr>
            </w:pPr>
            <w:r>
              <w:rPr>
                <w:rFonts w:ascii="Times New Roman" w:cs="Times New Roman" w:eastAsia="Times New Roman" w:hAnsi="Times New Roman"/>
                <w:sz w:val="12"/>
                <w:szCs w:val="12"/>
                <w:color w:val="auto"/>
              </w:rPr>
              <w:t>300,000</w:t>
            </w:r>
          </w:p>
        </w:tc>
        <w:tc>
          <w:tcPr>
            <w:tcW w:w="320" w:type="dxa"/>
            <w:vAlign w:val="bottom"/>
            <w:shd w:val="clear" w:color="auto" w:fill="CCEEFF"/>
          </w:tcPr>
          <w:p>
            <w:pPr>
              <w:spacing w:after="0"/>
              <w:rPr>
                <w:sz w:val="10"/>
                <w:szCs w:val="10"/>
                <w:color w:val="auto"/>
              </w:rPr>
            </w:pPr>
          </w:p>
        </w:tc>
        <w:tc>
          <w:tcPr>
            <w:tcW w:w="1160" w:type="dxa"/>
            <w:vAlign w:val="bottom"/>
            <w:shd w:val="clear" w:color="auto" w:fill="CCEEFF"/>
          </w:tcPr>
          <w:p>
            <w:pPr>
              <w:jc w:val="right"/>
              <w:ind w:right="1020"/>
              <w:spacing w:after="0" w:line="120" w:lineRule="exact"/>
              <w:rPr>
                <w:sz w:val="20"/>
                <w:szCs w:val="20"/>
                <w:color w:val="auto"/>
              </w:rPr>
            </w:pPr>
            <w:r>
              <w:rPr>
                <w:rFonts w:ascii="Times New Roman" w:cs="Times New Roman" w:eastAsia="Times New Roman" w:hAnsi="Times New Roman"/>
                <w:sz w:val="12"/>
                <w:szCs w:val="12"/>
                <w:color w:val="auto"/>
                <w:w w:val="99"/>
              </w:rPr>
              <w:t>$</w:t>
            </w:r>
          </w:p>
        </w:tc>
        <w:tc>
          <w:tcPr>
            <w:tcW w:w="420" w:type="dxa"/>
            <w:vAlign w:val="bottom"/>
            <w:shd w:val="clear" w:color="auto" w:fill="CCEEFF"/>
          </w:tcPr>
          <w:p>
            <w:pPr>
              <w:jc w:val="right"/>
              <w:spacing w:after="0" w:line="120" w:lineRule="exact"/>
              <w:rPr>
                <w:sz w:val="20"/>
                <w:szCs w:val="20"/>
                <w:color w:val="auto"/>
              </w:rPr>
            </w:pPr>
            <w:r>
              <w:rPr>
                <w:rFonts w:ascii="Times New Roman" w:cs="Times New Roman" w:eastAsia="Times New Roman" w:hAnsi="Times New Roman"/>
                <w:sz w:val="12"/>
                <w:szCs w:val="12"/>
                <w:color w:val="auto"/>
              </w:rPr>
              <w:t>109,520</w:t>
            </w:r>
          </w:p>
        </w:tc>
        <w:tc>
          <w:tcPr>
            <w:tcW w:w="320" w:type="dxa"/>
            <w:vAlign w:val="bottom"/>
            <w:shd w:val="clear" w:color="auto" w:fill="CCEEFF"/>
          </w:tcPr>
          <w:p>
            <w:pPr>
              <w:spacing w:after="0"/>
              <w:rPr>
                <w:sz w:val="10"/>
                <w:szCs w:val="10"/>
                <w:color w:val="auto"/>
              </w:rPr>
            </w:pPr>
          </w:p>
        </w:tc>
        <w:tc>
          <w:tcPr>
            <w:tcW w:w="360" w:type="dxa"/>
            <w:vAlign w:val="bottom"/>
            <w:shd w:val="clear" w:color="auto" w:fill="CCEEFF"/>
          </w:tcPr>
          <w:p>
            <w:pPr>
              <w:jc w:val="right"/>
              <w:ind w:right="246"/>
              <w:spacing w:after="0" w:line="120" w:lineRule="exact"/>
              <w:rPr>
                <w:sz w:val="20"/>
                <w:szCs w:val="20"/>
                <w:color w:val="auto"/>
              </w:rPr>
            </w:pPr>
            <w:r>
              <w:rPr>
                <w:rFonts w:ascii="Times New Roman" w:cs="Times New Roman" w:eastAsia="Times New Roman" w:hAnsi="Times New Roman"/>
                <w:sz w:val="11"/>
                <w:szCs w:val="11"/>
                <w:color w:val="auto"/>
                <w:w w:val="71"/>
              </w:rPr>
              <w:t>$</w:t>
            </w:r>
          </w:p>
        </w:tc>
        <w:tc>
          <w:tcPr>
            <w:tcW w:w="1200" w:type="dxa"/>
            <w:vAlign w:val="bottom"/>
            <w:shd w:val="clear" w:color="auto" w:fill="CCEEFF"/>
          </w:tcPr>
          <w:p>
            <w:pPr>
              <w:jc w:val="right"/>
              <w:spacing w:after="0" w:line="120" w:lineRule="exact"/>
              <w:rPr>
                <w:sz w:val="20"/>
                <w:szCs w:val="20"/>
                <w:color w:val="auto"/>
              </w:rPr>
            </w:pPr>
            <w:r>
              <w:rPr>
                <w:rFonts w:ascii="Times New Roman" w:cs="Times New Roman" w:eastAsia="Times New Roman" w:hAnsi="Times New Roman"/>
                <w:sz w:val="12"/>
                <w:szCs w:val="12"/>
                <w:color w:val="auto"/>
              </w:rPr>
              <w:t>409,520</w:t>
            </w:r>
          </w:p>
        </w:tc>
        <w:tc>
          <w:tcPr>
            <w:tcW w:w="100" w:type="dxa"/>
            <w:vAlign w:val="bottom"/>
            <w:shd w:val="clear" w:color="auto" w:fill="CCEEFF"/>
          </w:tcPr>
          <w:p>
            <w:pPr>
              <w:spacing w:after="0"/>
              <w:rPr>
                <w:sz w:val="10"/>
                <w:szCs w:val="10"/>
                <w:color w:val="auto"/>
              </w:rPr>
            </w:pPr>
          </w:p>
        </w:tc>
      </w:tr>
      <w:tr>
        <w:trPr>
          <w:trHeight w:val="153"/>
        </w:trPr>
        <w:tc>
          <w:tcPr>
            <w:tcW w:w="72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2025</w:t>
            </w:r>
          </w:p>
        </w:tc>
        <w:tc>
          <w:tcPr>
            <w:tcW w:w="640" w:type="dxa"/>
            <w:vAlign w:val="bottom"/>
          </w:tcPr>
          <w:p>
            <w:pPr>
              <w:spacing w:after="0"/>
              <w:rPr>
                <w:sz w:val="13"/>
                <w:szCs w:val="13"/>
                <w:color w:val="auto"/>
              </w:rPr>
            </w:pPr>
          </w:p>
        </w:tc>
        <w:tc>
          <w:tcPr>
            <w:tcW w:w="37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780" w:type="dxa"/>
            <w:vAlign w:val="bottom"/>
            <w:gridSpan w:val="2"/>
          </w:tcPr>
          <w:p>
            <w:pPr>
              <w:jc w:val="right"/>
              <w:ind w:right="320"/>
              <w:spacing w:after="0"/>
              <w:rPr>
                <w:sz w:val="20"/>
                <w:szCs w:val="20"/>
                <w:color w:val="auto"/>
              </w:rPr>
            </w:pPr>
            <w:r>
              <w:rPr>
                <w:rFonts w:ascii="Times New Roman" w:cs="Times New Roman" w:eastAsia="Times New Roman" w:hAnsi="Times New Roman"/>
                <w:sz w:val="12"/>
                <w:szCs w:val="12"/>
                <w:color w:val="auto"/>
              </w:rPr>
              <w:t>275,000</w:t>
            </w:r>
          </w:p>
        </w:tc>
        <w:tc>
          <w:tcPr>
            <w:tcW w:w="1160" w:type="dxa"/>
            <w:vAlign w:val="bottom"/>
          </w:tcPr>
          <w:p>
            <w:pPr>
              <w:spacing w:after="0"/>
              <w:rPr>
                <w:sz w:val="13"/>
                <w:szCs w:val="13"/>
                <w:color w:val="auto"/>
              </w:rPr>
            </w:pPr>
          </w:p>
        </w:tc>
        <w:tc>
          <w:tcPr>
            <w:tcW w:w="740" w:type="dxa"/>
            <w:vAlign w:val="bottom"/>
            <w:gridSpan w:val="2"/>
          </w:tcPr>
          <w:p>
            <w:pPr>
              <w:jc w:val="right"/>
              <w:ind w:right="320"/>
              <w:spacing w:after="0"/>
              <w:rPr>
                <w:sz w:val="20"/>
                <w:szCs w:val="20"/>
                <w:color w:val="auto"/>
              </w:rPr>
            </w:pPr>
            <w:r>
              <w:rPr>
                <w:rFonts w:ascii="Times New Roman" w:cs="Times New Roman" w:eastAsia="Times New Roman" w:hAnsi="Times New Roman"/>
                <w:sz w:val="12"/>
                <w:szCs w:val="12"/>
                <w:color w:val="auto"/>
              </w:rPr>
              <w:t>120,480</w:t>
            </w:r>
          </w:p>
        </w:tc>
        <w:tc>
          <w:tcPr>
            <w:tcW w:w="36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395,480</w:t>
            </w:r>
          </w:p>
        </w:tc>
        <w:tc>
          <w:tcPr>
            <w:tcW w:w="100" w:type="dxa"/>
            <w:vAlign w:val="bottom"/>
          </w:tcPr>
          <w:p>
            <w:pPr>
              <w:spacing w:after="0"/>
              <w:rPr>
                <w:sz w:val="13"/>
                <w:szCs w:val="13"/>
                <w:color w:val="auto"/>
              </w:rPr>
            </w:pPr>
          </w:p>
        </w:tc>
      </w:tr>
      <w:tr>
        <w:trPr>
          <w:trHeight w:val="149"/>
        </w:trPr>
        <w:tc>
          <w:tcPr>
            <w:tcW w:w="5060" w:type="dxa"/>
            <w:vAlign w:val="bottom"/>
            <w:tcBorders>
              <w:top w:val="single" w:sz="8" w:color="CCEEFF"/>
              <w:bottom w:val="single" w:sz="8" w:color="CCEEFF"/>
            </w:tcBorders>
            <w:gridSpan w:val="3"/>
            <w:shd w:val="clear" w:color="auto" w:fill="CCEEFF"/>
          </w:tcPr>
          <w:p>
            <w:pPr>
              <w:ind w:left="120"/>
              <w:spacing w:after="0" w:line="135" w:lineRule="exact"/>
              <w:rPr>
                <w:sz w:val="20"/>
                <w:szCs w:val="20"/>
                <w:color w:val="auto"/>
              </w:rPr>
            </w:pPr>
            <w:r>
              <w:rPr>
                <w:rFonts w:ascii="Times New Roman" w:cs="Times New Roman" w:eastAsia="Times New Roman" w:hAnsi="Times New Roman"/>
                <w:sz w:val="12"/>
                <w:szCs w:val="12"/>
                <w:color w:val="auto"/>
              </w:rPr>
              <w:t>Total long-term debt</w:t>
            </w:r>
          </w:p>
        </w:tc>
        <w:tc>
          <w:tcPr>
            <w:tcW w:w="1120" w:type="dxa"/>
            <w:vAlign w:val="bottom"/>
            <w:tcBorders>
              <w:top w:val="single" w:sz="8" w:color="auto"/>
              <w:bottom w:val="single" w:sz="8" w:color="auto"/>
            </w:tcBorders>
            <w:shd w:val="clear" w:color="auto" w:fill="CCEEFF"/>
          </w:tcPr>
          <w:p>
            <w:pPr>
              <w:jc w:val="right"/>
              <w:ind w:right="1004"/>
              <w:spacing w:after="0"/>
              <w:rPr>
                <w:sz w:val="20"/>
                <w:szCs w:val="20"/>
                <w:color w:val="auto"/>
              </w:rPr>
            </w:pPr>
            <w:r>
              <w:rPr>
                <w:rFonts w:ascii="Times New Roman" w:cs="Times New Roman" w:eastAsia="Times New Roman" w:hAnsi="Times New Roman"/>
                <w:sz w:val="11"/>
                <w:szCs w:val="11"/>
                <w:color w:val="auto"/>
                <w:w w:val="71"/>
              </w:rPr>
              <w:t>$</w:t>
            </w: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575,000</w:t>
            </w:r>
          </w:p>
        </w:tc>
        <w:tc>
          <w:tcPr>
            <w:tcW w:w="320" w:type="dxa"/>
            <w:vAlign w:val="bottom"/>
            <w:tcBorders>
              <w:top w:val="single" w:sz="8" w:color="CCEEFF"/>
              <w:bottom w:val="single" w:sz="8" w:color="CCEEFF"/>
            </w:tcBorders>
            <w:shd w:val="clear" w:color="auto" w:fill="CCEEFF"/>
          </w:tcPr>
          <w:p>
            <w:pPr>
              <w:spacing w:after="0"/>
              <w:rPr>
                <w:sz w:val="12"/>
                <w:szCs w:val="12"/>
                <w:color w:val="auto"/>
              </w:rPr>
            </w:pPr>
          </w:p>
        </w:tc>
        <w:tc>
          <w:tcPr>
            <w:tcW w:w="1160" w:type="dxa"/>
            <w:vAlign w:val="bottom"/>
            <w:tcBorders>
              <w:top w:val="single" w:sz="8" w:color="auto"/>
              <w:bottom w:val="single" w:sz="8" w:color="auto"/>
            </w:tcBorders>
            <w:shd w:val="clear" w:color="auto" w:fill="CCEEFF"/>
          </w:tcPr>
          <w:p>
            <w:pPr>
              <w:jc w:val="right"/>
              <w:ind w:right="1020"/>
              <w:spacing w:after="0"/>
              <w:rPr>
                <w:sz w:val="20"/>
                <w:szCs w:val="20"/>
                <w:color w:val="auto"/>
              </w:rPr>
            </w:pPr>
            <w:r>
              <w:rPr>
                <w:rFonts w:ascii="Times New Roman" w:cs="Times New Roman" w:eastAsia="Times New Roman" w:hAnsi="Times New Roman"/>
                <w:sz w:val="12"/>
                <w:szCs w:val="12"/>
                <w:color w:val="auto"/>
                <w:w w:val="99"/>
              </w:rPr>
              <w:t>$</w:t>
            </w: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230,000</w:t>
            </w:r>
          </w:p>
        </w:tc>
        <w:tc>
          <w:tcPr>
            <w:tcW w:w="320" w:type="dxa"/>
            <w:vAlign w:val="bottom"/>
            <w:tcBorders>
              <w:top w:val="single" w:sz="8" w:color="CCEEFF"/>
              <w:bottom w:val="single" w:sz="8" w:color="CCEEFF"/>
            </w:tcBorders>
            <w:shd w:val="clear" w:color="auto" w:fill="CCEEFF"/>
          </w:tcPr>
          <w:p>
            <w:pPr>
              <w:spacing w:after="0"/>
              <w:rPr>
                <w:sz w:val="12"/>
                <w:szCs w:val="12"/>
                <w:color w:val="auto"/>
              </w:rPr>
            </w:pPr>
          </w:p>
        </w:tc>
        <w:tc>
          <w:tcPr>
            <w:tcW w:w="360" w:type="dxa"/>
            <w:vAlign w:val="bottom"/>
            <w:tcBorders>
              <w:top w:val="single" w:sz="8" w:color="auto"/>
              <w:bottom w:val="single" w:sz="8" w:color="auto"/>
            </w:tcBorders>
            <w:shd w:val="clear" w:color="auto" w:fill="CCEEFF"/>
          </w:tcPr>
          <w:p>
            <w:pPr>
              <w:jc w:val="right"/>
              <w:ind w:right="246"/>
              <w:spacing w:after="0"/>
              <w:rPr>
                <w:sz w:val="20"/>
                <w:szCs w:val="20"/>
                <w:color w:val="auto"/>
              </w:rPr>
            </w:pPr>
            <w:r>
              <w:rPr>
                <w:rFonts w:ascii="Times New Roman" w:cs="Times New Roman" w:eastAsia="Times New Roman" w:hAnsi="Times New Roman"/>
                <w:sz w:val="11"/>
                <w:szCs w:val="11"/>
                <w:color w:val="auto"/>
                <w:w w:val="71"/>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805,000</w:t>
            </w: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r>
    </w:tbl>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u w:val="single" w:color="auto"/>
          <w:color w:val="auto"/>
        </w:rPr>
        <w:t>(5) Mezzanine equity</w:t>
      </w:r>
    </w:p>
    <w:p>
      <w:pPr>
        <w:spacing w:after="0" w:line="150" w:lineRule="exact"/>
        <w:rPr>
          <w:sz w:val="20"/>
          <w:szCs w:val="20"/>
          <w:color w:val="auto"/>
        </w:rPr>
      </w:pPr>
    </w:p>
    <w:p>
      <w:pPr>
        <w:jc w:val="both"/>
        <w:ind w:left="420"/>
        <w:spacing w:after="0" w:line="286" w:lineRule="auto"/>
        <w:rPr>
          <w:sz w:val="20"/>
          <w:szCs w:val="20"/>
          <w:color w:val="auto"/>
        </w:rPr>
      </w:pPr>
      <w:r>
        <w:rPr>
          <w:rFonts w:ascii="Times New Roman" w:cs="Times New Roman" w:eastAsia="Times New Roman" w:hAnsi="Times New Roman"/>
          <w:sz w:val="12"/>
          <w:szCs w:val="12"/>
          <w:b w:val="1"/>
          <w:bCs w:val="1"/>
          <w:color w:val="auto"/>
        </w:rPr>
        <w:t xml:space="preserve">Preferred stock </w:t>
      </w:r>
      <w:r>
        <w:rPr>
          <w:rFonts w:ascii="Times New Roman" w:cs="Times New Roman" w:eastAsia="Times New Roman" w:hAnsi="Times New Roman"/>
          <w:sz w:val="12"/>
          <w:szCs w:val="12"/>
          <w:color w:val="auto"/>
        </w:rPr>
        <w:t>– The Company has authorized the issuance of five classes of preferred stock: Series A convertible preferred stock (“Series A”), Series Seed 1 convertible preferred stock, Series Seed 2 convertible preferred</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stock, Series Seed 3 convertible preferred stock, and Series Seed 4 convertible preferred stock (collectively known as “Series Seed”).</w:t>
      </w:r>
    </w:p>
    <w:p>
      <w:pPr>
        <w:spacing w:after="0" w:line="107" w:lineRule="exact"/>
        <w:rPr>
          <w:sz w:val="20"/>
          <w:szCs w:val="20"/>
          <w:color w:val="auto"/>
        </w:rPr>
      </w:pPr>
    </w:p>
    <w:p>
      <w:pPr>
        <w:jc w:val="both"/>
        <w:ind w:left="420"/>
        <w:spacing w:after="0" w:line="279" w:lineRule="auto"/>
        <w:rPr>
          <w:sz w:val="20"/>
          <w:szCs w:val="20"/>
          <w:color w:val="auto"/>
        </w:rPr>
      </w:pPr>
      <w:r>
        <w:rPr>
          <w:rFonts w:ascii="Times New Roman" w:cs="Times New Roman" w:eastAsia="Times New Roman" w:hAnsi="Times New Roman"/>
          <w:sz w:val="12"/>
          <w:szCs w:val="12"/>
          <w:color w:val="auto"/>
        </w:rPr>
        <w:t>The holders of preferred stock are entitled to vote with common stockholders as a single class. Preferred stockholders are entitled to a number of votes equivalent to the eligible number of common shares they would have upon exercising their conversion option.</w:t>
      </w:r>
    </w:p>
    <w:p>
      <w:pPr>
        <w:spacing w:after="0" w:line="111" w:lineRule="exact"/>
        <w:rPr>
          <w:sz w:val="20"/>
          <w:szCs w:val="20"/>
          <w:color w:val="auto"/>
        </w:rPr>
      </w:pPr>
    </w:p>
    <w:p>
      <w:pPr>
        <w:jc w:val="both"/>
        <w:ind w:left="420"/>
        <w:spacing w:after="0" w:line="265" w:lineRule="auto"/>
        <w:rPr>
          <w:sz w:val="20"/>
          <w:szCs w:val="20"/>
          <w:color w:val="auto"/>
        </w:rPr>
      </w:pPr>
      <w:r>
        <w:rPr>
          <w:rFonts w:ascii="Times New Roman" w:cs="Times New Roman" w:eastAsia="Times New Roman" w:hAnsi="Times New Roman"/>
          <w:sz w:val="12"/>
          <w:szCs w:val="12"/>
          <w:color w:val="auto"/>
        </w:rPr>
        <w:t>The holders of Series A and Series Seed preferred stock may convert their shares to common stock at a price equal to the original issue price of each respective class of preferred stock. The conversion price of each class of preferred stock may be adjusted from time-to-time pursuant to the second amended and restated certificate of incorporation. Per the second amended and restated certificate of incorporation, conversion rights are terminated upon liquidation.</w:t>
      </w:r>
    </w:p>
    <w:p>
      <w:pPr>
        <w:spacing w:after="0" w:line="119" w:lineRule="exact"/>
        <w:rPr>
          <w:sz w:val="20"/>
          <w:szCs w:val="20"/>
          <w:color w:val="auto"/>
        </w:rPr>
      </w:pPr>
    </w:p>
    <w:p>
      <w:pPr>
        <w:jc w:val="both"/>
        <w:ind w:left="420" w:right="20"/>
        <w:spacing w:after="0" w:line="279" w:lineRule="auto"/>
        <w:rPr>
          <w:sz w:val="20"/>
          <w:szCs w:val="20"/>
          <w:color w:val="auto"/>
        </w:rPr>
      </w:pPr>
      <w:r>
        <w:rPr>
          <w:rFonts w:ascii="Times New Roman" w:cs="Times New Roman" w:eastAsia="Times New Roman" w:hAnsi="Times New Roman"/>
          <w:sz w:val="12"/>
          <w:szCs w:val="12"/>
          <w:color w:val="auto"/>
        </w:rPr>
        <w:t>The Series A preferred stock has a liquidation preference equal to the greater of one times the original issue price plus any dividends declared but unpaid thereon, or the equivalent of the amount payable had all shares of Series A preferred stock been converted into common stock. Upon liquidation, Series A is in preference to Series Seed.</w:t>
      </w:r>
    </w:p>
    <w:p>
      <w:pPr>
        <w:spacing w:after="0" w:line="111" w:lineRule="exact"/>
        <w:rPr>
          <w:sz w:val="20"/>
          <w:szCs w:val="20"/>
          <w:color w:val="auto"/>
        </w:rPr>
      </w:pPr>
    </w:p>
    <w:p>
      <w:pPr>
        <w:jc w:val="both"/>
        <w:ind w:left="420" w:right="20"/>
        <w:spacing w:after="0" w:line="279" w:lineRule="auto"/>
        <w:rPr>
          <w:sz w:val="20"/>
          <w:szCs w:val="20"/>
          <w:color w:val="auto"/>
        </w:rPr>
      </w:pPr>
      <w:r>
        <w:rPr>
          <w:rFonts w:ascii="Times New Roman" w:cs="Times New Roman" w:eastAsia="Times New Roman" w:hAnsi="Times New Roman"/>
          <w:sz w:val="12"/>
          <w:szCs w:val="12"/>
          <w:color w:val="auto"/>
        </w:rPr>
        <w:t>The Series Seed preferred stock has a liquidation preference equal to the greater of the original issue price plus any dividends declared but unpaid thereon, or the equivalent of the amount payable had all shares of Series A and Series Seed been converted into common stock.</w:t>
      </w:r>
    </w:p>
    <w:p>
      <w:pPr>
        <w:spacing w:after="0" w:line="111" w:lineRule="exact"/>
        <w:rPr>
          <w:sz w:val="20"/>
          <w:szCs w:val="20"/>
          <w:color w:val="auto"/>
        </w:rPr>
      </w:pPr>
    </w:p>
    <w:p>
      <w:pPr>
        <w:jc w:val="both"/>
        <w:ind w:left="420"/>
        <w:spacing w:after="0" w:line="279" w:lineRule="auto"/>
        <w:rPr>
          <w:sz w:val="20"/>
          <w:szCs w:val="20"/>
          <w:color w:val="auto"/>
        </w:rPr>
      </w:pPr>
      <w:r>
        <w:rPr>
          <w:rFonts w:ascii="Times New Roman" w:cs="Times New Roman" w:eastAsia="Times New Roman" w:hAnsi="Times New Roman"/>
          <w:sz w:val="12"/>
          <w:szCs w:val="12"/>
          <w:color w:val="auto"/>
        </w:rPr>
        <w:t>There is no obligation requiring the issuer to redeem the Series A or Series Seed shares by transferring its assets at a specified or determinable date (or dates) or upon an event that is certain to occur. The Series A and Series Seed shares are equity- classified as mezzanine equity on the face of the financial statements.</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u w:val="single" w:color="auto"/>
          <w:color w:val="auto"/>
        </w:rPr>
        <w:t>(6) Stockholders’ equity</w:t>
      </w:r>
    </w:p>
    <w:p>
      <w:pPr>
        <w:spacing w:after="0" w:line="1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b w:val="1"/>
          <w:bCs w:val="1"/>
          <w:color w:val="auto"/>
        </w:rPr>
        <w:t xml:space="preserve">Common stock </w:t>
      </w:r>
      <w:r>
        <w:rPr>
          <w:rFonts w:ascii="Times New Roman" w:cs="Times New Roman" w:eastAsia="Times New Roman" w:hAnsi="Times New Roman"/>
          <w:sz w:val="12"/>
          <w:szCs w:val="12"/>
          <w:color w:val="auto"/>
        </w:rPr>
        <w:t>– The holders of the Company’s common stock are entitled to one vote per share on all matters which stockholders are entitled to a vote.</w:t>
      </w:r>
    </w:p>
    <w:p>
      <w:pPr>
        <w:spacing w:after="0" w:line="150" w:lineRule="exact"/>
        <w:rPr>
          <w:sz w:val="20"/>
          <w:szCs w:val="20"/>
          <w:color w:val="auto"/>
        </w:rPr>
      </w:pPr>
    </w:p>
    <w:p>
      <w:pPr>
        <w:jc w:val="both"/>
        <w:ind w:left="420"/>
        <w:spacing w:after="0" w:line="268" w:lineRule="auto"/>
        <w:rPr>
          <w:sz w:val="20"/>
          <w:szCs w:val="20"/>
          <w:color w:val="auto"/>
        </w:rPr>
      </w:pPr>
      <w:r>
        <w:rPr>
          <w:rFonts w:ascii="Times New Roman" w:cs="Times New Roman" w:eastAsia="Times New Roman" w:hAnsi="Times New Roman"/>
          <w:sz w:val="12"/>
          <w:szCs w:val="12"/>
          <w:b w:val="1"/>
          <w:bCs w:val="1"/>
          <w:color w:val="auto"/>
        </w:rPr>
        <w:t xml:space="preserve">Stock option plan </w:t>
      </w:r>
      <w:r>
        <w:rPr>
          <w:rFonts w:ascii="Times New Roman" w:cs="Times New Roman" w:eastAsia="Times New Roman" w:hAnsi="Times New Roman"/>
          <w:sz w:val="12"/>
          <w:szCs w:val="12"/>
          <w:color w:val="auto"/>
        </w:rPr>
        <w:t>– The Company adopted a stock option plan (the “Plan”) in 2017. The Plan provides for the grant of up to 1,462,949 stock options to officers, directors, and employees of the Company. Options are granted</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under the Plan and are incentive stock options or non-qualified stock options. Recipients are required to sign an agreement in which options may not be transferred. The Plan provides for a straight-line vesting period of up to four years with a maximum 10 year grant life. All unvested options shall vest and become exercisable upon a Change of Control (as defined in the Plan). The Company accounts for any forfeitures of options when they occur.</w:t>
      </w:r>
    </w:p>
    <w:p>
      <w:pPr>
        <w:spacing w:after="0" w:line="1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479" w:right="299" w:bottom="1440" w:gutter="0" w:footer="0" w:header="0"/>
        </w:sectPr>
      </w:pPr>
    </w:p>
    <w:bookmarkStart w:id="15" w:name="page16"/>
    <w:bookmarkEnd w:id="15"/>
    <w:tbl>
      <w:tblPr>
        <w:tblLayout w:type="fixed"/>
        <w:tblInd w:w="0" w:type="dxa"/>
        <w:tblCellMar>
          <w:top w:w="0" w:type="dxa"/>
          <w:left w:w="0" w:type="dxa"/>
          <w:bottom w:w="0" w:type="dxa"/>
          <w:right w:w="0" w:type="dxa"/>
        </w:tblCellMar>
      </w:tblPr>
      <w:tr>
        <w:trPr>
          <w:trHeight w:val="138"/>
        </w:trPr>
        <w:tc>
          <w:tcPr>
            <w:tcW w:w="8000" w:type="dxa"/>
            <w:vAlign w:val="bottom"/>
            <w:gridSpan w:val="3"/>
          </w:tcPr>
          <w:p>
            <w:pPr>
              <w:spacing w:after="0"/>
              <w:rPr>
                <w:sz w:val="20"/>
                <w:szCs w:val="20"/>
                <w:color w:val="auto"/>
              </w:rPr>
            </w:pPr>
            <w:r>
              <w:rPr>
                <w:rFonts w:ascii="Times New Roman" w:cs="Times New Roman" w:eastAsia="Times New Roman" w:hAnsi="Times New Roman"/>
                <w:sz w:val="12"/>
                <w:szCs w:val="12"/>
                <w:b w:val="1"/>
                <w:bCs w:val="1"/>
                <w:color w:val="auto"/>
              </w:rPr>
              <w:t>Stockholders’ equity (continued)</w:t>
            </w:r>
          </w:p>
        </w:tc>
        <w:tc>
          <w:tcPr>
            <w:tcW w:w="5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060" w:type="dxa"/>
            <w:vAlign w:val="bottom"/>
            <w:shd w:val="clear" w:color="auto" w:fill="000000"/>
          </w:tcPr>
          <w:p>
            <w:pPr>
              <w:spacing w:after="0" w:line="20" w:lineRule="exact"/>
              <w:rPr>
                <w:sz w:val="1"/>
                <w:szCs w:val="1"/>
                <w:color w:val="auto"/>
              </w:rPr>
            </w:pPr>
          </w:p>
        </w:tc>
        <w:tc>
          <w:tcPr>
            <w:tcW w:w="694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5"/>
        </w:trPr>
        <w:tc>
          <w:tcPr>
            <w:tcW w:w="800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Using the option-pricing model, the fair value of the Plan options was estimated on the date of grant based on the following weighted-average assumptions:</w:t>
            </w:r>
          </w:p>
        </w:tc>
        <w:tc>
          <w:tcPr>
            <w:tcW w:w="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4"/>
        </w:trPr>
        <w:tc>
          <w:tcPr>
            <w:tcW w:w="1060" w:type="dxa"/>
            <w:vAlign w:val="bottom"/>
          </w:tcPr>
          <w:p>
            <w:pPr>
              <w:spacing w:after="0"/>
              <w:rPr>
                <w:sz w:val="12"/>
                <w:szCs w:val="12"/>
                <w:color w:val="auto"/>
              </w:rPr>
            </w:pPr>
          </w:p>
        </w:tc>
        <w:tc>
          <w:tcPr>
            <w:tcW w:w="59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80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2"/>
                <w:szCs w:val="12"/>
                <w:color w:val="auto"/>
              </w:rPr>
              <w:t>Risk-free interest rate</w:t>
            </w:r>
          </w:p>
        </w:tc>
        <w:tc>
          <w:tcPr>
            <w:tcW w:w="5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5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4.68%</w:t>
            </w:r>
          </w:p>
        </w:tc>
        <w:tc>
          <w:tcPr>
            <w:tcW w:w="0" w:type="dxa"/>
            <w:vAlign w:val="bottom"/>
          </w:tcPr>
          <w:p>
            <w:pPr>
              <w:spacing w:after="0"/>
              <w:rPr>
                <w:sz w:val="1"/>
                <w:szCs w:val="1"/>
                <w:color w:val="auto"/>
              </w:rPr>
            </w:pPr>
          </w:p>
        </w:tc>
      </w:tr>
      <w:tr>
        <w:trPr>
          <w:trHeight w:val="144"/>
        </w:trPr>
        <w:tc>
          <w:tcPr>
            <w:tcW w:w="800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Expected dividend yield</w:t>
            </w:r>
          </w:p>
        </w:tc>
        <w:tc>
          <w:tcPr>
            <w:tcW w:w="5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2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0%</w:t>
            </w:r>
          </w:p>
        </w:tc>
        <w:tc>
          <w:tcPr>
            <w:tcW w:w="0" w:type="dxa"/>
            <w:vAlign w:val="bottom"/>
          </w:tcPr>
          <w:p>
            <w:pPr>
              <w:spacing w:after="0"/>
              <w:rPr>
                <w:sz w:val="1"/>
                <w:szCs w:val="1"/>
                <w:color w:val="auto"/>
              </w:rPr>
            </w:pPr>
          </w:p>
        </w:tc>
      </w:tr>
      <w:tr>
        <w:trPr>
          <w:trHeight w:val="144"/>
        </w:trPr>
        <w:tc>
          <w:tcPr>
            <w:tcW w:w="80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2"/>
                <w:szCs w:val="12"/>
                <w:color w:val="auto"/>
              </w:rPr>
              <w:t>Expected volatility</w:t>
            </w:r>
          </w:p>
        </w:tc>
        <w:tc>
          <w:tcPr>
            <w:tcW w:w="5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5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55%</w:t>
            </w:r>
          </w:p>
        </w:tc>
        <w:tc>
          <w:tcPr>
            <w:tcW w:w="0" w:type="dxa"/>
            <w:vAlign w:val="bottom"/>
          </w:tcPr>
          <w:p>
            <w:pPr>
              <w:spacing w:after="0"/>
              <w:rPr>
                <w:sz w:val="1"/>
                <w:szCs w:val="1"/>
                <w:color w:val="auto"/>
              </w:rPr>
            </w:pPr>
          </w:p>
        </w:tc>
      </w:tr>
      <w:tr>
        <w:trPr>
          <w:trHeight w:val="144"/>
        </w:trPr>
        <w:tc>
          <w:tcPr>
            <w:tcW w:w="800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Expected life in years</w:t>
            </w:r>
          </w:p>
        </w:tc>
        <w:tc>
          <w:tcPr>
            <w:tcW w:w="5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80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2"/>
                <w:szCs w:val="12"/>
                <w:color w:val="auto"/>
              </w:rPr>
              <w:t>Forfeiture rate</w:t>
            </w:r>
          </w:p>
        </w:tc>
        <w:tc>
          <w:tcPr>
            <w:tcW w:w="5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5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0%</w:t>
            </w:r>
          </w:p>
        </w:tc>
        <w:tc>
          <w:tcPr>
            <w:tcW w:w="0" w:type="dxa"/>
            <w:vAlign w:val="bottom"/>
          </w:tcPr>
          <w:p>
            <w:pPr>
              <w:spacing w:after="0"/>
              <w:rPr>
                <w:sz w:val="1"/>
                <w:szCs w:val="1"/>
                <w:color w:val="auto"/>
              </w:rPr>
            </w:pPr>
          </w:p>
        </w:tc>
      </w:tr>
      <w:tr>
        <w:trPr>
          <w:trHeight w:val="288"/>
        </w:trPr>
        <w:tc>
          <w:tcPr>
            <w:tcW w:w="800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Activity in the Company’s Plan for the year ended December 31, 2023 is as follows:</w:t>
            </w:r>
          </w:p>
        </w:tc>
        <w:tc>
          <w:tcPr>
            <w:tcW w:w="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1060" w:type="dxa"/>
            <w:vAlign w:val="bottom"/>
          </w:tcPr>
          <w:p>
            <w:pPr>
              <w:spacing w:after="0"/>
              <w:rPr>
                <w:sz w:val="24"/>
                <w:szCs w:val="24"/>
                <w:color w:val="auto"/>
              </w:rPr>
            </w:pPr>
          </w:p>
        </w:tc>
        <w:tc>
          <w:tcPr>
            <w:tcW w:w="59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20" w:type="dxa"/>
            <w:vAlign w:val="bottom"/>
            <w:gridSpan w:val="2"/>
          </w:tcPr>
          <w:p>
            <w:pPr>
              <w:jc w:val="center"/>
              <w:ind w:right="260"/>
              <w:spacing w:after="0"/>
              <w:rPr>
                <w:sz w:val="20"/>
                <w:szCs w:val="20"/>
                <w:color w:val="auto"/>
              </w:rPr>
            </w:pPr>
            <w:r>
              <w:rPr>
                <w:rFonts w:ascii="Times New Roman" w:cs="Times New Roman" w:eastAsia="Times New Roman" w:hAnsi="Times New Roman"/>
                <w:sz w:val="12"/>
                <w:szCs w:val="12"/>
                <w:color w:val="auto"/>
                <w:w w:val="98"/>
              </w:rPr>
              <w:t>Weighted</w:t>
            </w:r>
          </w:p>
        </w:tc>
        <w:tc>
          <w:tcPr>
            <w:tcW w:w="0" w:type="dxa"/>
            <w:vAlign w:val="bottom"/>
          </w:tcPr>
          <w:p>
            <w:pPr>
              <w:spacing w:after="0"/>
              <w:rPr>
                <w:sz w:val="1"/>
                <w:szCs w:val="1"/>
                <w:color w:val="auto"/>
              </w:rPr>
            </w:pPr>
          </w:p>
        </w:tc>
      </w:tr>
      <w:tr>
        <w:trPr>
          <w:trHeight w:val="153"/>
        </w:trPr>
        <w:tc>
          <w:tcPr>
            <w:tcW w:w="1060" w:type="dxa"/>
            <w:vAlign w:val="bottom"/>
          </w:tcPr>
          <w:p>
            <w:pPr>
              <w:spacing w:after="0"/>
              <w:rPr>
                <w:sz w:val="13"/>
                <w:szCs w:val="13"/>
                <w:color w:val="auto"/>
              </w:rPr>
            </w:pPr>
          </w:p>
        </w:tc>
        <w:tc>
          <w:tcPr>
            <w:tcW w:w="59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520" w:type="dxa"/>
            <w:vAlign w:val="bottom"/>
            <w:gridSpan w:val="2"/>
          </w:tcPr>
          <w:p>
            <w:pPr>
              <w:jc w:val="center"/>
              <w:ind w:right="240"/>
              <w:spacing w:after="0"/>
              <w:rPr>
                <w:sz w:val="20"/>
                <w:szCs w:val="20"/>
                <w:color w:val="auto"/>
              </w:rPr>
            </w:pPr>
            <w:r>
              <w:rPr>
                <w:rFonts w:ascii="Times New Roman" w:cs="Times New Roman" w:eastAsia="Times New Roman" w:hAnsi="Times New Roman"/>
                <w:sz w:val="12"/>
                <w:szCs w:val="12"/>
                <w:color w:val="auto"/>
                <w:w w:val="98"/>
              </w:rPr>
              <w:t>Average</w:t>
            </w:r>
          </w:p>
        </w:tc>
        <w:tc>
          <w:tcPr>
            <w:tcW w:w="0" w:type="dxa"/>
            <w:vAlign w:val="bottom"/>
          </w:tcPr>
          <w:p>
            <w:pPr>
              <w:spacing w:after="0"/>
              <w:rPr>
                <w:sz w:val="1"/>
                <w:szCs w:val="1"/>
                <w:color w:val="auto"/>
              </w:rPr>
            </w:pPr>
          </w:p>
        </w:tc>
      </w:tr>
      <w:tr>
        <w:trPr>
          <w:trHeight w:val="155"/>
        </w:trPr>
        <w:tc>
          <w:tcPr>
            <w:tcW w:w="1060" w:type="dxa"/>
            <w:vAlign w:val="bottom"/>
          </w:tcPr>
          <w:p>
            <w:pPr>
              <w:spacing w:after="0"/>
              <w:rPr>
                <w:sz w:val="13"/>
                <w:szCs w:val="13"/>
                <w:color w:val="auto"/>
              </w:rPr>
            </w:pPr>
          </w:p>
        </w:tc>
        <w:tc>
          <w:tcPr>
            <w:tcW w:w="5900" w:type="dxa"/>
            <w:vAlign w:val="bottom"/>
          </w:tcPr>
          <w:p>
            <w:pPr>
              <w:spacing w:after="0"/>
              <w:rPr>
                <w:sz w:val="13"/>
                <w:szCs w:val="13"/>
                <w:color w:val="auto"/>
              </w:rPr>
            </w:pPr>
          </w:p>
        </w:tc>
        <w:tc>
          <w:tcPr>
            <w:tcW w:w="1040" w:type="dxa"/>
            <w:vAlign w:val="bottom"/>
          </w:tcPr>
          <w:p>
            <w:pPr>
              <w:jc w:val="center"/>
              <w:ind w:left="480"/>
              <w:spacing w:after="0"/>
              <w:rPr>
                <w:sz w:val="20"/>
                <w:szCs w:val="20"/>
                <w:color w:val="auto"/>
              </w:rPr>
            </w:pPr>
            <w:r>
              <w:rPr>
                <w:rFonts w:ascii="Times New Roman" w:cs="Times New Roman" w:eastAsia="Times New Roman" w:hAnsi="Times New Roman"/>
                <w:sz w:val="12"/>
                <w:szCs w:val="12"/>
                <w:color w:val="auto"/>
                <w:w w:val="99"/>
              </w:rPr>
              <w:t>Options</w:t>
            </w:r>
          </w:p>
        </w:tc>
        <w:tc>
          <w:tcPr>
            <w:tcW w:w="5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520" w:type="dxa"/>
            <w:vAlign w:val="bottom"/>
            <w:gridSpan w:val="2"/>
          </w:tcPr>
          <w:p>
            <w:pPr>
              <w:jc w:val="center"/>
              <w:ind w:right="260"/>
              <w:spacing w:after="0"/>
              <w:rPr>
                <w:sz w:val="20"/>
                <w:szCs w:val="20"/>
                <w:color w:val="auto"/>
              </w:rPr>
            </w:pPr>
            <w:r>
              <w:rPr>
                <w:rFonts w:ascii="Times New Roman" w:cs="Times New Roman" w:eastAsia="Times New Roman" w:hAnsi="Times New Roman"/>
                <w:sz w:val="12"/>
                <w:szCs w:val="12"/>
                <w:color w:val="auto"/>
              </w:rPr>
              <w:t>Exercise Price</w:t>
            </w:r>
          </w:p>
        </w:tc>
        <w:tc>
          <w:tcPr>
            <w:tcW w:w="0" w:type="dxa"/>
            <w:vAlign w:val="bottom"/>
          </w:tcPr>
          <w:p>
            <w:pPr>
              <w:spacing w:after="0"/>
              <w:rPr>
                <w:sz w:val="1"/>
                <w:szCs w:val="1"/>
                <w:color w:val="auto"/>
              </w:rPr>
            </w:pPr>
          </w:p>
        </w:tc>
      </w:tr>
      <w:tr>
        <w:trPr>
          <w:trHeight w:val="133"/>
        </w:trPr>
        <w:tc>
          <w:tcPr>
            <w:tcW w:w="1060" w:type="dxa"/>
            <w:vAlign w:val="bottom"/>
          </w:tcPr>
          <w:p>
            <w:pPr>
              <w:spacing w:after="0"/>
              <w:rPr>
                <w:sz w:val="11"/>
                <w:szCs w:val="11"/>
                <w:color w:val="auto"/>
              </w:rPr>
            </w:pPr>
          </w:p>
        </w:tc>
        <w:tc>
          <w:tcPr>
            <w:tcW w:w="5900" w:type="dxa"/>
            <w:vAlign w:val="bottom"/>
          </w:tcPr>
          <w:p>
            <w:pPr>
              <w:spacing w:after="0"/>
              <w:rPr>
                <w:sz w:val="11"/>
                <w:szCs w:val="11"/>
                <w:color w:val="auto"/>
              </w:rPr>
            </w:pPr>
          </w:p>
        </w:tc>
        <w:tc>
          <w:tcPr>
            <w:tcW w:w="104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42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80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2"/>
                <w:szCs w:val="12"/>
                <w:color w:val="auto"/>
              </w:rPr>
              <w:t>Options outstanding, January 1, 2023</w:t>
            </w:r>
          </w:p>
        </w:tc>
        <w:tc>
          <w:tcPr>
            <w:tcW w:w="8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2"/>
                <w:szCs w:val="12"/>
                <w:color w:val="auto"/>
              </w:rPr>
              <w:t>1,110,986</w:t>
            </w:r>
          </w:p>
        </w:tc>
        <w:tc>
          <w:tcPr>
            <w:tcW w:w="140" w:type="dxa"/>
            <w:vAlign w:val="bottom"/>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15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1.91</w:t>
            </w:r>
          </w:p>
        </w:tc>
        <w:tc>
          <w:tcPr>
            <w:tcW w:w="0" w:type="dxa"/>
            <w:vAlign w:val="bottom"/>
          </w:tcPr>
          <w:p>
            <w:pPr>
              <w:spacing w:after="0"/>
              <w:rPr>
                <w:sz w:val="1"/>
                <w:szCs w:val="1"/>
                <w:color w:val="auto"/>
              </w:rPr>
            </w:pPr>
          </w:p>
        </w:tc>
      </w:tr>
      <w:tr>
        <w:trPr>
          <w:trHeight w:val="144"/>
        </w:trPr>
        <w:tc>
          <w:tcPr>
            <w:tcW w:w="800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Exercised</w:t>
            </w:r>
          </w:p>
        </w:tc>
        <w:tc>
          <w:tcPr>
            <w:tcW w:w="860" w:type="dxa"/>
            <w:vAlign w:val="bottom"/>
            <w:gridSpan w:val="2"/>
          </w:tcPr>
          <w:p>
            <w:pPr>
              <w:jc w:val="right"/>
              <w:ind w:right="280"/>
              <w:spacing w:after="0"/>
              <w:rPr>
                <w:sz w:val="20"/>
                <w:szCs w:val="20"/>
                <w:color w:val="auto"/>
              </w:rPr>
            </w:pPr>
            <w:r>
              <w:rPr>
                <w:rFonts w:ascii="Times New Roman" w:cs="Times New Roman" w:eastAsia="Times New Roman" w:hAnsi="Times New Roman"/>
                <w:sz w:val="12"/>
                <w:szCs w:val="12"/>
                <w:color w:val="auto"/>
              </w:rPr>
              <w:t>(15,561)</w:t>
            </w:r>
          </w:p>
        </w:tc>
        <w:tc>
          <w:tcPr>
            <w:tcW w:w="14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152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0.28</w:t>
            </w:r>
          </w:p>
        </w:tc>
        <w:tc>
          <w:tcPr>
            <w:tcW w:w="0" w:type="dxa"/>
            <w:vAlign w:val="bottom"/>
          </w:tcPr>
          <w:p>
            <w:pPr>
              <w:spacing w:after="0"/>
              <w:rPr>
                <w:sz w:val="1"/>
                <w:szCs w:val="1"/>
                <w:color w:val="auto"/>
              </w:rPr>
            </w:pPr>
          </w:p>
        </w:tc>
      </w:tr>
      <w:tr>
        <w:trPr>
          <w:trHeight w:val="153"/>
        </w:trPr>
        <w:tc>
          <w:tcPr>
            <w:tcW w:w="80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2"/>
                <w:szCs w:val="12"/>
                <w:color w:val="auto"/>
              </w:rPr>
              <w:t>Forfeited/ Expired</w:t>
            </w:r>
          </w:p>
        </w:tc>
        <w:tc>
          <w:tcPr>
            <w:tcW w:w="8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2"/>
                <w:szCs w:val="12"/>
                <w:color w:val="auto"/>
              </w:rPr>
              <w:t>(89,160)</w:t>
            </w:r>
          </w:p>
        </w:tc>
        <w:tc>
          <w:tcPr>
            <w:tcW w:w="140" w:type="dxa"/>
            <w:vAlign w:val="bottom"/>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15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2.06</w:t>
            </w:r>
          </w:p>
        </w:tc>
        <w:tc>
          <w:tcPr>
            <w:tcW w:w="0" w:type="dxa"/>
            <w:vAlign w:val="bottom"/>
          </w:tcPr>
          <w:p>
            <w:pPr>
              <w:spacing w:after="0"/>
              <w:rPr>
                <w:sz w:val="1"/>
                <w:szCs w:val="1"/>
                <w:color w:val="auto"/>
              </w:rPr>
            </w:pPr>
          </w:p>
        </w:tc>
      </w:tr>
      <w:tr>
        <w:trPr>
          <w:trHeight w:val="149"/>
        </w:trPr>
        <w:tc>
          <w:tcPr>
            <w:tcW w:w="6960" w:type="dxa"/>
            <w:vAlign w:val="bottom"/>
            <w:tcBorders>
              <w:bottom w:val="single" w:sz="8" w:color="CCEEFF"/>
            </w:tcBorders>
            <w:gridSpan w:val="2"/>
          </w:tcPr>
          <w:p>
            <w:pPr>
              <w:spacing w:after="0" w:line="135" w:lineRule="exact"/>
              <w:rPr>
                <w:sz w:val="20"/>
                <w:szCs w:val="20"/>
                <w:color w:val="auto"/>
              </w:rPr>
            </w:pPr>
            <w:r>
              <w:rPr>
                <w:rFonts w:ascii="Times New Roman" w:cs="Times New Roman" w:eastAsia="Times New Roman" w:hAnsi="Times New Roman"/>
                <w:sz w:val="12"/>
                <w:szCs w:val="12"/>
                <w:color w:val="auto"/>
              </w:rPr>
              <w:t>Options outstanding, December 31, 2023</w:t>
            </w:r>
          </w:p>
        </w:tc>
        <w:tc>
          <w:tcPr>
            <w:tcW w:w="104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1,006,265</w:t>
            </w:r>
          </w:p>
        </w:tc>
        <w:tc>
          <w:tcPr>
            <w:tcW w:w="32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1520" w:type="dxa"/>
            <w:vAlign w:val="bottom"/>
            <w:tcBorders>
              <w:bottom w:val="single" w:sz="8" w:color="CCEEFF"/>
            </w:tcBorders>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1.76</w:t>
            </w:r>
          </w:p>
        </w:tc>
        <w:tc>
          <w:tcPr>
            <w:tcW w:w="0" w:type="dxa"/>
            <w:vAlign w:val="bottom"/>
          </w:tcPr>
          <w:p>
            <w:pPr>
              <w:spacing w:after="0"/>
              <w:rPr>
                <w:sz w:val="1"/>
                <w:szCs w:val="1"/>
                <w:color w:val="auto"/>
              </w:rPr>
            </w:pPr>
          </w:p>
        </w:tc>
      </w:tr>
      <w:tr>
        <w:trPr>
          <w:trHeight w:val="144"/>
        </w:trPr>
        <w:tc>
          <w:tcPr>
            <w:tcW w:w="1060" w:type="dxa"/>
            <w:vAlign w:val="bottom"/>
            <w:shd w:val="clear" w:color="auto" w:fill="CCEEFF"/>
          </w:tcPr>
          <w:p>
            <w:pPr>
              <w:spacing w:after="0"/>
              <w:rPr>
                <w:sz w:val="12"/>
                <w:szCs w:val="12"/>
                <w:color w:val="auto"/>
              </w:rPr>
            </w:pPr>
          </w:p>
        </w:tc>
        <w:tc>
          <w:tcPr>
            <w:tcW w:w="590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800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Weighted-average remaining contractual life of options exercisable</w:t>
            </w:r>
          </w:p>
        </w:tc>
        <w:tc>
          <w:tcPr>
            <w:tcW w:w="5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2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6.89 years</w:t>
            </w:r>
          </w:p>
        </w:tc>
        <w:tc>
          <w:tcPr>
            <w:tcW w:w="0" w:type="dxa"/>
            <w:vAlign w:val="bottom"/>
          </w:tcPr>
          <w:p>
            <w:pPr>
              <w:spacing w:after="0"/>
              <w:rPr>
                <w:sz w:val="1"/>
                <w:szCs w:val="1"/>
                <w:color w:val="auto"/>
              </w:rPr>
            </w:pPr>
          </w:p>
        </w:tc>
      </w:tr>
      <w:tr>
        <w:trPr>
          <w:trHeight w:val="144"/>
        </w:trPr>
        <w:tc>
          <w:tcPr>
            <w:tcW w:w="80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2"/>
                <w:szCs w:val="12"/>
                <w:color w:val="auto"/>
              </w:rPr>
              <w:t>Options exercisable</w:t>
            </w:r>
          </w:p>
        </w:tc>
        <w:tc>
          <w:tcPr>
            <w:tcW w:w="5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711,548</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800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Weighted-average exercise price of options exercisable</w:t>
            </w:r>
          </w:p>
        </w:tc>
        <w:tc>
          <w:tcPr>
            <w:tcW w:w="5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4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152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2.00</w:t>
            </w:r>
          </w:p>
        </w:tc>
        <w:tc>
          <w:tcPr>
            <w:tcW w:w="0" w:type="dxa"/>
            <w:vAlign w:val="bottom"/>
          </w:tcPr>
          <w:p>
            <w:pPr>
              <w:spacing w:after="0"/>
              <w:rPr>
                <w:sz w:val="1"/>
                <w:szCs w:val="1"/>
                <w:color w:val="auto"/>
              </w:rPr>
            </w:pPr>
          </w:p>
        </w:tc>
      </w:tr>
      <w:tr>
        <w:trPr>
          <w:trHeight w:val="266"/>
        </w:trPr>
        <w:tc>
          <w:tcPr>
            <w:tcW w:w="1060" w:type="dxa"/>
            <w:vAlign w:val="bottom"/>
          </w:tcPr>
          <w:p>
            <w:pPr>
              <w:spacing w:after="0"/>
              <w:rPr>
                <w:sz w:val="23"/>
                <w:szCs w:val="23"/>
                <w:color w:val="auto"/>
              </w:rPr>
            </w:pPr>
          </w:p>
        </w:tc>
        <w:tc>
          <w:tcPr>
            <w:tcW w:w="590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520" w:type="dxa"/>
            <w:vAlign w:val="bottom"/>
            <w:gridSpan w:val="2"/>
          </w:tcPr>
          <w:p>
            <w:pPr>
              <w:jc w:val="center"/>
              <w:ind w:right="260"/>
              <w:spacing w:after="0"/>
              <w:rPr>
                <w:sz w:val="20"/>
                <w:szCs w:val="20"/>
                <w:color w:val="auto"/>
              </w:rPr>
            </w:pPr>
            <w:r>
              <w:rPr>
                <w:rFonts w:ascii="Times New Roman" w:cs="Times New Roman" w:eastAsia="Times New Roman" w:hAnsi="Times New Roman"/>
                <w:sz w:val="12"/>
                <w:szCs w:val="12"/>
                <w:color w:val="auto"/>
                <w:w w:val="98"/>
              </w:rPr>
              <w:t>Weighted</w:t>
            </w:r>
          </w:p>
        </w:tc>
        <w:tc>
          <w:tcPr>
            <w:tcW w:w="0" w:type="dxa"/>
            <w:vAlign w:val="bottom"/>
          </w:tcPr>
          <w:p>
            <w:pPr>
              <w:spacing w:after="0"/>
              <w:rPr>
                <w:sz w:val="1"/>
                <w:szCs w:val="1"/>
                <w:color w:val="auto"/>
              </w:rPr>
            </w:pPr>
          </w:p>
        </w:tc>
      </w:tr>
      <w:tr>
        <w:trPr>
          <w:trHeight w:val="155"/>
        </w:trPr>
        <w:tc>
          <w:tcPr>
            <w:tcW w:w="1060" w:type="dxa"/>
            <w:vAlign w:val="bottom"/>
          </w:tcPr>
          <w:p>
            <w:pPr>
              <w:spacing w:after="0"/>
              <w:rPr>
                <w:sz w:val="13"/>
                <w:szCs w:val="13"/>
                <w:color w:val="auto"/>
              </w:rPr>
            </w:pPr>
          </w:p>
        </w:tc>
        <w:tc>
          <w:tcPr>
            <w:tcW w:w="5900" w:type="dxa"/>
            <w:vAlign w:val="bottom"/>
          </w:tcPr>
          <w:p>
            <w:pPr>
              <w:spacing w:after="0"/>
              <w:rPr>
                <w:sz w:val="13"/>
                <w:szCs w:val="13"/>
                <w:color w:val="auto"/>
              </w:rPr>
            </w:pPr>
          </w:p>
        </w:tc>
        <w:tc>
          <w:tcPr>
            <w:tcW w:w="1040" w:type="dxa"/>
            <w:vAlign w:val="bottom"/>
            <w:vMerge w:val="restart"/>
          </w:tcPr>
          <w:p>
            <w:pPr>
              <w:jc w:val="center"/>
              <w:ind w:left="480"/>
              <w:spacing w:after="0"/>
              <w:rPr>
                <w:sz w:val="20"/>
                <w:szCs w:val="20"/>
                <w:color w:val="auto"/>
              </w:rPr>
            </w:pPr>
            <w:r>
              <w:rPr>
                <w:rFonts w:ascii="Times New Roman" w:cs="Times New Roman" w:eastAsia="Times New Roman" w:hAnsi="Times New Roman"/>
                <w:sz w:val="12"/>
                <w:szCs w:val="12"/>
                <w:color w:val="auto"/>
                <w:w w:val="99"/>
              </w:rPr>
              <w:t>Units</w:t>
            </w:r>
          </w:p>
        </w:tc>
        <w:tc>
          <w:tcPr>
            <w:tcW w:w="5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520" w:type="dxa"/>
            <w:vAlign w:val="bottom"/>
            <w:gridSpan w:val="2"/>
          </w:tcPr>
          <w:p>
            <w:pPr>
              <w:jc w:val="center"/>
              <w:ind w:right="240"/>
              <w:spacing w:after="0"/>
              <w:rPr>
                <w:sz w:val="20"/>
                <w:szCs w:val="20"/>
                <w:color w:val="auto"/>
              </w:rPr>
            </w:pPr>
            <w:r>
              <w:rPr>
                <w:rFonts w:ascii="Times New Roman" w:cs="Times New Roman" w:eastAsia="Times New Roman" w:hAnsi="Times New Roman"/>
                <w:sz w:val="12"/>
                <w:szCs w:val="12"/>
                <w:color w:val="auto"/>
                <w:w w:val="98"/>
              </w:rPr>
              <w:t>Average</w:t>
            </w:r>
          </w:p>
        </w:tc>
        <w:tc>
          <w:tcPr>
            <w:tcW w:w="0" w:type="dxa"/>
            <w:vAlign w:val="bottom"/>
          </w:tcPr>
          <w:p>
            <w:pPr>
              <w:spacing w:after="0"/>
              <w:rPr>
                <w:sz w:val="1"/>
                <w:szCs w:val="1"/>
                <w:color w:val="auto"/>
              </w:rPr>
            </w:pPr>
          </w:p>
        </w:tc>
      </w:tr>
      <w:tr>
        <w:trPr>
          <w:trHeight w:val="133"/>
        </w:trPr>
        <w:tc>
          <w:tcPr>
            <w:tcW w:w="1060" w:type="dxa"/>
            <w:vAlign w:val="bottom"/>
            <w:tcBorders>
              <w:bottom w:val="single" w:sz="8" w:color="CCEEFF"/>
            </w:tcBorders>
          </w:tcPr>
          <w:p>
            <w:pPr>
              <w:spacing w:after="0"/>
              <w:rPr>
                <w:sz w:val="11"/>
                <w:szCs w:val="11"/>
                <w:color w:val="auto"/>
              </w:rPr>
            </w:pPr>
          </w:p>
        </w:tc>
        <w:tc>
          <w:tcPr>
            <w:tcW w:w="5900" w:type="dxa"/>
            <w:vAlign w:val="bottom"/>
            <w:tcBorders>
              <w:bottom w:val="single" w:sz="8" w:color="CCEEFF"/>
            </w:tcBorders>
          </w:tcPr>
          <w:p>
            <w:pPr>
              <w:spacing w:after="0"/>
              <w:rPr>
                <w:sz w:val="11"/>
                <w:szCs w:val="11"/>
                <w:color w:val="auto"/>
              </w:rPr>
            </w:pPr>
          </w:p>
        </w:tc>
        <w:tc>
          <w:tcPr>
            <w:tcW w:w="1040" w:type="dxa"/>
            <w:vAlign w:val="bottom"/>
            <w:tcBorders>
              <w:bottom w:val="single" w:sz="8" w:color="auto"/>
            </w:tcBorders>
            <w:vMerge w:val="continue"/>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320" w:type="dxa"/>
            <w:vAlign w:val="bottom"/>
            <w:tcBorders>
              <w:bottom w:val="single" w:sz="8" w:color="CCEEFF"/>
            </w:tcBorders>
          </w:tcPr>
          <w:p>
            <w:pPr>
              <w:spacing w:after="0"/>
              <w:rPr>
                <w:sz w:val="11"/>
                <w:szCs w:val="11"/>
                <w:color w:val="auto"/>
              </w:rPr>
            </w:pPr>
          </w:p>
        </w:tc>
        <w:tc>
          <w:tcPr>
            <w:tcW w:w="140" w:type="dxa"/>
            <w:vAlign w:val="bottom"/>
            <w:tcBorders>
              <w:top w:val="single" w:sz="8" w:color="auto"/>
              <w:bottom w:val="single" w:sz="8" w:color="auto"/>
            </w:tcBorders>
          </w:tcPr>
          <w:p>
            <w:pPr>
              <w:spacing w:after="0"/>
              <w:rPr>
                <w:sz w:val="11"/>
                <w:szCs w:val="11"/>
                <w:color w:val="auto"/>
              </w:rPr>
            </w:pPr>
          </w:p>
        </w:tc>
        <w:tc>
          <w:tcPr>
            <w:tcW w:w="1420" w:type="dxa"/>
            <w:vAlign w:val="bottom"/>
            <w:tcBorders>
              <w:top w:val="single" w:sz="8" w:color="auto"/>
              <w:bottom w:val="single" w:sz="8" w:color="auto"/>
            </w:tcBorders>
          </w:tcPr>
          <w:p>
            <w:pPr>
              <w:jc w:val="center"/>
              <w:ind w:right="100"/>
              <w:spacing w:after="0" w:line="133" w:lineRule="exact"/>
              <w:rPr>
                <w:sz w:val="20"/>
                <w:szCs w:val="20"/>
                <w:color w:val="auto"/>
              </w:rPr>
            </w:pPr>
            <w:r>
              <w:rPr>
                <w:rFonts w:ascii="Times New Roman" w:cs="Times New Roman" w:eastAsia="Times New Roman" w:hAnsi="Times New Roman"/>
                <w:sz w:val="12"/>
                <w:szCs w:val="12"/>
                <w:color w:val="auto"/>
                <w:w w:val="99"/>
              </w:rPr>
              <w:t>Grant Date Fair Value</w:t>
            </w:r>
          </w:p>
        </w:tc>
        <w:tc>
          <w:tcPr>
            <w:tcW w:w="10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6960" w:type="dxa"/>
            <w:vAlign w:val="bottom"/>
            <w:gridSpan w:val="2"/>
            <w:shd w:val="clear" w:color="auto" w:fill="CCEEFF"/>
          </w:tcPr>
          <w:p>
            <w:pPr>
              <w:spacing w:after="0" w:line="135" w:lineRule="exact"/>
              <w:rPr>
                <w:sz w:val="20"/>
                <w:szCs w:val="20"/>
                <w:color w:val="auto"/>
              </w:rPr>
            </w:pPr>
            <w:r>
              <w:rPr>
                <w:rFonts w:ascii="Times New Roman" w:cs="Times New Roman" w:eastAsia="Times New Roman" w:hAnsi="Times New Roman"/>
                <w:sz w:val="12"/>
                <w:szCs w:val="12"/>
                <w:color w:val="auto"/>
              </w:rPr>
              <w:t>Nonvested options, January 1, 2023</w:t>
            </w:r>
          </w:p>
        </w:tc>
        <w:tc>
          <w:tcPr>
            <w:tcW w:w="104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430,611</w:t>
            </w:r>
          </w:p>
        </w:tc>
        <w:tc>
          <w:tcPr>
            <w:tcW w:w="32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1.36</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8000" w:type="dxa"/>
            <w:vAlign w:val="bottom"/>
            <w:tcBorders>
              <w:bottom w:val="single" w:sz="8" w:color="CCEEFF"/>
            </w:tcBorders>
            <w:gridSpan w:val="3"/>
          </w:tcPr>
          <w:p>
            <w:pPr>
              <w:spacing w:after="0" w:line="133" w:lineRule="exact"/>
              <w:rPr>
                <w:sz w:val="20"/>
                <w:szCs w:val="20"/>
                <w:color w:val="auto"/>
              </w:rPr>
            </w:pPr>
            <w:r>
              <w:rPr>
                <w:rFonts w:ascii="Times New Roman" w:cs="Times New Roman" w:eastAsia="Times New Roman" w:hAnsi="Times New Roman"/>
                <w:sz w:val="12"/>
                <w:szCs w:val="12"/>
                <w:color w:val="auto"/>
              </w:rPr>
              <w:t>Granted</w:t>
            </w:r>
          </w:p>
        </w:tc>
        <w:tc>
          <w:tcPr>
            <w:tcW w:w="860" w:type="dxa"/>
            <w:vAlign w:val="bottom"/>
            <w:tcBorders>
              <w:bottom w:val="single" w:sz="8" w:color="CCEEFF"/>
            </w:tcBorders>
            <w:gridSpan w:val="2"/>
          </w:tcPr>
          <w:p>
            <w:pPr>
              <w:jc w:val="right"/>
              <w:ind w:right="320"/>
              <w:spacing w:after="0" w:line="133" w:lineRule="exact"/>
              <w:rPr>
                <w:sz w:val="20"/>
                <w:szCs w:val="20"/>
                <w:color w:val="auto"/>
              </w:rPr>
            </w:pPr>
            <w:r>
              <w:rPr>
                <w:rFonts w:ascii="Times New Roman" w:cs="Times New Roman" w:eastAsia="Times New Roman" w:hAnsi="Times New Roman"/>
                <w:sz w:val="12"/>
                <w:szCs w:val="12"/>
                <w:color w:val="auto"/>
              </w:rPr>
              <w:t>-</w:t>
            </w:r>
          </w:p>
        </w:tc>
        <w:tc>
          <w:tcPr>
            <w:tcW w:w="140" w:type="dxa"/>
            <w:vAlign w:val="bottom"/>
            <w:tcBorders>
              <w:bottom w:val="single" w:sz="8" w:color="auto"/>
            </w:tcBorders>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142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8000" w:type="dxa"/>
            <w:vAlign w:val="bottom"/>
            <w:gridSpan w:val="3"/>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Vested</w:t>
            </w:r>
          </w:p>
        </w:tc>
        <w:tc>
          <w:tcPr>
            <w:tcW w:w="860" w:type="dxa"/>
            <w:vAlign w:val="bottom"/>
            <w:gridSpan w:val="2"/>
            <w:shd w:val="clear" w:color="auto" w:fill="CCEEFF"/>
          </w:tcPr>
          <w:p>
            <w:pPr>
              <w:jc w:val="right"/>
              <w:ind w:right="280"/>
              <w:spacing w:after="0" w:line="133" w:lineRule="exact"/>
              <w:rPr>
                <w:sz w:val="20"/>
                <w:szCs w:val="20"/>
                <w:color w:val="auto"/>
              </w:rPr>
            </w:pPr>
            <w:r>
              <w:rPr>
                <w:rFonts w:ascii="Times New Roman" w:cs="Times New Roman" w:eastAsia="Times New Roman" w:hAnsi="Times New Roman"/>
                <w:sz w:val="12"/>
                <w:szCs w:val="12"/>
                <w:color w:val="auto"/>
              </w:rPr>
              <w:t>(92,917)</w:t>
            </w:r>
          </w:p>
        </w:tc>
        <w:tc>
          <w:tcPr>
            <w:tcW w:w="140" w:type="dxa"/>
            <w:vAlign w:val="bottom"/>
            <w:tcBorders>
              <w:bottom w:val="single" w:sz="8" w:color="auto"/>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1420" w:type="dxa"/>
            <w:vAlign w:val="bottom"/>
            <w:tcBorders>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1.52</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8000" w:type="dxa"/>
            <w:vAlign w:val="bottom"/>
            <w:gridSpan w:val="3"/>
          </w:tcPr>
          <w:p>
            <w:pPr>
              <w:spacing w:after="0" w:line="133" w:lineRule="exact"/>
              <w:rPr>
                <w:sz w:val="20"/>
                <w:szCs w:val="20"/>
                <w:color w:val="auto"/>
              </w:rPr>
            </w:pPr>
            <w:r>
              <w:rPr>
                <w:rFonts w:ascii="Times New Roman" w:cs="Times New Roman" w:eastAsia="Times New Roman" w:hAnsi="Times New Roman"/>
                <w:sz w:val="12"/>
                <w:szCs w:val="12"/>
                <w:color w:val="auto"/>
              </w:rPr>
              <w:t>Forfeited/Expired</w:t>
            </w:r>
          </w:p>
        </w:tc>
        <w:tc>
          <w:tcPr>
            <w:tcW w:w="860" w:type="dxa"/>
            <w:vAlign w:val="bottom"/>
            <w:gridSpan w:val="2"/>
          </w:tcPr>
          <w:p>
            <w:pPr>
              <w:jc w:val="right"/>
              <w:ind w:right="280"/>
              <w:spacing w:after="0" w:line="133" w:lineRule="exact"/>
              <w:rPr>
                <w:sz w:val="20"/>
                <w:szCs w:val="20"/>
                <w:color w:val="auto"/>
              </w:rPr>
            </w:pPr>
            <w:r>
              <w:rPr>
                <w:rFonts w:ascii="Times New Roman" w:cs="Times New Roman" w:eastAsia="Times New Roman" w:hAnsi="Times New Roman"/>
                <w:sz w:val="12"/>
                <w:szCs w:val="12"/>
                <w:color w:val="auto"/>
              </w:rPr>
              <w:t>(42,977)</w:t>
            </w:r>
          </w:p>
        </w:tc>
        <w:tc>
          <w:tcPr>
            <w:tcW w:w="140" w:type="dxa"/>
            <w:vAlign w:val="bottom"/>
          </w:tcPr>
          <w:p>
            <w:pPr>
              <w:spacing w:after="0"/>
              <w:rPr>
                <w:sz w:val="11"/>
                <w:szCs w:val="11"/>
                <w:color w:val="auto"/>
              </w:rPr>
            </w:pPr>
          </w:p>
        </w:tc>
        <w:tc>
          <w:tcPr>
            <w:tcW w:w="142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1.14</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80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2"/>
                <w:szCs w:val="12"/>
                <w:color w:val="auto"/>
              </w:rPr>
              <w:t>Nonvested options, December 31, 2023</w:t>
            </w:r>
          </w:p>
        </w:tc>
        <w:tc>
          <w:tcPr>
            <w:tcW w:w="8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2"/>
                <w:szCs w:val="12"/>
                <w:color w:val="auto"/>
              </w:rPr>
              <w:t>294,717</w:t>
            </w:r>
          </w:p>
        </w:tc>
        <w:tc>
          <w:tcPr>
            <w:tcW w:w="140" w:type="dxa"/>
            <w:vAlign w:val="bottom"/>
            <w:shd w:val="clear" w:color="auto" w:fill="CCEEFF"/>
          </w:tcPr>
          <w:p>
            <w:pPr>
              <w:spacing w:after="0"/>
              <w:rPr>
                <w:sz w:val="12"/>
                <w:szCs w:val="12"/>
                <w:color w:val="auto"/>
              </w:rPr>
            </w:pPr>
          </w:p>
        </w:tc>
        <w:tc>
          <w:tcPr>
            <w:tcW w:w="15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1.34</w:t>
            </w:r>
          </w:p>
        </w:tc>
        <w:tc>
          <w:tcPr>
            <w:tcW w:w="0" w:type="dxa"/>
            <w:vAlign w:val="bottom"/>
          </w:tcPr>
          <w:p>
            <w:pPr>
              <w:spacing w:after="0"/>
              <w:rPr>
                <w:sz w:val="1"/>
                <w:szCs w:val="1"/>
                <w:color w:val="auto"/>
              </w:rPr>
            </w:pPr>
          </w:p>
        </w:tc>
      </w:tr>
    </w:tbl>
    <w:p>
      <w:pPr>
        <w:spacing w:after="0" w:line="133" w:lineRule="exact"/>
        <w:rPr>
          <w:sz w:val="20"/>
          <w:szCs w:val="20"/>
          <w:color w:val="auto"/>
        </w:rPr>
      </w:pPr>
    </w:p>
    <w:p>
      <w:pPr>
        <w:jc w:val="both"/>
        <w:ind w:right="20"/>
        <w:spacing w:after="0" w:line="279" w:lineRule="auto"/>
        <w:rPr>
          <w:sz w:val="20"/>
          <w:szCs w:val="20"/>
          <w:color w:val="auto"/>
        </w:rPr>
      </w:pPr>
      <w:r>
        <w:rPr>
          <w:rFonts w:ascii="Times New Roman" w:cs="Times New Roman" w:eastAsia="Times New Roman" w:hAnsi="Times New Roman"/>
          <w:sz w:val="12"/>
          <w:szCs w:val="12"/>
          <w:color w:val="auto"/>
        </w:rPr>
        <w:t>As of December 31, 2023, 711,548 options had vested and 100,739 options were expected to vest between January 2024 and October 2026. Future compensation expense associated with the unvested options totals approximately $130,000 which is expected to be recognized over two years. For the year ended December 31, 2023, stock compensation expense was $173,165.</w:t>
      </w:r>
    </w:p>
    <w:p>
      <w:pPr>
        <w:spacing w:after="0" w:line="111"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2"/>
          <w:szCs w:val="12"/>
          <w:color w:val="auto"/>
        </w:rPr>
        <w:t>As of December 31, 2023, the Company issued 193,978 performance-based options related to a multiple on invested capital. Future compensation expense associated with the unvested options totals $220,165, which is not included in future compensation expense for unvested options of approximately $130,000. The options only vest upon transaction, change in control, or liquidation. For the year ended December 31, 2023, there was no stock compensation expense related to the performance-based options.</w:t>
      </w:r>
    </w:p>
    <w:p>
      <w:pPr>
        <w:spacing w:after="0" w:line="119"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2"/>
          <w:szCs w:val="12"/>
          <w:color w:val="auto"/>
        </w:rPr>
        <w:t>In January 2024, the Board of Directors of the Company approved the cancellation and replacement of various stock options held by certain participants as part of the Company’s 2017 Equity Incentive Plan. The Company offered to replace outstanding options having an exercise price greater than $0.50 per share with a new stock option with an exercise price of $0.50 per share. Participants holding a total of 808,966 options elected to participate in the option exchange.</w:t>
      </w:r>
    </w:p>
    <w:p>
      <w:pPr>
        <w:spacing w:after="0" w:line="119"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2"/>
          <w:szCs w:val="1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-271145</wp:posOffset>
            </wp:positionH>
            <wp:positionV relativeFrom="paragraph">
              <wp:posOffset>10795</wp:posOffset>
            </wp:positionV>
            <wp:extent cx="7178040" cy="571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0880"/>
          </w:cols>
          <w:pgMar w:left="720" w:top="479" w:right="299" w:bottom="1440" w:gutter="0" w:footer="0" w:header="0"/>
        </w:sectPr>
      </w:pPr>
    </w:p>
    <w:bookmarkStart w:id="16" w:name="page17"/>
    <w:bookmarkEnd w:id="16"/>
    <w:tbl>
      <w:tblPr>
        <w:tblLayout w:type="fixed"/>
        <w:tblInd w:w="0" w:type="dxa"/>
        <w:tblCellMar>
          <w:top w:w="0" w:type="dxa"/>
          <w:left w:w="0" w:type="dxa"/>
          <w:bottom w:w="0" w:type="dxa"/>
          <w:right w:w="0" w:type="dxa"/>
        </w:tblCellMar>
      </w:tblPr>
      <w:tr>
        <w:trPr>
          <w:trHeight w:val="138"/>
        </w:trPr>
        <w:tc>
          <w:tcPr>
            <w:tcW w:w="8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2"/>
                <w:szCs w:val="12"/>
                <w:b w:val="1"/>
                <w:bCs w:val="1"/>
                <w:color w:val="auto"/>
                <w:w w:val="97"/>
              </w:rPr>
              <w:t>(7) Income taxes</w:t>
            </w:r>
          </w:p>
        </w:tc>
        <w:tc>
          <w:tcPr>
            <w:tcW w:w="8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95"/>
        </w:trPr>
        <w:tc>
          <w:tcPr>
            <w:tcW w:w="420" w:type="dxa"/>
            <w:vAlign w:val="bottom"/>
          </w:tcPr>
          <w:p>
            <w:pPr>
              <w:spacing w:after="0"/>
              <w:rPr>
                <w:sz w:val="24"/>
                <w:szCs w:val="24"/>
                <w:color w:val="auto"/>
              </w:rPr>
            </w:pPr>
          </w:p>
        </w:tc>
        <w:tc>
          <w:tcPr>
            <w:tcW w:w="86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Income tax benefit included in the accompanying consolidated statement of operations is summarized as follows:</w:t>
            </w:r>
          </w:p>
        </w:tc>
        <w:tc>
          <w:tcPr>
            <w:tcW w:w="6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44"/>
        </w:trPr>
        <w:tc>
          <w:tcPr>
            <w:tcW w:w="4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4"/>
        </w:trPr>
        <w:tc>
          <w:tcPr>
            <w:tcW w:w="420" w:type="dxa"/>
            <w:vAlign w:val="bottom"/>
          </w:tcPr>
          <w:p>
            <w:pPr>
              <w:spacing w:after="0"/>
              <w:rPr>
                <w:sz w:val="12"/>
                <w:szCs w:val="12"/>
                <w:color w:val="auto"/>
              </w:rPr>
            </w:pPr>
          </w:p>
        </w:tc>
        <w:tc>
          <w:tcPr>
            <w:tcW w:w="8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Current</w:t>
            </w:r>
          </w:p>
        </w:tc>
        <w:tc>
          <w:tcPr>
            <w:tcW w:w="660" w:type="dxa"/>
            <w:vAlign w:val="bottom"/>
            <w:shd w:val="clear" w:color="auto" w:fill="CCEEFF"/>
          </w:tcPr>
          <w:p>
            <w:pPr>
              <w:jc w:val="right"/>
              <w:ind w:right="546"/>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2"/>
                <w:szCs w:val="12"/>
                <w:color w:val="auto"/>
              </w:rPr>
            </w:pPr>
          </w:p>
        </w:tc>
      </w:tr>
      <w:tr>
        <w:trPr>
          <w:trHeight w:val="144"/>
        </w:trPr>
        <w:tc>
          <w:tcPr>
            <w:tcW w:w="420" w:type="dxa"/>
            <w:vAlign w:val="bottom"/>
          </w:tcPr>
          <w:p>
            <w:pPr>
              <w:spacing w:after="0"/>
              <w:rPr>
                <w:sz w:val="12"/>
                <w:szCs w:val="12"/>
                <w:color w:val="auto"/>
              </w:rPr>
            </w:pPr>
          </w:p>
        </w:tc>
        <w:tc>
          <w:tcPr>
            <w:tcW w:w="86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Deferred</w:t>
            </w:r>
          </w:p>
        </w:tc>
        <w:tc>
          <w:tcPr>
            <w:tcW w:w="660" w:type="dxa"/>
            <w:vAlign w:val="bottom"/>
          </w:tcPr>
          <w:p>
            <w:pPr>
              <w:spacing w:after="0"/>
              <w:rPr>
                <w:sz w:val="12"/>
                <w:szCs w:val="1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205,950</w:t>
            </w:r>
          </w:p>
        </w:tc>
        <w:tc>
          <w:tcPr>
            <w:tcW w:w="100" w:type="dxa"/>
            <w:vAlign w:val="bottom"/>
          </w:tcPr>
          <w:p>
            <w:pPr>
              <w:spacing w:after="0"/>
              <w:rPr>
                <w:sz w:val="12"/>
                <w:szCs w:val="12"/>
                <w:color w:val="auto"/>
              </w:rPr>
            </w:pPr>
          </w:p>
        </w:tc>
      </w:tr>
      <w:tr>
        <w:trPr>
          <w:trHeight w:val="153"/>
        </w:trPr>
        <w:tc>
          <w:tcPr>
            <w:tcW w:w="420" w:type="dxa"/>
            <w:vAlign w:val="bottom"/>
          </w:tcPr>
          <w:p>
            <w:pPr>
              <w:spacing w:after="0"/>
              <w:rPr>
                <w:sz w:val="13"/>
                <w:szCs w:val="13"/>
                <w:color w:val="auto"/>
              </w:rPr>
            </w:pPr>
          </w:p>
        </w:tc>
        <w:tc>
          <w:tcPr>
            <w:tcW w:w="8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Valuation allowance</w:t>
            </w:r>
          </w:p>
        </w:tc>
        <w:tc>
          <w:tcPr>
            <w:tcW w:w="660" w:type="dxa"/>
            <w:vAlign w:val="bottom"/>
            <w:shd w:val="clear" w:color="auto" w:fill="CCEEFF"/>
          </w:tcPr>
          <w:p>
            <w:pPr>
              <w:spacing w:after="0"/>
              <w:rPr>
                <w:sz w:val="13"/>
                <w:szCs w:val="13"/>
                <w:color w:val="auto"/>
              </w:rPr>
            </w:pPr>
          </w:p>
        </w:tc>
        <w:tc>
          <w:tcPr>
            <w:tcW w:w="12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(205,950)</w:t>
            </w:r>
          </w:p>
        </w:tc>
      </w:tr>
      <w:tr>
        <w:trPr>
          <w:trHeight w:val="133"/>
        </w:trPr>
        <w:tc>
          <w:tcPr>
            <w:tcW w:w="420" w:type="dxa"/>
            <w:vAlign w:val="bottom"/>
          </w:tcPr>
          <w:p>
            <w:pPr>
              <w:spacing w:after="0"/>
              <w:rPr>
                <w:sz w:val="11"/>
                <w:szCs w:val="11"/>
                <w:color w:val="auto"/>
              </w:rPr>
            </w:pPr>
          </w:p>
        </w:tc>
        <w:tc>
          <w:tcPr>
            <w:tcW w:w="8640" w:type="dxa"/>
            <w:vAlign w:val="bottom"/>
            <w:gridSpan w:val="2"/>
          </w:tcPr>
          <w:p>
            <w:pPr>
              <w:ind w:left="120"/>
              <w:spacing w:after="0" w:line="133" w:lineRule="exact"/>
              <w:rPr>
                <w:sz w:val="20"/>
                <w:szCs w:val="20"/>
                <w:color w:val="auto"/>
              </w:rPr>
            </w:pPr>
            <w:r>
              <w:rPr>
                <w:rFonts w:ascii="Times New Roman" w:cs="Times New Roman" w:eastAsia="Times New Roman" w:hAnsi="Times New Roman"/>
                <w:sz w:val="12"/>
                <w:szCs w:val="12"/>
                <w:color w:val="auto"/>
              </w:rPr>
              <w:t>Total income tax benefit</w:t>
            </w:r>
          </w:p>
        </w:tc>
        <w:tc>
          <w:tcPr>
            <w:tcW w:w="660" w:type="dxa"/>
            <w:vAlign w:val="bottom"/>
            <w:tcBorders>
              <w:top w:val="single" w:sz="8" w:color="auto"/>
              <w:bottom w:val="single" w:sz="8" w:color="auto"/>
            </w:tcBorders>
          </w:tcPr>
          <w:p>
            <w:pPr>
              <w:jc w:val="right"/>
              <w:ind w:right="546"/>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tcBorders>
              <w:top w:val="single" w:sz="8" w:color="auto"/>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1"/>
                <w:szCs w:val="11"/>
                <w:color w:val="auto"/>
              </w:rPr>
            </w:pPr>
          </w:p>
        </w:tc>
      </w:tr>
      <w:tr>
        <w:trPr>
          <w:trHeight w:val="277"/>
        </w:trPr>
        <w:tc>
          <w:tcPr>
            <w:tcW w:w="420" w:type="dxa"/>
            <w:vAlign w:val="bottom"/>
          </w:tcPr>
          <w:p>
            <w:pPr>
              <w:spacing w:after="0"/>
              <w:rPr>
                <w:sz w:val="24"/>
                <w:szCs w:val="24"/>
                <w:color w:val="auto"/>
              </w:rPr>
            </w:pPr>
          </w:p>
        </w:tc>
        <w:tc>
          <w:tcPr>
            <w:tcW w:w="86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The deferred income tax assets and liabilities consisted of the following as of December 31, 2023:</w:t>
            </w:r>
          </w:p>
        </w:tc>
        <w:tc>
          <w:tcPr>
            <w:tcW w:w="6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44"/>
        </w:trPr>
        <w:tc>
          <w:tcPr>
            <w:tcW w:w="4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4"/>
        </w:trPr>
        <w:tc>
          <w:tcPr>
            <w:tcW w:w="420" w:type="dxa"/>
            <w:vAlign w:val="bottom"/>
          </w:tcPr>
          <w:p>
            <w:pPr>
              <w:spacing w:after="0"/>
              <w:rPr>
                <w:sz w:val="12"/>
                <w:szCs w:val="12"/>
                <w:color w:val="auto"/>
              </w:rPr>
            </w:pPr>
          </w:p>
        </w:tc>
        <w:tc>
          <w:tcPr>
            <w:tcW w:w="8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Deferred income tax assets:</w:t>
            </w:r>
          </w:p>
        </w:tc>
        <w:tc>
          <w:tcPr>
            <w:tcW w:w="66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44"/>
        </w:trPr>
        <w:tc>
          <w:tcPr>
            <w:tcW w:w="420" w:type="dxa"/>
            <w:vAlign w:val="bottom"/>
          </w:tcPr>
          <w:p>
            <w:pPr>
              <w:spacing w:after="0"/>
              <w:rPr>
                <w:sz w:val="12"/>
                <w:szCs w:val="12"/>
                <w:color w:val="auto"/>
              </w:rPr>
            </w:pPr>
          </w:p>
        </w:tc>
        <w:tc>
          <w:tcPr>
            <w:tcW w:w="8640" w:type="dxa"/>
            <w:vAlign w:val="bottom"/>
            <w:gridSpan w:val="2"/>
          </w:tcPr>
          <w:p>
            <w:pPr>
              <w:ind w:left="120"/>
              <w:spacing w:after="0"/>
              <w:rPr>
                <w:sz w:val="20"/>
                <w:szCs w:val="20"/>
                <w:color w:val="auto"/>
              </w:rPr>
            </w:pPr>
            <w:r>
              <w:rPr>
                <w:rFonts w:ascii="Times New Roman" w:cs="Times New Roman" w:eastAsia="Times New Roman" w:hAnsi="Times New Roman"/>
                <w:sz w:val="12"/>
                <w:szCs w:val="12"/>
                <w:color w:val="auto"/>
              </w:rPr>
              <w:t>Net operating loss carryforwards</w:t>
            </w:r>
          </w:p>
        </w:tc>
        <w:tc>
          <w:tcPr>
            <w:tcW w:w="660" w:type="dxa"/>
            <w:vAlign w:val="bottom"/>
          </w:tcPr>
          <w:p>
            <w:pPr>
              <w:jc w:val="right"/>
              <w:ind w:right="546"/>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3,929,763</w:t>
            </w:r>
          </w:p>
        </w:tc>
        <w:tc>
          <w:tcPr>
            <w:tcW w:w="100" w:type="dxa"/>
            <w:vAlign w:val="bottom"/>
          </w:tcPr>
          <w:p>
            <w:pPr>
              <w:spacing w:after="0"/>
              <w:rPr>
                <w:sz w:val="12"/>
                <w:szCs w:val="12"/>
                <w:color w:val="auto"/>
              </w:rPr>
            </w:pPr>
          </w:p>
        </w:tc>
      </w:tr>
      <w:tr>
        <w:trPr>
          <w:trHeight w:val="144"/>
        </w:trPr>
        <w:tc>
          <w:tcPr>
            <w:tcW w:w="420" w:type="dxa"/>
            <w:vAlign w:val="bottom"/>
          </w:tcPr>
          <w:p>
            <w:pPr>
              <w:spacing w:after="0"/>
              <w:rPr>
                <w:sz w:val="12"/>
                <w:szCs w:val="12"/>
                <w:color w:val="auto"/>
              </w:rPr>
            </w:pPr>
          </w:p>
        </w:tc>
        <w:tc>
          <w:tcPr>
            <w:tcW w:w="86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Research and experimental expenses</w:t>
            </w:r>
          </w:p>
        </w:tc>
        <w:tc>
          <w:tcPr>
            <w:tcW w:w="660" w:type="dxa"/>
            <w:vAlign w:val="bottom"/>
            <w:shd w:val="clear" w:color="auto" w:fill="CCEEFF"/>
          </w:tcPr>
          <w:p>
            <w:pPr>
              <w:spacing w:after="0"/>
              <w:rPr>
                <w:sz w:val="12"/>
                <w:szCs w:val="1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828,229</w:t>
            </w:r>
          </w:p>
        </w:tc>
        <w:tc>
          <w:tcPr>
            <w:tcW w:w="100" w:type="dxa"/>
            <w:vAlign w:val="bottom"/>
            <w:shd w:val="clear" w:color="auto" w:fill="CCEEFF"/>
          </w:tcPr>
          <w:p>
            <w:pPr>
              <w:spacing w:after="0"/>
              <w:rPr>
                <w:sz w:val="12"/>
                <w:szCs w:val="12"/>
                <w:color w:val="auto"/>
              </w:rPr>
            </w:pPr>
          </w:p>
        </w:tc>
      </w:tr>
      <w:tr>
        <w:trPr>
          <w:trHeight w:val="144"/>
        </w:trPr>
        <w:tc>
          <w:tcPr>
            <w:tcW w:w="420" w:type="dxa"/>
            <w:vAlign w:val="bottom"/>
          </w:tcPr>
          <w:p>
            <w:pPr>
              <w:spacing w:after="0"/>
              <w:rPr>
                <w:sz w:val="12"/>
                <w:szCs w:val="12"/>
                <w:color w:val="auto"/>
              </w:rPr>
            </w:pPr>
          </w:p>
        </w:tc>
        <w:tc>
          <w:tcPr>
            <w:tcW w:w="8640" w:type="dxa"/>
            <w:vAlign w:val="bottom"/>
            <w:gridSpan w:val="2"/>
          </w:tcPr>
          <w:p>
            <w:pPr>
              <w:ind w:left="120"/>
              <w:spacing w:after="0"/>
              <w:rPr>
                <w:sz w:val="20"/>
                <w:szCs w:val="20"/>
                <w:color w:val="auto"/>
              </w:rPr>
            </w:pPr>
            <w:r>
              <w:rPr>
                <w:rFonts w:ascii="Times New Roman" w:cs="Times New Roman" w:eastAsia="Times New Roman" w:hAnsi="Times New Roman"/>
                <w:sz w:val="12"/>
                <w:szCs w:val="12"/>
                <w:color w:val="auto"/>
              </w:rPr>
              <w:t>Tax credits</w:t>
            </w:r>
          </w:p>
        </w:tc>
        <w:tc>
          <w:tcPr>
            <w:tcW w:w="660" w:type="dxa"/>
            <w:vAlign w:val="bottom"/>
          </w:tcPr>
          <w:p>
            <w:pPr>
              <w:spacing w:after="0"/>
              <w:rPr>
                <w:sz w:val="12"/>
                <w:szCs w:val="12"/>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22,741</w:t>
            </w:r>
          </w:p>
        </w:tc>
      </w:tr>
      <w:tr>
        <w:trPr>
          <w:trHeight w:val="144"/>
        </w:trPr>
        <w:tc>
          <w:tcPr>
            <w:tcW w:w="420" w:type="dxa"/>
            <w:vAlign w:val="bottom"/>
          </w:tcPr>
          <w:p>
            <w:pPr>
              <w:spacing w:after="0"/>
              <w:rPr>
                <w:sz w:val="12"/>
                <w:szCs w:val="12"/>
                <w:color w:val="auto"/>
              </w:rPr>
            </w:pPr>
          </w:p>
        </w:tc>
        <w:tc>
          <w:tcPr>
            <w:tcW w:w="86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Accrued expenses</w:t>
            </w:r>
          </w:p>
        </w:tc>
        <w:tc>
          <w:tcPr>
            <w:tcW w:w="660" w:type="dxa"/>
            <w:vAlign w:val="bottom"/>
            <w:shd w:val="clear" w:color="auto" w:fill="CCEEFF"/>
          </w:tcPr>
          <w:p>
            <w:pPr>
              <w:spacing w:after="0"/>
              <w:rPr>
                <w:sz w:val="12"/>
                <w:szCs w:val="1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838</w:t>
            </w:r>
          </w:p>
        </w:tc>
        <w:tc>
          <w:tcPr>
            <w:tcW w:w="100" w:type="dxa"/>
            <w:vAlign w:val="bottom"/>
            <w:shd w:val="clear" w:color="auto" w:fill="CCEEFF"/>
          </w:tcPr>
          <w:p>
            <w:pPr>
              <w:spacing w:after="0"/>
              <w:rPr>
                <w:sz w:val="12"/>
                <w:szCs w:val="12"/>
                <w:color w:val="auto"/>
              </w:rPr>
            </w:pPr>
          </w:p>
        </w:tc>
      </w:tr>
      <w:tr>
        <w:trPr>
          <w:trHeight w:val="144"/>
        </w:trPr>
        <w:tc>
          <w:tcPr>
            <w:tcW w:w="420" w:type="dxa"/>
            <w:vAlign w:val="bottom"/>
          </w:tcPr>
          <w:p>
            <w:pPr>
              <w:spacing w:after="0"/>
              <w:rPr>
                <w:sz w:val="12"/>
                <w:szCs w:val="12"/>
                <w:color w:val="auto"/>
              </w:rPr>
            </w:pPr>
          </w:p>
        </w:tc>
        <w:tc>
          <w:tcPr>
            <w:tcW w:w="8640" w:type="dxa"/>
            <w:vAlign w:val="bottom"/>
            <w:gridSpan w:val="2"/>
          </w:tcPr>
          <w:p>
            <w:pPr>
              <w:ind w:left="120"/>
              <w:spacing w:after="0"/>
              <w:rPr>
                <w:sz w:val="20"/>
                <w:szCs w:val="20"/>
                <w:color w:val="auto"/>
              </w:rPr>
            </w:pPr>
            <w:r>
              <w:rPr>
                <w:rFonts w:ascii="Times New Roman" w:cs="Times New Roman" w:eastAsia="Times New Roman" w:hAnsi="Times New Roman"/>
                <w:sz w:val="12"/>
                <w:szCs w:val="12"/>
                <w:color w:val="auto"/>
              </w:rPr>
              <w:t>Deferred revenue</w:t>
            </w:r>
          </w:p>
        </w:tc>
        <w:tc>
          <w:tcPr>
            <w:tcW w:w="660" w:type="dxa"/>
            <w:vAlign w:val="bottom"/>
          </w:tcPr>
          <w:p>
            <w:pPr>
              <w:spacing w:after="0"/>
              <w:rPr>
                <w:sz w:val="12"/>
                <w:szCs w:val="1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4,285</w:t>
            </w:r>
          </w:p>
        </w:tc>
        <w:tc>
          <w:tcPr>
            <w:tcW w:w="100" w:type="dxa"/>
            <w:vAlign w:val="bottom"/>
          </w:tcPr>
          <w:p>
            <w:pPr>
              <w:spacing w:after="0"/>
              <w:rPr>
                <w:sz w:val="12"/>
                <w:szCs w:val="12"/>
                <w:color w:val="auto"/>
              </w:rPr>
            </w:pPr>
          </w:p>
        </w:tc>
      </w:tr>
      <w:tr>
        <w:trPr>
          <w:trHeight w:val="153"/>
        </w:trPr>
        <w:tc>
          <w:tcPr>
            <w:tcW w:w="420" w:type="dxa"/>
            <w:vAlign w:val="bottom"/>
          </w:tcPr>
          <w:p>
            <w:pPr>
              <w:spacing w:after="0"/>
              <w:rPr>
                <w:sz w:val="13"/>
                <w:szCs w:val="13"/>
                <w:color w:val="auto"/>
              </w:rPr>
            </w:pPr>
          </w:p>
        </w:tc>
        <w:tc>
          <w:tcPr>
            <w:tcW w:w="86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Stock compensation</w:t>
            </w:r>
          </w:p>
        </w:tc>
        <w:tc>
          <w:tcPr>
            <w:tcW w:w="660" w:type="dxa"/>
            <w:vAlign w:val="bottom"/>
            <w:tcBorders>
              <w:bottom w:val="single" w:sz="8" w:color="auto"/>
            </w:tcBorders>
            <w:shd w:val="clear" w:color="auto" w:fill="CCEEFF"/>
          </w:tcPr>
          <w:p>
            <w:pPr>
              <w:spacing w:after="0"/>
              <w:rPr>
                <w:sz w:val="13"/>
                <w:szCs w:val="13"/>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385,265</w:t>
            </w:r>
          </w:p>
        </w:tc>
        <w:tc>
          <w:tcPr>
            <w:tcW w:w="100" w:type="dxa"/>
            <w:vAlign w:val="bottom"/>
            <w:shd w:val="clear" w:color="auto" w:fill="CCEEFF"/>
          </w:tcPr>
          <w:p>
            <w:pPr>
              <w:spacing w:after="0"/>
              <w:rPr>
                <w:sz w:val="13"/>
                <w:szCs w:val="13"/>
                <w:color w:val="auto"/>
              </w:rPr>
            </w:pPr>
          </w:p>
        </w:tc>
      </w:tr>
      <w:tr>
        <w:trPr>
          <w:trHeight w:val="133"/>
        </w:trPr>
        <w:tc>
          <w:tcPr>
            <w:tcW w:w="420" w:type="dxa"/>
            <w:vAlign w:val="bottom"/>
          </w:tcPr>
          <w:p>
            <w:pPr>
              <w:spacing w:after="0"/>
              <w:rPr>
                <w:sz w:val="11"/>
                <w:szCs w:val="11"/>
                <w:color w:val="auto"/>
              </w:rPr>
            </w:pPr>
          </w:p>
        </w:tc>
        <w:tc>
          <w:tcPr>
            <w:tcW w:w="8640" w:type="dxa"/>
            <w:vAlign w:val="bottom"/>
            <w:gridSpan w:val="2"/>
          </w:tcPr>
          <w:p>
            <w:pPr>
              <w:ind w:left="120"/>
              <w:spacing w:after="0" w:line="133" w:lineRule="exact"/>
              <w:rPr>
                <w:sz w:val="20"/>
                <w:szCs w:val="20"/>
                <w:color w:val="auto"/>
              </w:rPr>
            </w:pPr>
            <w:r>
              <w:rPr>
                <w:rFonts w:ascii="Times New Roman" w:cs="Times New Roman" w:eastAsia="Times New Roman" w:hAnsi="Times New Roman"/>
                <w:sz w:val="12"/>
                <w:szCs w:val="12"/>
                <w:color w:val="auto"/>
              </w:rPr>
              <w:t>Gross deferred income tax assets</w:t>
            </w:r>
          </w:p>
        </w:tc>
        <w:tc>
          <w:tcPr>
            <w:tcW w:w="660" w:type="dxa"/>
            <w:vAlign w:val="bottom"/>
          </w:tcPr>
          <w:p>
            <w:pPr>
              <w:spacing w:after="0"/>
              <w:rPr>
                <w:sz w:val="11"/>
                <w:szCs w:val="11"/>
                <w:color w:val="auto"/>
              </w:rPr>
            </w:pPr>
          </w:p>
        </w:tc>
        <w:tc>
          <w:tcPr>
            <w:tcW w:w="112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5,171,121</w:t>
            </w:r>
          </w:p>
        </w:tc>
        <w:tc>
          <w:tcPr>
            <w:tcW w:w="100" w:type="dxa"/>
            <w:vAlign w:val="bottom"/>
          </w:tcPr>
          <w:p>
            <w:pPr>
              <w:spacing w:after="0"/>
              <w:rPr>
                <w:sz w:val="11"/>
                <w:szCs w:val="11"/>
                <w:color w:val="auto"/>
              </w:rPr>
            </w:pPr>
          </w:p>
        </w:tc>
      </w:tr>
      <w:tr>
        <w:trPr>
          <w:trHeight w:val="153"/>
        </w:trPr>
        <w:tc>
          <w:tcPr>
            <w:tcW w:w="420" w:type="dxa"/>
            <w:vAlign w:val="bottom"/>
          </w:tcPr>
          <w:p>
            <w:pPr>
              <w:spacing w:after="0"/>
              <w:rPr>
                <w:sz w:val="13"/>
                <w:szCs w:val="13"/>
                <w:color w:val="auto"/>
              </w:rPr>
            </w:pPr>
          </w:p>
        </w:tc>
        <w:tc>
          <w:tcPr>
            <w:tcW w:w="8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Less: valuation allowance</w:t>
            </w:r>
          </w:p>
        </w:tc>
        <w:tc>
          <w:tcPr>
            <w:tcW w:w="660" w:type="dxa"/>
            <w:vAlign w:val="bottom"/>
            <w:shd w:val="clear" w:color="auto" w:fill="CCEEFF"/>
          </w:tcPr>
          <w:p>
            <w:pPr>
              <w:spacing w:after="0"/>
              <w:rPr>
                <w:sz w:val="13"/>
                <w:szCs w:val="13"/>
                <w:color w:val="auto"/>
              </w:rPr>
            </w:pPr>
          </w:p>
        </w:tc>
        <w:tc>
          <w:tcPr>
            <w:tcW w:w="12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(5,107,430)</w:t>
            </w:r>
          </w:p>
        </w:tc>
      </w:tr>
      <w:tr>
        <w:trPr>
          <w:trHeight w:val="133"/>
        </w:trPr>
        <w:tc>
          <w:tcPr>
            <w:tcW w:w="420" w:type="dxa"/>
            <w:vAlign w:val="bottom"/>
          </w:tcPr>
          <w:p>
            <w:pPr>
              <w:spacing w:after="0"/>
              <w:rPr>
                <w:sz w:val="11"/>
                <w:szCs w:val="11"/>
                <w:color w:val="auto"/>
              </w:rPr>
            </w:pPr>
          </w:p>
        </w:tc>
        <w:tc>
          <w:tcPr>
            <w:tcW w:w="8640" w:type="dxa"/>
            <w:vAlign w:val="bottom"/>
            <w:tcBorders>
              <w:bottom w:val="single" w:sz="8" w:color="CCEEFF"/>
            </w:tcBorders>
            <w:gridSpan w:val="2"/>
          </w:tcPr>
          <w:p>
            <w:pPr>
              <w:ind w:left="120"/>
              <w:spacing w:after="0" w:line="133" w:lineRule="exact"/>
              <w:rPr>
                <w:sz w:val="20"/>
                <w:szCs w:val="20"/>
                <w:color w:val="auto"/>
              </w:rPr>
            </w:pPr>
            <w:r>
              <w:rPr>
                <w:rFonts w:ascii="Times New Roman" w:cs="Times New Roman" w:eastAsia="Times New Roman" w:hAnsi="Times New Roman"/>
                <w:sz w:val="12"/>
                <w:szCs w:val="12"/>
                <w:color w:val="auto"/>
              </w:rPr>
              <w:t>Total deferred income tax assets</w:t>
            </w:r>
          </w:p>
        </w:tc>
        <w:tc>
          <w:tcPr>
            <w:tcW w:w="660" w:type="dxa"/>
            <w:vAlign w:val="bottom"/>
            <w:tcBorders>
              <w:top w:val="single" w:sz="8" w:color="auto"/>
              <w:bottom w:val="single" w:sz="8" w:color="auto"/>
            </w:tcBorders>
          </w:tcPr>
          <w:p>
            <w:pPr>
              <w:spacing w:after="0"/>
              <w:rPr>
                <w:sz w:val="11"/>
                <w:szCs w:val="11"/>
                <w:color w:val="auto"/>
              </w:rPr>
            </w:pPr>
          </w:p>
        </w:tc>
        <w:tc>
          <w:tcPr>
            <w:tcW w:w="1120" w:type="dxa"/>
            <w:vAlign w:val="bottom"/>
            <w:tcBorders>
              <w:top w:val="single" w:sz="8" w:color="auto"/>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63,691</w:t>
            </w:r>
          </w:p>
        </w:tc>
        <w:tc>
          <w:tcPr>
            <w:tcW w:w="100" w:type="dxa"/>
            <w:vAlign w:val="bottom"/>
            <w:tcBorders>
              <w:bottom w:val="single" w:sz="8" w:color="CCEEFF"/>
            </w:tcBorders>
          </w:tcPr>
          <w:p>
            <w:pPr>
              <w:spacing w:after="0"/>
              <w:rPr>
                <w:sz w:val="11"/>
                <w:szCs w:val="11"/>
                <w:color w:val="auto"/>
              </w:rPr>
            </w:pPr>
          </w:p>
        </w:tc>
      </w:tr>
      <w:tr>
        <w:trPr>
          <w:trHeight w:val="133"/>
        </w:trPr>
        <w:tc>
          <w:tcPr>
            <w:tcW w:w="420" w:type="dxa"/>
            <w:vAlign w:val="bottom"/>
          </w:tcPr>
          <w:p>
            <w:pPr>
              <w:spacing w:after="0"/>
              <w:rPr>
                <w:sz w:val="11"/>
                <w:szCs w:val="11"/>
                <w:color w:val="auto"/>
              </w:rPr>
            </w:pPr>
          </w:p>
        </w:tc>
        <w:tc>
          <w:tcPr>
            <w:tcW w:w="8640" w:type="dxa"/>
            <w:vAlign w:val="bottom"/>
            <w:gridSpan w:val="2"/>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Deferred income tax liabilities:</w:t>
            </w:r>
          </w:p>
        </w:tc>
        <w:tc>
          <w:tcPr>
            <w:tcW w:w="66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r>
      <w:tr>
        <w:trPr>
          <w:trHeight w:val="144"/>
        </w:trPr>
        <w:tc>
          <w:tcPr>
            <w:tcW w:w="420" w:type="dxa"/>
            <w:vAlign w:val="bottom"/>
          </w:tcPr>
          <w:p>
            <w:pPr>
              <w:spacing w:after="0"/>
              <w:rPr>
                <w:sz w:val="12"/>
                <w:szCs w:val="12"/>
                <w:color w:val="auto"/>
              </w:rPr>
            </w:pPr>
          </w:p>
        </w:tc>
        <w:tc>
          <w:tcPr>
            <w:tcW w:w="8640" w:type="dxa"/>
            <w:vAlign w:val="bottom"/>
            <w:gridSpan w:val="2"/>
          </w:tcPr>
          <w:p>
            <w:pPr>
              <w:ind w:left="120"/>
              <w:spacing w:after="0"/>
              <w:rPr>
                <w:sz w:val="20"/>
                <w:szCs w:val="20"/>
                <w:color w:val="auto"/>
              </w:rPr>
            </w:pPr>
            <w:r>
              <w:rPr>
                <w:rFonts w:ascii="Times New Roman" w:cs="Times New Roman" w:eastAsia="Times New Roman" w:hAnsi="Times New Roman"/>
                <w:sz w:val="12"/>
                <w:szCs w:val="12"/>
                <w:color w:val="auto"/>
              </w:rPr>
              <w:t>Property and equipment</w:t>
            </w:r>
          </w:p>
        </w:tc>
        <w:tc>
          <w:tcPr>
            <w:tcW w:w="660" w:type="dxa"/>
            <w:vAlign w:val="bottom"/>
          </w:tcPr>
          <w:p>
            <w:pPr>
              <w:spacing w:after="0"/>
              <w:rPr>
                <w:sz w:val="12"/>
                <w:szCs w:val="1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681</w:t>
            </w:r>
          </w:p>
        </w:tc>
        <w:tc>
          <w:tcPr>
            <w:tcW w:w="100" w:type="dxa"/>
            <w:vAlign w:val="bottom"/>
          </w:tcPr>
          <w:p>
            <w:pPr>
              <w:spacing w:after="0"/>
              <w:rPr>
                <w:sz w:val="12"/>
                <w:szCs w:val="12"/>
                <w:color w:val="auto"/>
              </w:rPr>
            </w:pPr>
          </w:p>
        </w:tc>
      </w:tr>
      <w:tr>
        <w:trPr>
          <w:trHeight w:val="153"/>
        </w:trPr>
        <w:tc>
          <w:tcPr>
            <w:tcW w:w="420" w:type="dxa"/>
            <w:vAlign w:val="bottom"/>
          </w:tcPr>
          <w:p>
            <w:pPr>
              <w:spacing w:after="0"/>
              <w:rPr>
                <w:sz w:val="13"/>
                <w:szCs w:val="13"/>
                <w:color w:val="auto"/>
              </w:rPr>
            </w:pPr>
          </w:p>
        </w:tc>
        <w:tc>
          <w:tcPr>
            <w:tcW w:w="86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Intangibles</w:t>
            </w:r>
          </w:p>
        </w:tc>
        <w:tc>
          <w:tcPr>
            <w:tcW w:w="660" w:type="dxa"/>
            <w:vAlign w:val="bottom"/>
            <w:shd w:val="clear" w:color="auto" w:fill="CCEEFF"/>
          </w:tcPr>
          <w:p>
            <w:pPr>
              <w:spacing w:after="0"/>
              <w:rPr>
                <w:sz w:val="13"/>
                <w:szCs w:val="13"/>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63,010</w:t>
            </w:r>
          </w:p>
        </w:tc>
      </w:tr>
      <w:tr>
        <w:trPr>
          <w:trHeight w:val="133"/>
        </w:trPr>
        <w:tc>
          <w:tcPr>
            <w:tcW w:w="420" w:type="dxa"/>
            <w:vAlign w:val="bottom"/>
          </w:tcPr>
          <w:p>
            <w:pPr>
              <w:spacing w:after="0"/>
              <w:rPr>
                <w:sz w:val="11"/>
                <w:szCs w:val="11"/>
                <w:color w:val="auto"/>
              </w:rPr>
            </w:pPr>
          </w:p>
        </w:tc>
        <w:tc>
          <w:tcPr>
            <w:tcW w:w="8640" w:type="dxa"/>
            <w:vAlign w:val="bottom"/>
            <w:tcBorders>
              <w:bottom w:val="single" w:sz="8" w:color="CCEEFF"/>
            </w:tcBorders>
            <w:gridSpan w:val="2"/>
          </w:tcPr>
          <w:p>
            <w:pPr>
              <w:ind w:left="120"/>
              <w:spacing w:after="0" w:line="133" w:lineRule="exact"/>
              <w:rPr>
                <w:sz w:val="20"/>
                <w:szCs w:val="20"/>
                <w:color w:val="auto"/>
              </w:rPr>
            </w:pPr>
            <w:r>
              <w:rPr>
                <w:rFonts w:ascii="Times New Roman" w:cs="Times New Roman" w:eastAsia="Times New Roman" w:hAnsi="Times New Roman"/>
                <w:sz w:val="12"/>
                <w:szCs w:val="12"/>
                <w:color w:val="auto"/>
              </w:rPr>
              <w:t>Total deferred income tax liabilities</w:t>
            </w:r>
          </w:p>
        </w:tc>
        <w:tc>
          <w:tcPr>
            <w:tcW w:w="660" w:type="dxa"/>
            <w:vAlign w:val="bottom"/>
            <w:tcBorders>
              <w:top w:val="single" w:sz="8" w:color="auto"/>
              <w:bottom w:val="single" w:sz="8" w:color="auto"/>
            </w:tcBorders>
          </w:tcPr>
          <w:p>
            <w:pPr>
              <w:spacing w:after="0"/>
              <w:rPr>
                <w:sz w:val="11"/>
                <w:szCs w:val="11"/>
                <w:color w:val="auto"/>
              </w:rPr>
            </w:pPr>
          </w:p>
        </w:tc>
        <w:tc>
          <w:tcPr>
            <w:tcW w:w="1120" w:type="dxa"/>
            <w:vAlign w:val="bottom"/>
            <w:tcBorders>
              <w:top w:val="single" w:sz="8" w:color="auto"/>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63,691</w:t>
            </w:r>
          </w:p>
        </w:tc>
        <w:tc>
          <w:tcPr>
            <w:tcW w:w="100" w:type="dxa"/>
            <w:vAlign w:val="bottom"/>
            <w:tcBorders>
              <w:bottom w:val="single" w:sz="8" w:color="CCEEFF"/>
            </w:tcBorders>
          </w:tcPr>
          <w:p>
            <w:pPr>
              <w:spacing w:after="0"/>
              <w:rPr>
                <w:sz w:val="11"/>
                <w:szCs w:val="11"/>
                <w:color w:val="auto"/>
              </w:rPr>
            </w:pPr>
          </w:p>
        </w:tc>
      </w:tr>
      <w:tr>
        <w:trPr>
          <w:trHeight w:val="133"/>
        </w:trPr>
        <w:tc>
          <w:tcPr>
            <w:tcW w:w="420" w:type="dxa"/>
            <w:vAlign w:val="bottom"/>
          </w:tcPr>
          <w:p>
            <w:pPr>
              <w:spacing w:after="0"/>
              <w:rPr>
                <w:sz w:val="11"/>
                <w:szCs w:val="11"/>
                <w:color w:val="auto"/>
              </w:rPr>
            </w:pPr>
          </w:p>
        </w:tc>
        <w:tc>
          <w:tcPr>
            <w:tcW w:w="8640" w:type="dxa"/>
            <w:vAlign w:val="bottom"/>
            <w:gridSpan w:val="2"/>
            <w:shd w:val="clear" w:color="auto" w:fill="CCEEFF"/>
          </w:tcPr>
          <w:p>
            <w:pPr>
              <w:ind w:left="240"/>
              <w:spacing w:after="0" w:line="133" w:lineRule="exact"/>
              <w:rPr>
                <w:sz w:val="20"/>
                <w:szCs w:val="20"/>
                <w:color w:val="auto"/>
              </w:rPr>
            </w:pPr>
            <w:r>
              <w:rPr>
                <w:rFonts w:ascii="Times New Roman" w:cs="Times New Roman" w:eastAsia="Times New Roman" w:hAnsi="Times New Roman"/>
                <w:sz w:val="12"/>
                <w:szCs w:val="12"/>
                <w:color w:val="auto"/>
              </w:rPr>
              <w:t>Net deferred income taxes</w:t>
            </w:r>
          </w:p>
        </w:tc>
        <w:tc>
          <w:tcPr>
            <w:tcW w:w="660" w:type="dxa"/>
            <w:vAlign w:val="bottom"/>
            <w:tcBorders>
              <w:bottom w:val="single" w:sz="8" w:color="auto"/>
            </w:tcBorders>
            <w:shd w:val="clear" w:color="auto" w:fill="CCEEFF"/>
          </w:tcPr>
          <w:p>
            <w:pPr>
              <w:jc w:val="right"/>
              <w:ind w:right="546"/>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tcBorders>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1"/>
                <w:szCs w:val="11"/>
                <w:color w:val="auto"/>
              </w:rPr>
            </w:pPr>
          </w:p>
        </w:tc>
      </w:tr>
      <w:tr>
        <w:trPr>
          <w:trHeight w:val="133"/>
        </w:trPr>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20" w:type="dxa"/>
            <w:vAlign w:val="bottom"/>
            <w:gridSpan w:val="2"/>
          </w:tcPr>
          <w:p>
            <w:pPr>
              <w:spacing w:after="0"/>
              <w:rPr>
                <w:sz w:val="11"/>
                <w:szCs w:val="11"/>
                <w:color w:val="auto"/>
              </w:rPr>
            </w:pPr>
          </w:p>
        </w:tc>
      </w:tr>
      <w:tr>
        <w:trPr>
          <w:trHeight w:val="144"/>
        </w:trPr>
        <w:tc>
          <w:tcPr>
            <w:tcW w:w="420" w:type="dxa"/>
            <w:vAlign w:val="bottom"/>
          </w:tcPr>
          <w:p>
            <w:pPr>
              <w:spacing w:after="0"/>
              <w:rPr>
                <w:sz w:val="12"/>
                <w:szCs w:val="12"/>
                <w:color w:val="auto"/>
              </w:rPr>
            </w:pPr>
          </w:p>
        </w:tc>
        <w:tc>
          <w:tcPr>
            <w:tcW w:w="8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Fed at statutory rate</w:t>
            </w:r>
          </w:p>
        </w:tc>
        <w:tc>
          <w:tcPr>
            <w:tcW w:w="66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(269,473)</w:t>
            </w:r>
          </w:p>
        </w:tc>
      </w:tr>
      <w:tr>
        <w:trPr>
          <w:trHeight w:val="144"/>
        </w:trPr>
        <w:tc>
          <w:tcPr>
            <w:tcW w:w="420" w:type="dxa"/>
            <w:vAlign w:val="bottom"/>
          </w:tcPr>
          <w:p>
            <w:pPr>
              <w:spacing w:after="0"/>
              <w:rPr>
                <w:sz w:val="12"/>
                <w:szCs w:val="12"/>
                <w:color w:val="auto"/>
              </w:rPr>
            </w:pPr>
          </w:p>
        </w:tc>
        <w:tc>
          <w:tcPr>
            <w:tcW w:w="86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State at net rate</w:t>
            </w:r>
          </w:p>
        </w:tc>
        <w:tc>
          <w:tcPr>
            <w:tcW w:w="660" w:type="dxa"/>
            <w:vAlign w:val="bottom"/>
          </w:tcPr>
          <w:p>
            <w:pPr>
              <w:spacing w:after="0"/>
              <w:rPr>
                <w:sz w:val="12"/>
                <w:szCs w:val="12"/>
                <w:color w:val="auto"/>
              </w:rPr>
            </w:pPr>
          </w:p>
        </w:tc>
        <w:tc>
          <w:tcPr>
            <w:tcW w:w="122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(50,687)</w:t>
            </w:r>
          </w:p>
        </w:tc>
      </w:tr>
      <w:tr>
        <w:trPr>
          <w:trHeight w:val="144"/>
        </w:trPr>
        <w:tc>
          <w:tcPr>
            <w:tcW w:w="420" w:type="dxa"/>
            <w:vAlign w:val="bottom"/>
          </w:tcPr>
          <w:p>
            <w:pPr>
              <w:spacing w:after="0"/>
              <w:rPr>
                <w:sz w:val="12"/>
                <w:szCs w:val="12"/>
                <w:color w:val="auto"/>
              </w:rPr>
            </w:pPr>
          </w:p>
        </w:tc>
        <w:tc>
          <w:tcPr>
            <w:tcW w:w="8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Prior year true ups</w:t>
            </w:r>
          </w:p>
        </w:tc>
        <w:tc>
          <w:tcPr>
            <w:tcW w:w="660" w:type="dxa"/>
            <w:vAlign w:val="bottom"/>
            <w:shd w:val="clear" w:color="auto" w:fill="CCEEFF"/>
          </w:tcPr>
          <w:p>
            <w:pPr>
              <w:spacing w:after="0"/>
              <w:rPr>
                <w:sz w:val="12"/>
                <w:szCs w:val="1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113,592</w:t>
            </w:r>
          </w:p>
        </w:tc>
        <w:tc>
          <w:tcPr>
            <w:tcW w:w="100" w:type="dxa"/>
            <w:vAlign w:val="bottom"/>
            <w:shd w:val="clear" w:color="auto" w:fill="CCEEFF"/>
          </w:tcPr>
          <w:p>
            <w:pPr>
              <w:spacing w:after="0"/>
              <w:rPr>
                <w:sz w:val="12"/>
                <w:szCs w:val="12"/>
                <w:color w:val="auto"/>
              </w:rPr>
            </w:pPr>
          </w:p>
        </w:tc>
      </w:tr>
      <w:tr>
        <w:trPr>
          <w:trHeight w:val="144"/>
        </w:trPr>
        <w:tc>
          <w:tcPr>
            <w:tcW w:w="420" w:type="dxa"/>
            <w:vAlign w:val="bottom"/>
          </w:tcPr>
          <w:p>
            <w:pPr>
              <w:spacing w:after="0"/>
              <w:rPr>
                <w:sz w:val="12"/>
                <w:szCs w:val="12"/>
                <w:color w:val="auto"/>
              </w:rPr>
            </w:pPr>
          </w:p>
        </w:tc>
        <w:tc>
          <w:tcPr>
            <w:tcW w:w="86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Items at right above</w:t>
            </w:r>
          </w:p>
        </w:tc>
        <w:tc>
          <w:tcPr>
            <w:tcW w:w="660" w:type="dxa"/>
            <w:vAlign w:val="bottom"/>
          </w:tcPr>
          <w:p>
            <w:pPr>
              <w:spacing w:after="0"/>
              <w:rPr>
                <w:sz w:val="12"/>
                <w:szCs w:val="1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618</w:t>
            </w:r>
          </w:p>
        </w:tc>
        <w:tc>
          <w:tcPr>
            <w:tcW w:w="100" w:type="dxa"/>
            <w:vAlign w:val="bottom"/>
          </w:tcPr>
          <w:p>
            <w:pPr>
              <w:spacing w:after="0"/>
              <w:rPr>
                <w:sz w:val="12"/>
                <w:szCs w:val="12"/>
                <w:color w:val="auto"/>
              </w:rPr>
            </w:pPr>
          </w:p>
        </w:tc>
      </w:tr>
      <w:tr>
        <w:trPr>
          <w:trHeight w:val="144"/>
        </w:trPr>
        <w:tc>
          <w:tcPr>
            <w:tcW w:w="420" w:type="dxa"/>
            <w:vAlign w:val="bottom"/>
          </w:tcPr>
          <w:p>
            <w:pPr>
              <w:spacing w:after="0"/>
              <w:rPr>
                <w:sz w:val="12"/>
                <w:szCs w:val="12"/>
                <w:color w:val="auto"/>
              </w:rPr>
            </w:pPr>
          </w:p>
        </w:tc>
        <w:tc>
          <w:tcPr>
            <w:tcW w:w="8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Change in Valuation Allowance</w:t>
            </w:r>
          </w:p>
        </w:tc>
        <w:tc>
          <w:tcPr>
            <w:tcW w:w="660" w:type="dxa"/>
            <w:vAlign w:val="bottom"/>
            <w:shd w:val="clear" w:color="auto" w:fill="CCEEFF"/>
          </w:tcPr>
          <w:p>
            <w:pPr>
              <w:spacing w:after="0"/>
              <w:rPr>
                <w:sz w:val="12"/>
                <w:szCs w:val="1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205,950</w:t>
            </w:r>
          </w:p>
        </w:tc>
        <w:tc>
          <w:tcPr>
            <w:tcW w:w="100" w:type="dxa"/>
            <w:vAlign w:val="bottom"/>
            <w:shd w:val="clear" w:color="auto" w:fill="CCEEFF"/>
          </w:tcPr>
          <w:p>
            <w:pPr>
              <w:spacing w:after="0"/>
              <w:rPr>
                <w:sz w:val="12"/>
                <w:szCs w:val="12"/>
                <w:color w:val="auto"/>
              </w:rPr>
            </w:pPr>
          </w:p>
        </w:tc>
      </w:tr>
      <w:tr>
        <w:trPr>
          <w:trHeight w:val="169"/>
        </w:trPr>
        <w:tc>
          <w:tcPr>
            <w:tcW w:w="420" w:type="dxa"/>
            <w:vAlign w:val="bottom"/>
          </w:tcPr>
          <w:p>
            <w:pPr>
              <w:spacing w:after="0"/>
              <w:rPr>
                <w:sz w:val="14"/>
                <w:szCs w:val="14"/>
                <w:color w:val="auto"/>
              </w:rPr>
            </w:pPr>
          </w:p>
        </w:tc>
        <w:tc>
          <w:tcPr>
            <w:tcW w:w="864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Total</w:t>
            </w:r>
          </w:p>
        </w:tc>
        <w:tc>
          <w:tcPr>
            <w:tcW w:w="66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0</w:t>
            </w:r>
          </w:p>
        </w:tc>
        <w:tc>
          <w:tcPr>
            <w:tcW w:w="100" w:type="dxa"/>
            <w:vAlign w:val="bottom"/>
          </w:tcPr>
          <w:p>
            <w:pPr>
              <w:spacing w:after="0"/>
              <w:rPr>
                <w:sz w:val="14"/>
                <w:szCs w:val="14"/>
                <w:color w:val="auto"/>
              </w:rPr>
            </w:pPr>
          </w:p>
        </w:tc>
      </w:tr>
    </w:tbl>
    <w:p>
      <w:pPr>
        <w:spacing w:after="0" w:line="277" w:lineRule="exact"/>
        <w:rPr>
          <w:sz w:val="20"/>
          <w:szCs w:val="20"/>
          <w:color w:val="auto"/>
        </w:rPr>
      </w:pPr>
    </w:p>
    <w:p>
      <w:pPr>
        <w:jc w:val="both"/>
        <w:ind w:left="420" w:right="20"/>
        <w:spacing w:after="0" w:line="279" w:lineRule="auto"/>
        <w:rPr>
          <w:sz w:val="20"/>
          <w:szCs w:val="20"/>
          <w:color w:val="auto"/>
        </w:rPr>
      </w:pPr>
      <w:r>
        <w:rPr>
          <w:rFonts w:ascii="Times New Roman" w:cs="Times New Roman" w:eastAsia="Times New Roman" w:hAnsi="Times New Roman"/>
          <w:sz w:val="12"/>
          <w:szCs w:val="12"/>
          <w:color w:val="auto"/>
        </w:rPr>
        <w:t>The Company has a valuation allowance against its net deferred income taxes for the year ended December 31, 2023. The valuation allowance was recorded due to cumulative losses and the Company’s conclusion that it was more likely than not that certain deferred income tax assets would not be realized.</w:t>
      </w:r>
    </w:p>
    <w:p>
      <w:pPr>
        <w:spacing w:after="0" w:line="111" w:lineRule="exact"/>
        <w:rPr>
          <w:sz w:val="20"/>
          <w:szCs w:val="20"/>
          <w:color w:val="auto"/>
        </w:rPr>
      </w:pPr>
    </w:p>
    <w:p>
      <w:pPr>
        <w:jc w:val="both"/>
        <w:ind w:left="420"/>
        <w:spacing w:after="0" w:line="265" w:lineRule="auto"/>
        <w:rPr>
          <w:sz w:val="20"/>
          <w:szCs w:val="20"/>
          <w:color w:val="auto"/>
        </w:rPr>
      </w:pPr>
      <w:r>
        <w:rPr>
          <w:rFonts w:ascii="Times New Roman" w:cs="Times New Roman" w:eastAsia="Times New Roman" w:hAnsi="Times New Roman"/>
          <w:sz w:val="12"/>
          <w:szCs w:val="12"/>
          <w:color w:val="auto"/>
        </w:rPr>
        <w:t>The Company’s deferred income tax assets include certain future tax benefits. As of December 31, 2023, the tax-effected deferred income tax assets included $3,929,763 related to net operating losses. Of this amount, $3,307,616 related to federal net operating losses and $622,147 related to various state net operating losses. For the federal net operating losses, $223,404 are set to expire between the years 2036 and 2037, while the remaining $3,084,212 does not expire. The various state net operating losses of $622,147 are set to expire at various times.</w:t>
      </w:r>
    </w:p>
    <w:p>
      <w:pPr>
        <w:spacing w:after="0" w:line="11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479" w:right="29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2"/>
          <w:szCs w:val="12"/>
          <w:b w:val="1"/>
          <w:bCs w:val="1"/>
          <w:u w:val="single" w:color="auto"/>
          <w:color w:val="auto"/>
        </w:rPr>
        <w:t>(8) Employee benefit plan</w:t>
      </w:r>
    </w:p>
    <w:p>
      <w:pPr>
        <w:spacing w:after="0" w:line="154" w:lineRule="exact"/>
        <w:rPr>
          <w:sz w:val="20"/>
          <w:szCs w:val="20"/>
          <w:color w:val="auto"/>
        </w:rPr>
      </w:pPr>
    </w:p>
    <w:p>
      <w:pPr>
        <w:jc w:val="both"/>
        <w:ind w:left="420"/>
        <w:spacing w:after="0" w:line="279" w:lineRule="auto"/>
        <w:rPr>
          <w:sz w:val="20"/>
          <w:szCs w:val="20"/>
          <w:color w:val="auto"/>
        </w:rPr>
      </w:pPr>
      <w:r>
        <w:rPr>
          <w:rFonts w:ascii="Times New Roman" w:cs="Times New Roman" w:eastAsia="Times New Roman" w:hAnsi="Times New Roman"/>
          <w:sz w:val="12"/>
          <w:szCs w:val="12"/>
          <w:color w:val="auto"/>
        </w:rPr>
        <w:t>The Company maintains a 401(k) plan which covers all eligible employees. The Company may, but is not required to, make a matching contribution to the plan which is made based on a percentage of the employees’ contributions and allocated to participants at the end of the plan year. For the year ended December 31, 2023, the Company did not make any matching contributions to the plan.</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u w:val="single" w:color="auto"/>
          <w:color w:val="auto"/>
        </w:rPr>
        <w:t>(9) Commitments and contingencies</w:t>
      </w:r>
    </w:p>
    <w:p>
      <w:pPr>
        <w:spacing w:after="0" w:line="154" w:lineRule="exact"/>
        <w:rPr>
          <w:sz w:val="20"/>
          <w:szCs w:val="20"/>
          <w:color w:val="auto"/>
        </w:rPr>
      </w:pPr>
    </w:p>
    <w:p>
      <w:pPr>
        <w:jc w:val="both"/>
        <w:ind w:left="420" w:right="20"/>
        <w:spacing w:after="0" w:line="279" w:lineRule="auto"/>
        <w:rPr>
          <w:sz w:val="20"/>
          <w:szCs w:val="20"/>
          <w:color w:val="auto"/>
        </w:rPr>
      </w:pPr>
      <w:r>
        <w:rPr>
          <w:rFonts w:ascii="Times New Roman" w:cs="Times New Roman" w:eastAsia="Times New Roman" w:hAnsi="Times New Roman"/>
          <w:sz w:val="12"/>
          <w:szCs w:val="12"/>
          <w:color w:val="auto"/>
        </w:rPr>
        <w:t>From time to time the Company may become subject to various routine legal proceedings and other matters in the ordinary course of business, some of which may be covered in whole or in part by insurance. In management’s opinion, none of these matters will have a material adverse effect on the Company’s consolidated financial position, results of operations or cash flows.</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u w:val="single" w:color="auto"/>
          <w:color w:val="auto"/>
        </w:rPr>
        <w:t>(10) Subsequent Events</w:t>
      </w:r>
    </w:p>
    <w:p>
      <w:pPr>
        <w:spacing w:after="0" w:line="154" w:lineRule="exact"/>
        <w:rPr>
          <w:sz w:val="20"/>
          <w:szCs w:val="20"/>
          <w:color w:val="auto"/>
        </w:rPr>
      </w:pPr>
    </w:p>
    <w:p>
      <w:pPr>
        <w:jc w:val="both"/>
        <w:ind w:left="420"/>
        <w:spacing w:after="0" w:line="265" w:lineRule="auto"/>
        <w:rPr>
          <w:sz w:val="20"/>
          <w:szCs w:val="20"/>
          <w:color w:val="auto"/>
        </w:rPr>
      </w:pPr>
      <w:r>
        <w:rPr>
          <w:rFonts w:ascii="Times New Roman" w:cs="Times New Roman" w:eastAsia="Times New Roman" w:hAnsi="Times New Roman"/>
          <w:sz w:val="12"/>
          <w:szCs w:val="12"/>
          <w:color w:val="auto"/>
        </w:rPr>
        <w:t>In January 2024, the Board of Directors of the Company approved the cancellation and replacement of various stock options held by certain participants as part of the Company’s 2017 Equity Incentive Plan. The Company offered to replace outstanding options having an exercise price greater than $0.50 per share with a new stock option with an exercise price of $0.50 per share. Participants holding a total of 808,966 options elected to participate in the option exchange.</w:t>
      </w:r>
    </w:p>
    <w:p>
      <w:pPr>
        <w:spacing w:after="0" w:line="11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On December 18, 2024, Banzai International, Inc., a Delaware corporation, closed a previously announced merger, with ClearDoc, Inc., pursuant to an Agreement and Plan of Merger, date December 10, 2024.</w:t>
      </w:r>
    </w:p>
    <w:p>
      <w:pPr>
        <w:spacing w:after="0" w:line="150" w:lineRule="exact"/>
        <w:rPr>
          <w:sz w:val="20"/>
          <w:szCs w:val="20"/>
          <w:color w:val="auto"/>
        </w:rPr>
      </w:pPr>
    </w:p>
    <w:p>
      <w:pPr>
        <w:jc w:val="both"/>
        <w:ind w:left="420"/>
        <w:spacing w:after="0" w:line="265" w:lineRule="auto"/>
        <w:rPr>
          <w:sz w:val="20"/>
          <w:szCs w:val="20"/>
          <w:color w:val="auto"/>
        </w:rPr>
      </w:pPr>
      <w:r>
        <w:rPr>
          <w:rFonts w:ascii="Times New Roman" w:cs="Times New Roman" w:eastAsia="Times New Roman" w:hAnsi="Times New Roman"/>
          <w:sz w:val="12"/>
          <w:szCs w:val="12"/>
          <w:color w:val="auto"/>
        </w:rPr>
        <w:t>As of the effective time of the merger, each share of capital stock of ClearDoc issued and outstanding immediately prior to the merge (other than shares as to which dissenter’s rights have been properly exercised and certain other excluded shares) was converted into the right to receive Banzai Class A Common Stock, par value $0.0001 per share, and pre-funded warrants, each exercisable for one share of Banzai Class A Common Stock at an exercise price of $0.0001 issued in lieu thereof, in an amount equal to the quotient of $19,600,000 divided by the Conversion Price.</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485" w:right="299" w:bottom="1440" w:gutter="0" w:footer="0" w:header="0"/>
        </w:sectPr>
      </w:pPr>
    </w:p>
    <w:bookmarkStart w:id="18" w:name="page19"/>
    <w:bookmarkEnd w:id="18"/>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CURRENT ASSETS</w:t>
      </w:r>
    </w:p>
    <w:p>
      <w:pPr>
        <w:spacing w:after="0" w:line="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2"/>
          <w:szCs w:val="12"/>
          <w:color w:val="auto"/>
        </w:rPr>
        <w:t>Cash</w:t>
      </w:r>
    </w:p>
    <w:p>
      <w:pPr>
        <w:spacing w:after="0" w:line="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2"/>
          <w:szCs w:val="12"/>
          <w:color w:val="auto"/>
        </w:rPr>
        <w:t>Accounts receivable</w:t>
      </w:r>
    </w:p>
    <w:p>
      <w:pPr>
        <w:spacing w:after="0" w:line="6" w:lineRule="exact"/>
        <w:rPr>
          <w:sz w:val="20"/>
          <w:szCs w:val="20"/>
          <w:color w:val="auto"/>
        </w:rPr>
      </w:pPr>
    </w:p>
    <w:p>
      <w:pPr>
        <w:ind w:left="120" w:right="1160"/>
        <w:spacing w:after="0" w:line="266" w:lineRule="auto"/>
        <w:rPr>
          <w:sz w:val="20"/>
          <w:szCs w:val="20"/>
          <w:color w:val="auto"/>
        </w:rPr>
      </w:pPr>
      <w:r>
        <w:rPr>
          <w:rFonts w:ascii="Times New Roman" w:cs="Times New Roman" w:eastAsia="Times New Roman" w:hAnsi="Times New Roman"/>
          <w:sz w:val="12"/>
          <w:szCs w:val="12"/>
          <w:color w:val="auto"/>
        </w:rPr>
        <w:t>Current portion of deferred sales commissions Prepaid expenses</w:t>
      </w:r>
    </w:p>
    <w:p>
      <w:pPr>
        <w:ind w:left="360"/>
        <w:spacing w:after="0"/>
        <w:rPr>
          <w:sz w:val="20"/>
          <w:szCs w:val="20"/>
          <w:color w:val="auto"/>
        </w:rPr>
      </w:pPr>
      <w:r>
        <w:rPr>
          <w:rFonts w:ascii="Times New Roman" w:cs="Times New Roman" w:eastAsia="Times New Roman" w:hAnsi="Times New Roman"/>
          <w:sz w:val="12"/>
          <w:szCs w:val="12"/>
          <w:color w:val="auto"/>
        </w:rPr>
        <w:t>TOTAL CURRENT ASSETS</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DEFERRED SALES COMMISSIONS, less current portion</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PROPERTY AND EQUIPMENT, net</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IDENTIFIABLE INTANGIBLE ASSETS, net</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GOODWILL</w:t>
      </w:r>
    </w:p>
    <w:p>
      <w:pPr>
        <w:spacing w:after="0" w:line="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2"/>
          <w:szCs w:val="12"/>
          <w:color w:val="auto"/>
        </w:rPr>
        <w:t>TOTAL ASSETS</w:t>
      </w:r>
    </w:p>
    <w:p>
      <w:pPr>
        <w:spacing w:after="0" w:line="20" w:lineRule="exact"/>
        <w:rPr>
          <w:sz w:val="20"/>
          <w:szCs w:val="20"/>
          <w:color w:val="auto"/>
        </w:rPr>
      </w:pPr>
      <w:r>
        <w:rPr>
          <w:sz w:val="20"/>
          <w:szCs w:val="20"/>
          <w:color w:val="auto"/>
        </w:rPr>
        <w:br w:type="column"/>
      </w:r>
    </w:p>
    <w:p>
      <w:pPr>
        <w:ind w:left="400"/>
        <w:spacing w:after="0"/>
        <w:rPr>
          <w:sz w:val="20"/>
          <w:szCs w:val="20"/>
          <w:color w:val="auto"/>
        </w:rPr>
      </w:pPr>
      <w:r>
        <w:rPr>
          <w:rFonts w:ascii="Times New Roman" w:cs="Times New Roman" w:eastAsia="Times New Roman" w:hAnsi="Times New Roman"/>
          <w:sz w:val="12"/>
          <w:szCs w:val="12"/>
          <w:b w:val="1"/>
          <w:bCs w:val="1"/>
          <w:color w:val="auto"/>
        </w:rPr>
        <w:t>CLEARDOC, INC. AND SUBSIDIARY</w:t>
      </w:r>
    </w:p>
    <w:p>
      <w:pPr>
        <w:spacing w:after="0" w:line="150" w:lineRule="exact"/>
        <w:rPr>
          <w:sz w:val="20"/>
          <w:szCs w:val="20"/>
          <w:color w:val="auto"/>
        </w:rPr>
      </w:pPr>
    </w:p>
    <w:p>
      <w:pPr>
        <w:jc w:val="center"/>
        <w:ind w:right="4220"/>
        <w:spacing w:after="0"/>
        <w:rPr>
          <w:sz w:val="20"/>
          <w:szCs w:val="20"/>
          <w:color w:val="auto"/>
        </w:rPr>
      </w:pPr>
      <w:r>
        <w:rPr>
          <w:rFonts w:ascii="Times New Roman" w:cs="Times New Roman" w:eastAsia="Times New Roman" w:hAnsi="Times New Roman"/>
          <w:sz w:val="12"/>
          <w:szCs w:val="12"/>
          <w:b w:val="1"/>
          <w:bCs w:val="1"/>
          <w:color w:val="auto"/>
        </w:rPr>
        <w:t>CONSOLIDATED BALANCE SHEET</w:t>
      </w:r>
    </w:p>
    <w:p>
      <w:pPr>
        <w:spacing w:after="0" w:line="15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2"/>
          <w:szCs w:val="12"/>
          <w:color w:val="auto"/>
        </w:rPr>
        <w:t>December 31, 2022</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u w:val="single" w:color="auto"/>
          <w:color w:val="auto"/>
        </w:rPr>
        <w:t>A S S E T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-2684145</wp:posOffset>
            </wp:positionH>
            <wp:positionV relativeFrom="paragraph">
              <wp:posOffset>-77470</wp:posOffset>
            </wp:positionV>
            <wp:extent cx="7178040" cy="914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8040" cy="91440"/>
                    </a:xfrm>
                    <a:prstGeom prst="rect">
                      <a:avLst/>
                    </a:prstGeom>
                    <a:noFill/>
                  </pic:spPr>
                </pic:pic>
              </a:graphicData>
            </a:graphic>
          </wp:anchor>
        </w:drawing>
      </w:r>
    </w:p>
    <w:tbl>
      <w:tblPr>
        <w:tblLayout w:type="fixed"/>
        <w:tblInd w:w="5060" w:type="dxa"/>
        <w:tblCellMar>
          <w:top w:w="0" w:type="dxa"/>
          <w:left w:w="0" w:type="dxa"/>
          <w:bottom w:w="0" w:type="dxa"/>
          <w:right w:w="0" w:type="dxa"/>
        </w:tblCellMar>
      </w:tblPr>
      <w:tr>
        <w:trPr>
          <w:trHeight w:val="138"/>
        </w:trPr>
        <w:tc>
          <w:tcPr>
            <w:tcW w:w="740" w:type="dxa"/>
            <w:vAlign w:val="bottom"/>
          </w:tcPr>
          <w:p>
            <w:pPr>
              <w:jc w:val="right"/>
              <w:ind w:right="626"/>
              <w:spacing w:after="0"/>
              <w:rPr>
                <w:sz w:val="20"/>
                <w:szCs w:val="20"/>
                <w:color w:val="auto"/>
              </w:rPr>
            </w:pPr>
            <w:r>
              <w:rPr>
                <w:rFonts w:ascii="Times New Roman" w:cs="Times New Roman" w:eastAsia="Times New Roman" w:hAnsi="Times New Roman"/>
                <w:sz w:val="11"/>
                <w:szCs w:val="11"/>
                <w:color w:val="auto"/>
                <w:w w:val="71"/>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1,966,147</w:t>
            </w:r>
          </w:p>
        </w:tc>
      </w:tr>
      <w:tr>
        <w:trPr>
          <w:trHeight w:val="144"/>
        </w:trPr>
        <w:tc>
          <w:tcPr>
            <w:tcW w:w="740" w:type="dxa"/>
            <w:vAlign w:val="bottom"/>
          </w:tcPr>
          <w:p>
            <w:pPr>
              <w:spacing w:after="0"/>
              <w:rPr>
                <w:sz w:val="12"/>
                <w:szCs w:val="1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915,946</w:t>
            </w:r>
          </w:p>
        </w:tc>
      </w:tr>
      <w:tr>
        <w:trPr>
          <w:trHeight w:val="153"/>
        </w:trPr>
        <w:tc>
          <w:tcPr>
            <w:tcW w:w="740" w:type="dxa"/>
            <w:vAlign w:val="bottom"/>
          </w:tcPr>
          <w:p>
            <w:pPr>
              <w:spacing w:after="0"/>
              <w:rPr>
                <w:sz w:val="13"/>
                <w:szCs w:val="1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779,100</w:t>
            </w:r>
          </w:p>
        </w:tc>
      </w:tr>
      <w:tr>
        <w:trPr>
          <w:trHeight w:val="155"/>
        </w:trPr>
        <w:tc>
          <w:tcPr>
            <w:tcW w:w="74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132,281</w:t>
            </w:r>
          </w:p>
        </w:tc>
      </w:tr>
      <w:tr>
        <w:trPr>
          <w:trHeight w:val="144"/>
        </w:trPr>
        <w:tc>
          <w:tcPr>
            <w:tcW w:w="740" w:type="dxa"/>
            <w:vAlign w:val="bottom"/>
          </w:tcPr>
          <w:p>
            <w:pPr>
              <w:spacing w:after="0"/>
              <w:rPr>
                <w:sz w:val="12"/>
                <w:szCs w:val="1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3,793,474</w:t>
            </w:r>
          </w:p>
        </w:tc>
      </w:tr>
      <w:tr>
        <w:trPr>
          <w:trHeight w:val="266"/>
        </w:trPr>
        <w:tc>
          <w:tcPr>
            <w:tcW w:w="74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593,435</w:t>
            </w:r>
          </w:p>
        </w:tc>
      </w:tr>
      <w:tr>
        <w:trPr>
          <w:trHeight w:val="144"/>
        </w:trPr>
        <w:tc>
          <w:tcPr>
            <w:tcW w:w="740" w:type="dxa"/>
            <w:vAlign w:val="bottom"/>
          </w:tcPr>
          <w:p>
            <w:pPr>
              <w:spacing w:after="0"/>
              <w:rPr>
                <w:sz w:val="12"/>
                <w:szCs w:val="1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8,433</w:t>
            </w:r>
          </w:p>
        </w:tc>
      </w:tr>
      <w:tr>
        <w:trPr>
          <w:trHeight w:val="144"/>
        </w:trPr>
        <w:tc>
          <w:tcPr>
            <w:tcW w:w="740" w:type="dxa"/>
            <w:vAlign w:val="bottom"/>
          </w:tcPr>
          <w:p>
            <w:pPr>
              <w:spacing w:after="0"/>
              <w:rPr>
                <w:sz w:val="12"/>
                <w:szCs w:val="1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491,994</w:t>
            </w:r>
          </w:p>
        </w:tc>
      </w:tr>
      <w:tr>
        <w:trPr>
          <w:trHeight w:val="155"/>
        </w:trPr>
        <w:tc>
          <w:tcPr>
            <w:tcW w:w="740" w:type="dxa"/>
            <w:vAlign w:val="bottom"/>
          </w:tcPr>
          <w:p>
            <w:pPr>
              <w:spacing w:after="0"/>
              <w:rPr>
                <w:sz w:val="13"/>
                <w:szCs w:val="1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312,883</w:t>
            </w:r>
          </w:p>
        </w:tc>
      </w:tr>
      <w:tr>
        <w:trPr>
          <w:trHeight w:val="169"/>
        </w:trPr>
        <w:tc>
          <w:tcPr>
            <w:tcW w:w="740" w:type="dxa"/>
            <w:vAlign w:val="bottom"/>
            <w:tcBorders>
              <w:bottom w:val="single" w:sz="8" w:color="auto"/>
            </w:tcBorders>
          </w:tcPr>
          <w:p>
            <w:pPr>
              <w:jc w:val="right"/>
              <w:ind w:right="626"/>
              <w:spacing w:after="0"/>
              <w:rPr>
                <w:sz w:val="20"/>
                <w:szCs w:val="20"/>
                <w:color w:val="auto"/>
              </w:rPr>
            </w:pPr>
            <w:r>
              <w:rPr>
                <w:rFonts w:ascii="Times New Roman" w:cs="Times New Roman" w:eastAsia="Times New Roman" w:hAnsi="Times New Roman"/>
                <w:sz w:val="11"/>
                <w:szCs w:val="11"/>
                <w:color w:val="auto"/>
                <w:w w:val="71"/>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5,200,219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-2684145</wp:posOffset>
            </wp:positionH>
            <wp:positionV relativeFrom="paragraph">
              <wp:posOffset>-953770</wp:posOffset>
            </wp:positionV>
            <wp:extent cx="7178040" cy="914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8040" cy="91440"/>
                    </a:xfrm>
                    <a:prstGeom prst="rect">
                      <a:avLst/>
                    </a:prstGeom>
                    <a:noFill/>
                  </pic:spPr>
                </pic:pic>
              </a:graphicData>
            </a:graphic>
          </wp:anchor>
        </w:drawing>
        <w:drawing>
          <wp:anchor simplePos="0" relativeHeight="251657728" behindDoc="1" locked="0" layoutInCell="0" allowOverlap="1">
            <wp:simplePos x="0" y="0"/>
            <wp:positionH relativeFrom="column">
              <wp:posOffset>-2684145</wp:posOffset>
            </wp:positionH>
            <wp:positionV relativeFrom="paragraph">
              <wp:posOffset>-770890</wp:posOffset>
            </wp:positionV>
            <wp:extent cx="7178040" cy="971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8040" cy="97155"/>
                    </a:xfrm>
                    <a:prstGeom prst="rect">
                      <a:avLst/>
                    </a:prstGeom>
                    <a:noFill/>
                  </pic:spPr>
                </pic:pic>
              </a:graphicData>
            </a:graphic>
          </wp:anchor>
        </w:drawing>
        <w:drawing>
          <wp:anchor simplePos="0" relativeHeight="251657728" behindDoc="1" locked="0" layoutInCell="0" allowOverlap="1">
            <wp:simplePos x="0" y="0"/>
            <wp:positionH relativeFrom="column">
              <wp:posOffset>-2684145</wp:posOffset>
            </wp:positionH>
            <wp:positionV relativeFrom="paragraph">
              <wp:posOffset>-576580</wp:posOffset>
            </wp:positionV>
            <wp:extent cx="7178040" cy="914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8040" cy="91440"/>
                    </a:xfrm>
                    <a:prstGeom prst="rect">
                      <a:avLst/>
                    </a:prstGeom>
                    <a:noFill/>
                  </pic:spPr>
                </pic:pic>
              </a:graphicData>
            </a:graphic>
          </wp:anchor>
        </w:drawing>
        <w:drawing>
          <wp:anchor simplePos="0" relativeHeight="251657728" behindDoc="1" locked="0" layoutInCell="0" allowOverlap="1">
            <wp:simplePos x="0" y="0"/>
            <wp:positionH relativeFrom="column">
              <wp:posOffset>-2684145</wp:posOffset>
            </wp:positionH>
            <wp:positionV relativeFrom="paragraph">
              <wp:posOffset>-393700</wp:posOffset>
            </wp:positionV>
            <wp:extent cx="7178040" cy="914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8040" cy="91440"/>
                    </a:xfrm>
                    <a:prstGeom prst="rect">
                      <a:avLst/>
                    </a:prstGeom>
                    <a:noFill/>
                  </pic:spPr>
                </pic:pic>
              </a:graphicData>
            </a:graphic>
          </wp:anchor>
        </w:drawing>
        <w:drawing>
          <wp:anchor simplePos="0" relativeHeight="251657728" behindDoc="1" locked="0" layoutInCell="0" allowOverlap="1">
            <wp:simplePos x="0" y="0"/>
            <wp:positionH relativeFrom="column">
              <wp:posOffset>-2684145</wp:posOffset>
            </wp:positionH>
            <wp:positionV relativeFrom="paragraph">
              <wp:posOffset>-210820</wp:posOffset>
            </wp:positionV>
            <wp:extent cx="7178040" cy="914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8040" cy="91440"/>
                    </a:xfrm>
                    <a:prstGeom prst="rect">
                      <a:avLst/>
                    </a:prstGeom>
                    <a:noFill/>
                  </pic:spPr>
                </pic:pic>
              </a:graphicData>
            </a:graphic>
          </wp:anchor>
        </w:drawing>
      </w:r>
    </w:p>
    <w:p>
      <w:pPr>
        <w:spacing w:after="0" w:line="20" w:lineRule="exact"/>
        <w:rPr>
          <w:sz w:val="20"/>
          <w:szCs w:val="20"/>
          <w:color w:val="auto"/>
        </w:rPr>
      </w:pPr>
    </w:p>
    <w:p>
      <w:pPr>
        <w:sectPr>
          <w:pgSz w:w="11900" w:h="16838" w:orient="portrait"/>
          <w:cols w:equalWidth="0" w:num="2">
            <w:col w:w="3500" w:space="720"/>
            <w:col w:w="7080"/>
          </w:cols>
          <w:pgMar w:left="300" w:top="485" w:right="299" w:bottom="1440" w:gutter="0" w:footer="0" w:header="0"/>
        </w:sectPr>
      </w:pPr>
    </w:p>
    <w:tbl>
      <w:tblPr>
        <w:tblLayout w:type="fixed"/>
        <w:tblInd w:w="0" w:type="dxa"/>
        <w:tblCellMar>
          <w:top w:w="0" w:type="dxa"/>
          <w:left w:w="0" w:type="dxa"/>
          <w:bottom w:w="0" w:type="dxa"/>
          <w:right w:w="0" w:type="dxa"/>
        </w:tblCellMar>
      </w:tblPr>
      <w:tr>
        <w:trPr>
          <w:trHeight w:val="124"/>
        </w:trPr>
        <w:tc>
          <w:tcPr>
            <w:tcW w:w="2760" w:type="dxa"/>
            <w:vAlign w:val="bottom"/>
            <w:shd w:val="clear" w:color="auto" w:fill="CCEEFF"/>
          </w:tcPr>
          <w:p>
            <w:pPr>
              <w:spacing w:after="0"/>
              <w:rPr>
                <w:sz w:val="10"/>
                <w:szCs w:val="10"/>
                <w:color w:val="auto"/>
              </w:rPr>
            </w:pPr>
          </w:p>
        </w:tc>
        <w:tc>
          <w:tcPr>
            <w:tcW w:w="3500" w:type="dxa"/>
            <w:vAlign w:val="bottom"/>
            <w:shd w:val="clear" w:color="auto" w:fill="CCEEFF"/>
          </w:tcPr>
          <w:p>
            <w:pPr>
              <w:spacing w:after="0"/>
              <w:rPr>
                <w:sz w:val="10"/>
                <w:szCs w:val="10"/>
                <w:color w:val="auto"/>
              </w:rPr>
            </w:pPr>
          </w:p>
        </w:tc>
        <w:tc>
          <w:tcPr>
            <w:tcW w:w="30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2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r>
      <w:tr>
        <w:trPr>
          <w:trHeight w:val="124"/>
        </w:trPr>
        <w:tc>
          <w:tcPr>
            <w:tcW w:w="2760" w:type="dxa"/>
            <w:vAlign w:val="bottom"/>
          </w:tcPr>
          <w:p>
            <w:pPr>
              <w:spacing w:after="0"/>
              <w:rPr>
                <w:sz w:val="10"/>
                <w:szCs w:val="10"/>
                <w:color w:val="auto"/>
              </w:rPr>
            </w:pPr>
          </w:p>
        </w:tc>
        <w:tc>
          <w:tcPr>
            <w:tcW w:w="6520" w:type="dxa"/>
            <w:vAlign w:val="bottom"/>
            <w:gridSpan w:val="2"/>
          </w:tcPr>
          <w:p>
            <w:pPr>
              <w:spacing w:after="0" w:line="117" w:lineRule="exact"/>
              <w:rPr>
                <w:sz w:val="20"/>
                <w:szCs w:val="20"/>
                <w:color w:val="auto"/>
              </w:rPr>
            </w:pPr>
            <w:r>
              <w:rPr>
                <w:rFonts w:ascii="Times New Roman" w:cs="Times New Roman" w:eastAsia="Times New Roman" w:hAnsi="Times New Roman"/>
                <w:sz w:val="12"/>
                <w:szCs w:val="12"/>
                <w:b w:val="1"/>
                <w:bCs w:val="1"/>
                <w:color w:val="auto"/>
              </w:rPr>
              <w:t>L I A B I L I T I E S A N D S T O C K H O L D E R S’ D E F I C I T</w:t>
            </w:r>
          </w:p>
        </w:tc>
        <w:tc>
          <w:tcPr>
            <w:tcW w:w="68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20" w:type="dxa"/>
            <w:vAlign w:val="bottom"/>
          </w:tcPr>
          <w:p>
            <w:pPr>
              <w:spacing w:after="0"/>
              <w:rPr>
                <w:sz w:val="10"/>
                <w:szCs w:val="10"/>
                <w:color w:val="auto"/>
              </w:rPr>
            </w:pPr>
          </w:p>
        </w:tc>
      </w:tr>
      <w:tr>
        <w:trPr>
          <w:trHeight w:val="144"/>
        </w:trPr>
        <w:tc>
          <w:tcPr>
            <w:tcW w:w="27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CURRENT LIABILITIES</w:t>
            </w:r>
          </w:p>
        </w:tc>
        <w:tc>
          <w:tcPr>
            <w:tcW w:w="3500" w:type="dxa"/>
            <w:vAlign w:val="bottom"/>
            <w:tcBorders>
              <w:top w:val="single" w:sz="8" w:color="auto"/>
            </w:tcBorders>
            <w:shd w:val="clear" w:color="auto" w:fill="CCEEFF"/>
          </w:tcPr>
          <w:p>
            <w:pPr>
              <w:spacing w:after="0"/>
              <w:rPr>
                <w:sz w:val="12"/>
                <w:szCs w:val="12"/>
                <w:color w:val="auto"/>
              </w:rPr>
            </w:pPr>
          </w:p>
        </w:tc>
        <w:tc>
          <w:tcPr>
            <w:tcW w:w="30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r>
      <w:tr>
        <w:trPr>
          <w:trHeight w:val="144"/>
        </w:trPr>
        <w:tc>
          <w:tcPr>
            <w:tcW w:w="9280" w:type="dxa"/>
            <w:vAlign w:val="bottom"/>
            <w:gridSpan w:val="3"/>
          </w:tcPr>
          <w:p>
            <w:pPr>
              <w:ind w:left="120"/>
              <w:spacing w:after="0"/>
              <w:rPr>
                <w:sz w:val="20"/>
                <w:szCs w:val="20"/>
                <w:color w:val="auto"/>
              </w:rPr>
            </w:pPr>
            <w:r>
              <w:rPr>
                <w:rFonts w:ascii="Times New Roman" w:cs="Times New Roman" w:eastAsia="Times New Roman" w:hAnsi="Times New Roman"/>
                <w:sz w:val="12"/>
                <w:szCs w:val="12"/>
                <w:color w:val="auto"/>
              </w:rPr>
              <w:t>Accounts payable</w:t>
            </w:r>
          </w:p>
        </w:tc>
        <w:tc>
          <w:tcPr>
            <w:tcW w:w="680" w:type="dxa"/>
            <w:vAlign w:val="bottom"/>
          </w:tcPr>
          <w:p>
            <w:pPr>
              <w:jc w:val="right"/>
              <w:ind w:right="566"/>
              <w:spacing w:after="0"/>
              <w:rPr>
                <w:sz w:val="20"/>
                <w:szCs w:val="20"/>
                <w:color w:val="auto"/>
              </w:rPr>
            </w:pPr>
            <w:r>
              <w:rPr>
                <w:rFonts w:ascii="Times New Roman" w:cs="Times New Roman" w:eastAsia="Times New Roman" w:hAnsi="Times New Roman"/>
                <w:sz w:val="11"/>
                <w:szCs w:val="11"/>
                <w:color w:val="auto"/>
                <w:w w:val="71"/>
              </w:rPr>
              <w:t>$</w:t>
            </w:r>
          </w:p>
        </w:tc>
        <w:tc>
          <w:tcPr>
            <w:tcW w:w="134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839,582</w:t>
            </w:r>
          </w:p>
        </w:tc>
      </w:tr>
      <w:tr>
        <w:trPr>
          <w:trHeight w:val="144"/>
        </w:trPr>
        <w:tc>
          <w:tcPr>
            <w:tcW w:w="928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Accrued expenses</w:t>
            </w:r>
          </w:p>
        </w:tc>
        <w:tc>
          <w:tcPr>
            <w:tcW w:w="680" w:type="dxa"/>
            <w:vAlign w:val="bottom"/>
            <w:shd w:val="clear" w:color="auto" w:fill="CCEEFF"/>
          </w:tcPr>
          <w:p>
            <w:pPr>
              <w:spacing w:after="0"/>
              <w:rPr>
                <w:sz w:val="12"/>
                <w:szCs w:val="12"/>
                <w:color w:val="auto"/>
              </w:rPr>
            </w:pPr>
          </w:p>
        </w:tc>
        <w:tc>
          <w:tcPr>
            <w:tcW w:w="1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839,477</w:t>
            </w:r>
          </w:p>
        </w:tc>
      </w:tr>
      <w:tr>
        <w:trPr>
          <w:trHeight w:val="153"/>
        </w:trPr>
        <w:tc>
          <w:tcPr>
            <w:tcW w:w="9280" w:type="dxa"/>
            <w:vAlign w:val="bottom"/>
            <w:gridSpan w:val="3"/>
          </w:tcPr>
          <w:p>
            <w:pPr>
              <w:ind w:left="120"/>
              <w:spacing w:after="0"/>
              <w:rPr>
                <w:sz w:val="20"/>
                <w:szCs w:val="20"/>
                <w:color w:val="auto"/>
              </w:rPr>
            </w:pPr>
            <w:r>
              <w:rPr>
                <w:rFonts w:ascii="Times New Roman" w:cs="Times New Roman" w:eastAsia="Times New Roman" w:hAnsi="Times New Roman"/>
                <w:sz w:val="12"/>
                <w:szCs w:val="12"/>
                <w:color w:val="auto"/>
              </w:rPr>
              <w:t>Current portion of deferred revenue</w:t>
            </w:r>
          </w:p>
        </w:tc>
        <w:tc>
          <w:tcPr>
            <w:tcW w:w="680" w:type="dxa"/>
            <w:vAlign w:val="bottom"/>
          </w:tcPr>
          <w:p>
            <w:pPr>
              <w:spacing w:after="0"/>
              <w:rPr>
                <w:sz w:val="13"/>
                <w:szCs w:val="13"/>
                <w:color w:val="auto"/>
              </w:rPr>
            </w:pPr>
          </w:p>
        </w:tc>
        <w:tc>
          <w:tcPr>
            <w:tcW w:w="134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3,619,497</w:t>
            </w:r>
          </w:p>
        </w:tc>
      </w:tr>
      <w:tr>
        <w:trPr>
          <w:trHeight w:val="133"/>
        </w:trPr>
        <w:tc>
          <w:tcPr>
            <w:tcW w:w="9280" w:type="dxa"/>
            <w:vAlign w:val="bottom"/>
            <w:tcBorders>
              <w:top w:val="single" w:sz="8" w:color="CCEEFF"/>
            </w:tcBorders>
            <w:gridSpan w:val="3"/>
            <w:shd w:val="clear" w:color="auto" w:fill="CCEEFF"/>
          </w:tcPr>
          <w:p>
            <w:pPr>
              <w:ind w:left="240"/>
              <w:spacing w:after="0" w:line="133" w:lineRule="exact"/>
              <w:rPr>
                <w:sz w:val="20"/>
                <w:szCs w:val="20"/>
                <w:color w:val="auto"/>
              </w:rPr>
            </w:pPr>
            <w:r>
              <w:rPr>
                <w:rFonts w:ascii="Times New Roman" w:cs="Times New Roman" w:eastAsia="Times New Roman" w:hAnsi="Times New Roman"/>
                <w:sz w:val="12"/>
                <w:szCs w:val="12"/>
                <w:color w:val="auto"/>
              </w:rPr>
              <w:t>TOTAL CURRENT LIABILITIES</w:t>
            </w:r>
          </w:p>
        </w:tc>
        <w:tc>
          <w:tcPr>
            <w:tcW w:w="680" w:type="dxa"/>
            <w:vAlign w:val="bottom"/>
            <w:tcBorders>
              <w:top w:val="single" w:sz="8" w:color="auto"/>
            </w:tcBorders>
            <w:shd w:val="clear" w:color="auto" w:fill="CCEEFF"/>
          </w:tcPr>
          <w:p>
            <w:pPr>
              <w:spacing w:after="0"/>
              <w:rPr>
                <w:sz w:val="11"/>
                <w:szCs w:val="11"/>
                <w:color w:val="auto"/>
              </w:rPr>
            </w:pPr>
          </w:p>
        </w:tc>
        <w:tc>
          <w:tcPr>
            <w:tcW w:w="122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5,298,556</w:t>
            </w:r>
          </w:p>
        </w:tc>
        <w:tc>
          <w:tcPr>
            <w:tcW w:w="120" w:type="dxa"/>
            <w:vAlign w:val="bottom"/>
            <w:tcBorders>
              <w:top w:val="single" w:sz="8" w:color="CCEEFF"/>
            </w:tcBorders>
            <w:shd w:val="clear" w:color="auto" w:fill="CCEEFF"/>
          </w:tcPr>
          <w:p>
            <w:pPr>
              <w:spacing w:after="0"/>
              <w:rPr>
                <w:sz w:val="11"/>
                <w:szCs w:val="11"/>
                <w:color w:val="auto"/>
              </w:rPr>
            </w:pPr>
          </w:p>
        </w:tc>
      </w:tr>
      <w:tr>
        <w:trPr>
          <w:trHeight w:val="153"/>
        </w:trPr>
        <w:tc>
          <w:tcPr>
            <w:tcW w:w="928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DEFERRED REVENUE, less current portion above</w:t>
            </w:r>
          </w:p>
        </w:tc>
        <w:tc>
          <w:tcPr>
            <w:tcW w:w="680" w:type="dxa"/>
            <w:vAlign w:val="bottom"/>
          </w:tcPr>
          <w:p>
            <w:pPr>
              <w:spacing w:after="0"/>
              <w:rPr>
                <w:sz w:val="13"/>
                <w:szCs w:val="13"/>
                <w:color w:val="auto"/>
              </w:rPr>
            </w:pPr>
          </w:p>
        </w:tc>
        <w:tc>
          <w:tcPr>
            <w:tcW w:w="134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144,930</w:t>
            </w:r>
          </w:p>
        </w:tc>
      </w:tr>
      <w:tr>
        <w:trPr>
          <w:trHeight w:val="133"/>
        </w:trPr>
        <w:tc>
          <w:tcPr>
            <w:tcW w:w="9280" w:type="dxa"/>
            <w:vAlign w:val="bottom"/>
            <w:tcBorders>
              <w:top w:val="single" w:sz="8" w:color="CCEEFF"/>
            </w:tcBorders>
            <w:gridSpan w:val="3"/>
            <w:shd w:val="clear" w:color="auto" w:fill="CCEEFF"/>
          </w:tcPr>
          <w:p>
            <w:pPr>
              <w:ind w:left="240"/>
              <w:spacing w:after="0" w:line="133" w:lineRule="exact"/>
              <w:rPr>
                <w:sz w:val="20"/>
                <w:szCs w:val="20"/>
                <w:color w:val="auto"/>
              </w:rPr>
            </w:pPr>
            <w:r>
              <w:rPr>
                <w:rFonts w:ascii="Times New Roman" w:cs="Times New Roman" w:eastAsia="Times New Roman" w:hAnsi="Times New Roman"/>
                <w:sz w:val="12"/>
                <w:szCs w:val="12"/>
                <w:color w:val="auto"/>
              </w:rPr>
              <w:t>TOTAL LIABILITIES</w:t>
            </w:r>
          </w:p>
        </w:tc>
        <w:tc>
          <w:tcPr>
            <w:tcW w:w="680" w:type="dxa"/>
            <w:vAlign w:val="bottom"/>
            <w:tcBorders>
              <w:top w:val="single" w:sz="8" w:color="auto"/>
              <w:bottom w:val="single" w:sz="8" w:color="auto"/>
            </w:tcBorders>
            <w:shd w:val="clear" w:color="auto" w:fill="CCEEFF"/>
          </w:tcPr>
          <w:p>
            <w:pPr>
              <w:spacing w:after="0"/>
              <w:rPr>
                <w:sz w:val="11"/>
                <w:szCs w:val="11"/>
                <w:color w:val="auto"/>
              </w:rPr>
            </w:pPr>
          </w:p>
        </w:tc>
        <w:tc>
          <w:tcPr>
            <w:tcW w:w="122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5,443,486</w:t>
            </w:r>
          </w:p>
        </w:tc>
        <w:tc>
          <w:tcPr>
            <w:tcW w:w="120" w:type="dxa"/>
            <w:vAlign w:val="bottom"/>
            <w:tcBorders>
              <w:top w:val="single" w:sz="8" w:color="CCEEFF"/>
            </w:tcBorders>
            <w:shd w:val="clear" w:color="auto" w:fill="CCEEFF"/>
          </w:tcPr>
          <w:p>
            <w:pPr>
              <w:spacing w:after="0"/>
              <w:rPr>
                <w:sz w:val="11"/>
                <w:szCs w:val="11"/>
                <w:color w:val="auto"/>
              </w:rPr>
            </w:pPr>
          </w:p>
        </w:tc>
      </w:tr>
      <w:tr>
        <w:trPr>
          <w:trHeight w:val="133"/>
        </w:trPr>
        <w:tc>
          <w:tcPr>
            <w:tcW w:w="2760" w:type="dxa"/>
            <w:vAlign w:val="bottom"/>
          </w:tcPr>
          <w:p>
            <w:pPr>
              <w:spacing w:after="0"/>
              <w:rPr>
                <w:sz w:val="11"/>
                <w:szCs w:val="11"/>
                <w:color w:val="auto"/>
              </w:rPr>
            </w:pPr>
          </w:p>
        </w:tc>
        <w:tc>
          <w:tcPr>
            <w:tcW w:w="3500" w:type="dxa"/>
            <w:vAlign w:val="bottom"/>
          </w:tcPr>
          <w:p>
            <w:pPr>
              <w:spacing w:after="0"/>
              <w:rPr>
                <w:sz w:val="11"/>
                <w:szCs w:val="11"/>
                <w:color w:val="auto"/>
              </w:rPr>
            </w:pPr>
          </w:p>
        </w:tc>
        <w:tc>
          <w:tcPr>
            <w:tcW w:w="30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44"/>
        </w:trPr>
        <w:tc>
          <w:tcPr>
            <w:tcW w:w="92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2"/>
                <w:szCs w:val="12"/>
                <w:color w:val="auto"/>
              </w:rPr>
              <w:t>MEZZANINE EQUITY</w:t>
            </w:r>
          </w:p>
        </w:tc>
        <w:tc>
          <w:tcPr>
            <w:tcW w:w="68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r>
      <w:tr>
        <w:trPr>
          <w:trHeight w:val="144"/>
        </w:trPr>
        <w:tc>
          <w:tcPr>
            <w:tcW w:w="9280" w:type="dxa"/>
            <w:vAlign w:val="bottom"/>
            <w:gridSpan w:val="3"/>
          </w:tcPr>
          <w:p>
            <w:pPr>
              <w:ind w:left="120"/>
              <w:spacing w:after="0"/>
              <w:rPr>
                <w:sz w:val="20"/>
                <w:szCs w:val="20"/>
                <w:color w:val="auto"/>
              </w:rPr>
            </w:pPr>
            <w:r>
              <w:rPr>
                <w:rFonts w:ascii="Times New Roman" w:cs="Times New Roman" w:eastAsia="Times New Roman" w:hAnsi="Times New Roman"/>
                <w:sz w:val="12"/>
                <w:szCs w:val="12"/>
                <w:color w:val="auto"/>
              </w:rPr>
              <w:t>Series A convertible preferred stock, value of $7.8941 per share; 2,501,849 shares authorized, 2,415,046 shares issued and outstanding as of December 31, 2022, net of issuance costs</w:t>
            </w:r>
          </w:p>
        </w:tc>
        <w:tc>
          <w:tcPr>
            <w:tcW w:w="680" w:type="dxa"/>
            <w:vAlign w:val="bottom"/>
          </w:tcPr>
          <w:p>
            <w:pPr>
              <w:spacing w:after="0"/>
              <w:rPr>
                <w:sz w:val="12"/>
                <w:szCs w:val="12"/>
                <w:color w:val="auto"/>
              </w:rPr>
            </w:pPr>
          </w:p>
        </w:tc>
        <w:tc>
          <w:tcPr>
            <w:tcW w:w="134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18,900,800</w:t>
            </w:r>
          </w:p>
        </w:tc>
      </w:tr>
      <w:tr>
        <w:trPr>
          <w:trHeight w:val="133"/>
        </w:trPr>
        <w:tc>
          <w:tcPr>
            <w:tcW w:w="9280" w:type="dxa"/>
            <w:vAlign w:val="bottom"/>
            <w:gridSpan w:val="3"/>
            <w:shd w:val="clear" w:color="auto" w:fill="CCEEFF"/>
          </w:tcPr>
          <w:p>
            <w:pPr>
              <w:ind w:left="120"/>
              <w:spacing w:after="0" w:line="133" w:lineRule="exact"/>
              <w:rPr>
                <w:sz w:val="20"/>
                <w:szCs w:val="20"/>
                <w:color w:val="auto"/>
              </w:rPr>
            </w:pPr>
            <w:r>
              <w:rPr>
                <w:rFonts w:ascii="Times New Roman" w:cs="Times New Roman" w:eastAsia="Times New Roman" w:hAnsi="Times New Roman"/>
                <w:sz w:val="12"/>
                <w:szCs w:val="12"/>
                <w:color w:val="auto"/>
              </w:rPr>
              <w:t>Series Seed-1 convertible preferred stock, value of $1.6819 per share; 1,525,654 shares authorized, 1,451,191 shares issued and outstanding as of December 31, 2022, net of issuance</w:t>
            </w:r>
          </w:p>
        </w:tc>
        <w:tc>
          <w:tcPr>
            <w:tcW w:w="680" w:type="dxa"/>
            <w:vAlign w:val="bottom"/>
            <w:shd w:val="clear" w:color="auto" w:fill="CCEEFF"/>
          </w:tcPr>
          <w:p>
            <w:pPr>
              <w:spacing w:after="0"/>
              <w:rPr>
                <w:sz w:val="11"/>
                <w:szCs w:val="11"/>
                <w:color w:val="auto"/>
              </w:rPr>
            </w:pPr>
          </w:p>
        </w:tc>
        <w:tc>
          <w:tcPr>
            <w:tcW w:w="12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r>
      <w:tr>
        <w:trPr>
          <w:trHeight w:val="155"/>
        </w:trPr>
        <w:tc>
          <w:tcPr>
            <w:tcW w:w="928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costs</w:t>
            </w:r>
          </w:p>
        </w:tc>
        <w:tc>
          <w:tcPr>
            <w:tcW w:w="680" w:type="dxa"/>
            <w:vAlign w:val="bottom"/>
            <w:shd w:val="clear" w:color="auto" w:fill="CCEEFF"/>
          </w:tcPr>
          <w:p>
            <w:pPr>
              <w:spacing w:after="0"/>
              <w:rPr>
                <w:sz w:val="13"/>
                <w:szCs w:val="13"/>
                <w:color w:val="auto"/>
              </w:rPr>
            </w:pPr>
          </w:p>
        </w:tc>
        <w:tc>
          <w:tcPr>
            <w:tcW w:w="1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2,412,888</w:t>
            </w:r>
          </w:p>
        </w:tc>
      </w:tr>
      <w:tr>
        <w:trPr>
          <w:trHeight w:val="133"/>
        </w:trPr>
        <w:tc>
          <w:tcPr>
            <w:tcW w:w="9280" w:type="dxa"/>
            <w:vAlign w:val="bottom"/>
            <w:gridSpan w:val="3"/>
          </w:tcPr>
          <w:p>
            <w:pPr>
              <w:ind w:left="120"/>
              <w:spacing w:after="0" w:line="133" w:lineRule="exact"/>
              <w:rPr>
                <w:sz w:val="20"/>
                <w:szCs w:val="20"/>
                <w:color w:val="auto"/>
              </w:rPr>
            </w:pPr>
            <w:r>
              <w:rPr>
                <w:rFonts w:ascii="Times New Roman" w:cs="Times New Roman" w:eastAsia="Times New Roman" w:hAnsi="Times New Roman"/>
                <w:sz w:val="12"/>
                <w:szCs w:val="12"/>
                <w:color w:val="auto"/>
              </w:rPr>
              <w:t>Series Seed-2 convertible preferred stock, value of $.9687 per share; 1,261,530 shares authorized, 1,121,610 shares issued and outstanding as of December 31, 2022, net of issuance</w:t>
            </w:r>
          </w:p>
        </w:tc>
        <w:tc>
          <w:tcPr>
            <w:tcW w:w="68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55"/>
        </w:trPr>
        <w:tc>
          <w:tcPr>
            <w:tcW w:w="9280" w:type="dxa"/>
            <w:vAlign w:val="bottom"/>
            <w:gridSpan w:val="3"/>
          </w:tcPr>
          <w:p>
            <w:pPr>
              <w:ind w:left="120"/>
              <w:spacing w:after="0"/>
              <w:rPr>
                <w:sz w:val="20"/>
                <w:szCs w:val="20"/>
                <w:color w:val="auto"/>
              </w:rPr>
            </w:pPr>
            <w:r>
              <w:rPr>
                <w:rFonts w:ascii="Times New Roman" w:cs="Times New Roman" w:eastAsia="Times New Roman" w:hAnsi="Times New Roman"/>
                <w:sz w:val="12"/>
                <w:szCs w:val="12"/>
                <w:color w:val="auto"/>
              </w:rPr>
              <w:t>costs</w:t>
            </w:r>
          </w:p>
        </w:tc>
        <w:tc>
          <w:tcPr>
            <w:tcW w:w="680" w:type="dxa"/>
            <w:vAlign w:val="bottom"/>
          </w:tcPr>
          <w:p>
            <w:pPr>
              <w:spacing w:after="0"/>
              <w:rPr>
                <w:sz w:val="13"/>
                <w:szCs w:val="13"/>
                <w:color w:val="auto"/>
              </w:rPr>
            </w:pPr>
          </w:p>
        </w:tc>
        <w:tc>
          <w:tcPr>
            <w:tcW w:w="134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1,074,097</w:t>
            </w:r>
          </w:p>
        </w:tc>
      </w:tr>
      <w:tr>
        <w:trPr>
          <w:trHeight w:val="133"/>
        </w:trPr>
        <w:tc>
          <w:tcPr>
            <w:tcW w:w="9280" w:type="dxa"/>
            <w:vAlign w:val="bottom"/>
            <w:gridSpan w:val="3"/>
            <w:shd w:val="clear" w:color="auto" w:fill="CCEEFF"/>
          </w:tcPr>
          <w:p>
            <w:pPr>
              <w:ind w:left="120"/>
              <w:spacing w:after="0" w:line="133" w:lineRule="exact"/>
              <w:rPr>
                <w:sz w:val="20"/>
                <w:szCs w:val="20"/>
                <w:color w:val="auto"/>
              </w:rPr>
            </w:pPr>
            <w:r>
              <w:rPr>
                <w:rFonts w:ascii="Times New Roman" w:cs="Times New Roman" w:eastAsia="Times New Roman" w:hAnsi="Times New Roman"/>
                <w:sz w:val="12"/>
                <w:szCs w:val="12"/>
                <w:color w:val="auto"/>
              </w:rPr>
              <w:t>Series Seed-3 convertible preferred stock, par value of $1.2916 per share; 547,837 shares authorized, 519,963 shares issued and outstanding as of December 31, 2022, net of issuance</w:t>
            </w:r>
          </w:p>
        </w:tc>
        <w:tc>
          <w:tcPr>
            <w:tcW w:w="680" w:type="dxa"/>
            <w:vAlign w:val="bottom"/>
            <w:shd w:val="clear" w:color="auto" w:fill="CCEEFF"/>
          </w:tcPr>
          <w:p>
            <w:pPr>
              <w:spacing w:after="0"/>
              <w:rPr>
                <w:sz w:val="11"/>
                <w:szCs w:val="11"/>
                <w:color w:val="auto"/>
              </w:rPr>
            </w:pPr>
          </w:p>
        </w:tc>
        <w:tc>
          <w:tcPr>
            <w:tcW w:w="12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r>
      <w:tr>
        <w:trPr>
          <w:trHeight w:val="155"/>
        </w:trPr>
        <w:tc>
          <w:tcPr>
            <w:tcW w:w="928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costs</w:t>
            </w:r>
          </w:p>
        </w:tc>
        <w:tc>
          <w:tcPr>
            <w:tcW w:w="680" w:type="dxa"/>
            <w:vAlign w:val="bottom"/>
            <w:shd w:val="clear" w:color="auto" w:fill="CCEEFF"/>
          </w:tcPr>
          <w:p>
            <w:pPr>
              <w:spacing w:after="0"/>
              <w:rPr>
                <w:sz w:val="13"/>
                <w:szCs w:val="13"/>
                <w:color w:val="auto"/>
              </w:rPr>
            </w:pPr>
          </w:p>
        </w:tc>
        <w:tc>
          <w:tcPr>
            <w:tcW w:w="1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663,920</w:t>
            </w:r>
          </w:p>
        </w:tc>
      </w:tr>
      <w:tr>
        <w:trPr>
          <w:trHeight w:val="144"/>
        </w:trPr>
        <w:tc>
          <w:tcPr>
            <w:tcW w:w="9280" w:type="dxa"/>
            <w:vAlign w:val="bottom"/>
            <w:gridSpan w:val="3"/>
          </w:tcPr>
          <w:p>
            <w:pPr>
              <w:ind w:left="120"/>
              <w:spacing w:after="0"/>
              <w:rPr>
                <w:sz w:val="20"/>
                <w:szCs w:val="20"/>
                <w:color w:val="auto"/>
              </w:rPr>
            </w:pPr>
            <w:r>
              <w:rPr>
                <w:rFonts w:ascii="Times New Roman" w:cs="Times New Roman" w:eastAsia="Times New Roman" w:hAnsi="Times New Roman"/>
                <w:sz w:val="12"/>
                <w:szCs w:val="12"/>
                <w:color w:val="auto"/>
              </w:rPr>
              <w:t>Series Seed-4 convertible preferred stock, value of $1.7868 per share; 85,458 shares authorized, 74,379 shares issued and outstanding as of December 31, 2022, net of issuance costs</w:t>
            </w:r>
          </w:p>
        </w:tc>
        <w:tc>
          <w:tcPr>
            <w:tcW w:w="680" w:type="dxa"/>
            <w:vAlign w:val="bottom"/>
          </w:tcPr>
          <w:p>
            <w:pPr>
              <w:spacing w:after="0"/>
              <w:rPr>
                <w:sz w:val="12"/>
                <w:szCs w:val="12"/>
                <w:color w:val="auto"/>
              </w:rPr>
            </w:pPr>
          </w:p>
        </w:tc>
        <w:tc>
          <w:tcPr>
            <w:tcW w:w="134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131,384</w:t>
            </w:r>
          </w:p>
        </w:tc>
      </w:tr>
      <w:tr>
        <w:trPr>
          <w:trHeight w:val="144"/>
        </w:trPr>
        <w:tc>
          <w:tcPr>
            <w:tcW w:w="9280" w:type="dxa"/>
            <w:vAlign w:val="bottom"/>
            <w:gridSpan w:val="3"/>
            <w:shd w:val="clear" w:color="auto" w:fill="CCEEFF"/>
          </w:tcPr>
          <w:p>
            <w:pPr>
              <w:ind w:left="240"/>
              <w:spacing w:after="0"/>
              <w:rPr>
                <w:sz w:val="20"/>
                <w:szCs w:val="20"/>
                <w:color w:val="auto"/>
              </w:rPr>
            </w:pPr>
            <w:r>
              <w:rPr>
                <w:rFonts w:ascii="Arial" w:cs="Arial" w:eastAsia="Arial" w:hAnsi="Arial"/>
                <w:sz w:val="10"/>
                <w:szCs w:val="10"/>
                <w:color w:val="auto"/>
              </w:rPr>
              <w:t>TOTAL MEZZANINE EQUITY</w:t>
            </w:r>
          </w:p>
        </w:tc>
        <w:tc>
          <w:tcPr>
            <w:tcW w:w="680" w:type="dxa"/>
            <w:vAlign w:val="bottom"/>
            <w:shd w:val="clear" w:color="auto" w:fill="CCEEFF"/>
          </w:tcPr>
          <w:p>
            <w:pPr>
              <w:spacing w:after="0"/>
              <w:rPr>
                <w:sz w:val="12"/>
                <w:szCs w:val="12"/>
                <w:color w:val="auto"/>
              </w:rPr>
            </w:pPr>
          </w:p>
        </w:tc>
        <w:tc>
          <w:tcPr>
            <w:tcW w:w="1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23,183,089</w:t>
            </w:r>
          </w:p>
        </w:tc>
      </w:tr>
      <w:tr>
        <w:trPr>
          <w:trHeight w:val="144"/>
        </w:trPr>
        <w:tc>
          <w:tcPr>
            <w:tcW w:w="9280" w:type="dxa"/>
            <w:vAlign w:val="bottom"/>
            <w:gridSpan w:val="3"/>
          </w:tcPr>
          <w:p>
            <w:pPr>
              <w:ind w:left="120"/>
              <w:spacing w:after="0"/>
              <w:rPr>
                <w:sz w:val="20"/>
                <w:szCs w:val="20"/>
                <w:color w:val="auto"/>
              </w:rPr>
            </w:pPr>
            <w:r>
              <w:rPr>
                <w:rFonts w:ascii="Arial" w:cs="Arial" w:eastAsia="Arial" w:hAnsi="Arial"/>
                <w:sz w:val="10"/>
                <w:szCs w:val="10"/>
                <w:color w:val="auto"/>
              </w:rPr>
              <w:t>EQUITY</w:t>
            </w:r>
          </w:p>
        </w:tc>
        <w:tc>
          <w:tcPr>
            <w:tcW w:w="6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4"/>
        </w:trPr>
        <w:tc>
          <w:tcPr>
            <w:tcW w:w="928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Common stock, par value of $0.00001 per share; 11,000,000 shares authorized; 2,870,382 shares issued and outstanding as of December 31, 2022</w:t>
            </w:r>
          </w:p>
        </w:tc>
        <w:tc>
          <w:tcPr>
            <w:tcW w:w="680" w:type="dxa"/>
            <w:vAlign w:val="bottom"/>
            <w:shd w:val="clear" w:color="auto" w:fill="CCEEFF"/>
          </w:tcPr>
          <w:p>
            <w:pPr>
              <w:spacing w:after="0"/>
              <w:rPr>
                <w:sz w:val="12"/>
                <w:szCs w:val="12"/>
                <w:color w:val="auto"/>
              </w:rPr>
            </w:pP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29</w:t>
            </w:r>
          </w:p>
        </w:tc>
      </w:tr>
      <w:tr>
        <w:trPr>
          <w:trHeight w:val="153"/>
        </w:trPr>
        <w:tc>
          <w:tcPr>
            <w:tcW w:w="9280" w:type="dxa"/>
            <w:vAlign w:val="bottom"/>
            <w:gridSpan w:val="3"/>
          </w:tcPr>
          <w:p>
            <w:pPr>
              <w:ind w:left="120"/>
              <w:spacing w:after="0"/>
              <w:rPr>
                <w:sz w:val="20"/>
                <w:szCs w:val="20"/>
                <w:color w:val="auto"/>
              </w:rPr>
            </w:pPr>
            <w:r>
              <w:rPr>
                <w:rFonts w:ascii="Times New Roman" w:cs="Times New Roman" w:eastAsia="Times New Roman" w:hAnsi="Times New Roman"/>
                <w:sz w:val="12"/>
                <w:szCs w:val="12"/>
                <w:color w:val="auto"/>
              </w:rPr>
              <w:t>Additional paid in capital</w:t>
            </w:r>
          </w:p>
        </w:tc>
        <w:tc>
          <w:tcPr>
            <w:tcW w:w="680" w:type="dxa"/>
            <w:vAlign w:val="bottom"/>
          </w:tcPr>
          <w:p>
            <w:pPr>
              <w:spacing w:after="0"/>
              <w:rPr>
                <w:sz w:val="13"/>
                <w:szCs w:val="13"/>
                <w:color w:val="auto"/>
              </w:rPr>
            </w:pPr>
          </w:p>
        </w:tc>
        <w:tc>
          <w:tcPr>
            <w:tcW w:w="134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1,694,136</w:t>
            </w:r>
          </w:p>
        </w:tc>
      </w:tr>
      <w:tr>
        <w:trPr>
          <w:trHeight w:val="133"/>
        </w:trPr>
        <w:tc>
          <w:tcPr>
            <w:tcW w:w="9280" w:type="dxa"/>
            <w:vAlign w:val="bottom"/>
            <w:tcBorders>
              <w:top w:val="single" w:sz="8" w:color="CCEEFF"/>
            </w:tcBorders>
            <w:gridSpan w:val="3"/>
            <w:shd w:val="clear" w:color="auto" w:fill="CCEEFF"/>
          </w:tcPr>
          <w:p>
            <w:pPr>
              <w:ind w:left="240"/>
              <w:spacing w:after="0" w:line="133" w:lineRule="exact"/>
              <w:rPr>
                <w:sz w:val="20"/>
                <w:szCs w:val="20"/>
                <w:color w:val="auto"/>
              </w:rPr>
            </w:pPr>
            <w:r>
              <w:rPr>
                <w:rFonts w:ascii="Times New Roman" w:cs="Times New Roman" w:eastAsia="Times New Roman" w:hAnsi="Times New Roman"/>
                <w:sz w:val="12"/>
                <w:szCs w:val="12"/>
                <w:color w:val="auto"/>
              </w:rPr>
              <w:t>TOTAL CAPITAL CONTRIBUTED</w:t>
            </w:r>
          </w:p>
        </w:tc>
        <w:tc>
          <w:tcPr>
            <w:tcW w:w="680" w:type="dxa"/>
            <w:vAlign w:val="bottom"/>
            <w:tcBorders>
              <w:top w:val="single" w:sz="8" w:color="auto"/>
            </w:tcBorders>
            <w:shd w:val="clear" w:color="auto" w:fill="CCEEFF"/>
          </w:tcPr>
          <w:p>
            <w:pPr>
              <w:spacing w:after="0"/>
              <w:rPr>
                <w:sz w:val="11"/>
                <w:szCs w:val="11"/>
                <w:color w:val="auto"/>
              </w:rPr>
            </w:pPr>
          </w:p>
        </w:tc>
        <w:tc>
          <w:tcPr>
            <w:tcW w:w="122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1,694,165</w:t>
            </w:r>
          </w:p>
        </w:tc>
        <w:tc>
          <w:tcPr>
            <w:tcW w:w="120" w:type="dxa"/>
            <w:vAlign w:val="bottom"/>
            <w:tcBorders>
              <w:top w:val="single" w:sz="8" w:color="CCEEFF"/>
            </w:tcBorders>
            <w:shd w:val="clear" w:color="auto" w:fill="CCEEFF"/>
          </w:tcPr>
          <w:p>
            <w:pPr>
              <w:spacing w:after="0"/>
              <w:rPr>
                <w:sz w:val="11"/>
                <w:szCs w:val="11"/>
                <w:color w:val="auto"/>
              </w:rPr>
            </w:pPr>
          </w:p>
        </w:tc>
      </w:tr>
      <w:tr>
        <w:trPr>
          <w:trHeight w:val="153"/>
        </w:trPr>
        <w:tc>
          <w:tcPr>
            <w:tcW w:w="9280" w:type="dxa"/>
            <w:vAlign w:val="bottom"/>
            <w:gridSpan w:val="3"/>
          </w:tcPr>
          <w:p>
            <w:pPr>
              <w:ind w:left="120"/>
              <w:spacing w:after="0"/>
              <w:rPr>
                <w:sz w:val="20"/>
                <w:szCs w:val="20"/>
                <w:color w:val="auto"/>
              </w:rPr>
            </w:pPr>
            <w:r>
              <w:rPr>
                <w:rFonts w:ascii="Times New Roman" w:cs="Times New Roman" w:eastAsia="Times New Roman" w:hAnsi="Times New Roman"/>
                <w:sz w:val="12"/>
                <w:szCs w:val="12"/>
                <w:color w:val="auto"/>
              </w:rPr>
              <w:t>Accumulated deficit</w:t>
            </w:r>
          </w:p>
        </w:tc>
        <w:tc>
          <w:tcPr>
            <w:tcW w:w="680" w:type="dxa"/>
            <w:vAlign w:val="bottom"/>
          </w:tcPr>
          <w:p>
            <w:pPr>
              <w:spacing w:after="0"/>
              <w:rPr>
                <w:sz w:val="13"/>
                <w:szCs w:val="13"/>
                <w:color w:val="auto"/>
              </w:rPr>
            </w:pPr>
          </w:p>
        </w:tc>
        <w:tc>
          <w:tcPr>
            <w:tcW w:w="134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(25,120,521)</w:t>
            </w:r>
          </w:p>
        </w:tc>
      </w:tr>
      <w:tr>
        <w:trPr>
          <w:trHeight w:val="133"/>
        </w:trPr>
        <w:tc>
          <w:tcPr>
            <w:tcW w:w="9280" w:type="dxa"/>
            <w:vAlign w:val="bottom"/>
            <w:tcBorders>
              <w:top w:val="single" w:sz="8" w:color="CCEEFF"/>
            </w:tcBorders>
            <w:gridSpan w:val="3"/>
            <w:shd w:val="clear" w:color="auto" w:fill="CCEEFF"/>
          </w:tcPr>
          <w:p>
            <w:pPr>
              <w:ind w:left="240"/>
              <w:spacing w:after="0" w:line="133" w:lineRule="exact"/>
              <w:rPr>
                <w:sz w:val="20"/>
                <w:szCs w:val="20"/>
                <w:color w:val="auto"/>
              </w:rPr>
            </w:pPr>
            <w:r>
              <w:rPr>
                <w:rFonts w:ascii="Times New Roman" w:cs="Times New Roman" w:eastAsia="Times New Roman" w:hAnsi="Times New Roman"/>
                <w:sz w:val="12"/>
                <w:szCs w:val="12"/>
                <w:color w:val="auto"/>
              </w:rPr>
              <w:t>TOTAL STOCKHOLDERS’ DEFICIT</w:t>
            </w:r>
          </w:p>
        </w:tc>
        <w:tc>
          <w:tcPr>
            <w:tcW w:w="680" w:type="dxa"/>
            <w:vAlign w:val="bottom"/>
            <w:tcBorders>
              <w:top w:val="single" w:sz="8" w:color="auto"/>
              <w:bottom w:val="single" w:sz="8" w:color="auto"/>
            </w:tcBorders>
            <w:shd w:val="clear" w:color="auto" w:fill="CCEEFF"/>
          </w:tcPr>
          <w:p>
            <w:pPr>
              <w:spacing w:after="0"/>
              <w:rPr>
                <w:sz w:val="11"/>
                <w:szCs w:val="11"/>
                <w:color w:val="auto"/>
              </w:rPr>
            </w:pPr>
          </w:p>
        </w:tc>
        <w:tc>
          <w:tcPr>
            <w:tcW w:w="122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(243,267)</w:t>
            </w:r>
          </w:p>
        </w:tc>
        <w:tc>
          <w:tcPr>
            <w:tcW w:w="120" w:type="dxa"/>
            <w:vAlign w:val="bottom"/>
            <w:tcBorders>
              <w:top w:val="single" w:sz="8" w:color="CCEEFF"/>
            </w:tcBorders>
            <w:shd w:val="clear" w:color="auto" w:fill="CCEEFF"/>
          </w:tcPr>
          <w:p>
            <w:pPr>
              <w:spacing w:after="0"/>
              <w:rPr>
                <w:sz w:val="11"/>
                <w:szCs w:val="11"/>
                <w:color w:val="auto"/>
              </w:rPr>
            </w:pPr>
          </w:p>
        </w:tc>
      </w:tr>
      <w:tr>
        <w:trPr>
          <w:trHeight w:val="149"/>
        </w:trPr>
        <w:tc>
          <w:tcPr>
            <w:tcW w:w="9280" w:type="dxa"/>
            <w:vAlign w:val="bottom"/>
            <w:gridSpan w:val="3"/>
          </w:tcPr>
          <w:p>
            <w:pPr>
              <w:ind w:left="240"/>
              <w:spacing w:after="0" w:line="135" w:lineRule="exact"/>
              <w:rPr>
                <w:sz w:val="20"/>
                <w:szCs w:val="20"/>
                <w:color w:val="auto"/>
              </w:rPr>
            </w:pPr>
            <w:r>
              <w:rPr>
                <w:rFonts w:ascii="Times New Roman" w:cs="Times New Roman" w:eastAsia="Times New Roman" w:hAnsi="Times New Roman"/>
                <w:sz w:val="12"/>
                <w:szCs w:val="12"/>
                <w:color w:val="auto"/>
              </w:rPr>
              <w:t>TOTAL LIABILITIES AND STOCKHOLDERS’ DEFICIT</w:t>
            </w:r>
          </w:p>
        </w:tc>
        <w:tc>
          <w:tcPr>
            <w:tcW w:w="680" w:type="dxa"/>
            <w:vAlign w:val="bottom"/>
            <w:tcBorders>
              <w:bottom w:val="single" w:sz="8" w:color="auto"/>
            </w:tcBorders>
          </w:tcPr>
          <w:p>
            <w:pPr>
              <w:jc w:val="right"/>
              <w:ind w:right="566"/>
              <w:spacing w:after="0"/>
              <w:rPr>
                <w:sz w:val="20"/>
                <w:szCs w:val="20"/>
                <w:color w:val="auto"/>
              </w:rPr>
            </w:pPr>
            <w:r>
              <w:rPr>
                <w:rFonts w:ascii="Times New Roman" w:cs="Times New Roman" w:eastAsia="Times New Roman" w:hAnsi="Times New Roman"/>
                <w:sz w:val="11"/>
                <w:szCs w:val="11"/>
                <w:color w:val="auto"/>
                <w:w w:val="71"/>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5,200,219</w:t>
            </w:r>
          </w:p>
        </w:tc>
        <w:tc>
          <w:tcPr>
            <w:tcW w:w="120" w:type="dxa"/>
            <w:vAlign w:val="bottom"/>
          </w:tcPr>
          <w:p>
            <w:pPr>
              <w:spacing w:after="0"/>
              <w:rPr>
                <w:sz w:val="12"/>
                <w:szCs w:val="12"/>
                <w:color w:val="auto"/>
              </w:rPr>
            </w:pPr>
          </w:p>
        </w:tc>
      </w:tr>
      <w:tr>
        <w:trPr>
          <w:trHeight w:val="288"/>
        </w:trPr>
        <w:tc>
          <w:tcPr>
            <w:tcW w:w="6260" w:type="dxa"/>
            <w:vAlign w:val="bottom"/>
            <w:tcBorders>
              <w:bottom w:val="single" w:sz="8" w:color="auto"/>
            </w:tcBorders>
            <w:gridSpan w:val="2"/>
          </w:tcPr>
          <w:p>
            <w:pPr>
              <w:ind w:left="5580"/>
              <w:spacing w:after="0"/>
              <w:rPr>
                <w:sz w:val="20"/>
                <w:szCs w:val="20"/>
                <w:color w:val="auto"/>
              </w:rPr>
            </w:pPr>
            <w:r>
              <w:rPr>
                <w:rFonts w:ascii="Times New Roman" w:cs="Times New Roman" w:eastAsia="Times New Roman" w:hAnsi="Times New Roman"/>
                <w:sz w:val="12"/>
                <w:szCs w:val="12"/>
                <w:color w:val="auto"/>
              </w:rPr>
              <w:t>15</w:t>
            </w:r>
          </w:p>
        </w:tc>
        <w:tc>
          <w:tcPr>
            <w:tcW w:w="30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r>
    </w:tbl>
    <w:p>
      <w:pPr>
        <w:sectPr>
          <w:pgSz w:w="11900" w:h="16838" w:orient="portrait"/>
          <w:cols w:equalWidth="0" w:num="1">
            <w:col w:w="11300"/>
          </w:cols>
          <w:pgMar w:left="300" w:top="485" w:right="299" w:bottom="1440" w:gutter="0" w:footer="0" w:header="0"/>
          <w:type w:val="continuous"/>
        </w:sectPr>
      </w:pPr>
    </w:p>
    <w:bookmarkStart w:id="19" w:name="page20"/>
    <w:bookmarkEnd w:id="1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3220" w:type="dxa"/>
            <w:vAlign w:val="bottom"/>
          </w:tcPr>
          <w:p>
            <w:pPr>
              <w:spacing w:after="0"/>
              <w:rPr>
                <w:sz w:val="13"/>
                <w:szCs w:val="13"/>
                <w:color w:val="auto"/>
              </w:rPr>
            </w:pPr>
          </w:p>
        </w:tc>
        <w:tc>
          <w:tcPr>
            <w:tcW w:w="6760" w:type="dxa"/>
            <w:vAlign w:val="bottom"/>
            <w:gridSpan w:val="2"/>
          </w:tcPr>
          <w:p>
            <w:pPr>
              <w:jc w:val="center"/>
              <w:ind w:right="1846"/>
              <w:spacing w:after="0"/>
              <w:rPr>
                <w:sz w:val="20"/>
                <w:szCs w:val="20"/>
                <w:color w:val="auto"/>
              </w:rPr>
            </w:pPr>
            <w:r>
              <w:rPr>
                <w:rFonts w:ascii="Times New Roman" w:cs="Times New Roman" w:eastAsia="Times New Roman" w:hAnsi="Times New Roman"/>
                <w:sz w:val="12"/>
                <w:szCs w:val="12"/>
                <w:b w:val="1"/>
                <w:bCs w:val="1"/>
                <w:color w:val="auto"/>
              </w:rPr>
              <w:t>CLEARDOC, INC. AND SUBSIDIARY</w:t>
            </w:r>
          </w:p>
        </w:tc>
        <w:tc>
          <w:tcPr>
            <w:tcW w:w="120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288"/>
        </w:trPr>
        <w:tc>
          <w:tcPr>
            <w:tcW w:w="3220" w:type="dxa"/>
            <w:vAlign w:val="bottom"/>
          </w:tcPr>
          <w:p>
            <w:pPr>
              <w:spacing w:after="0"/>
              <w:rPr>
                <w:sz w:val="24"/>
                <w:szCs w:val="24"/>
                <w:color w:val="auto"/>
              </w:rPr>
            </w:pPr>
          </w:p>
        </w:tc>
        <w:tc>
          <w:tcPr>
            <w:tcW w:w="6760" w:type="dxa"/>
            <w:vAlign w:val="bottom"/>
            <w:gridSpan w:val="2"/>
          </w:tcPr>
          <w:p>
            <w:pPr>
              <w:jc w:val="center"/>
              <w:ind w:right="1846"/>
              <w:spacing w:after="0"/>
              <w:rPr>
                <w:sz w:val="20"/>
                <w:szCs w:val="20"/>
                <w:color w:val="auto"/>
              </w:rPr>
            </w:pPr>
            <w:r>
              <w:rPr>
                <w:rFonts w:ascii="Times New Roman" w:cs="Times New Roman" w:eastAsia="Times New Roman" w:hAnsi="Times New Roman"/>
                <w:sz w:val="12"/>
                <w:szCs w:val="12"/>
                <w:b w:val="1"/>
                <w:bCs w:val="1"/>
                <w:color w:val="auto"/>
                <w:w w:val="98"/>
              </w:rPr>
              <w:t>CONSOLIDATED STATEMENT OF OPERATIONS</w:t>
            </w: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88"/>
        </w:trPr>
        <w:tc>
          <w:tcPr>
            <w:tcW w:w="3220" w:type="dxa"/>
            <w:vAlign w:val="bottom"/>
          </w:tcPr>
          <w:p>
            <w:pPr>
              <w:spacing w:after="0"/>
              <w:rPr>
                <w:sz w:val="24"/>
                <w:szCs w:val="24"/>
                <w:color w:val="auto"/>
              </w:rPr>
            </w:pPr>
          </w:p>
        </w:tc>
        <w:tc>
          <w:tcPr>
            <w:tcW w:w="6760" w:type="dxa"/>
            <w:vAlign w:val="bottom"/>
            <w:gridSpan w:val="2"/>
          </w:tcPr>
          <w:p>
            <w:pPr>
              <w:jc w:val="center"/>
              <w:ind w:right="1866"/>
              <w:spacing w:after="0"/>
              <w:rPr>
                <w:sz w:val="20"/>
                <w:szCs w:val="20"/>
                <w:color w:val="auto"/>
              </w:rPr>
            </w:pPr>
            <w:r>
              <w:rPr>
                <w:rFonts w:ascii="Times New Roman" w:cs="Times New Roman" w:eastAsia="Times New Roman" w:hAnsi="Times New Roman"/>
                <w:sz w:val="12"/>
                <w:szCs w:val="12"/>
                <w:color w:val="auto"/>
                <w:w w:val="98"/>
              </w:rPr>
              <w:t>Year Ended December 31, 2022</w:t>
            </w: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44"/>
        </w:trPr>
        <w:tc>
          <w:tcPr>
            <w:tcW w:w="3220" w:type="dxa"/>
            <w:vAlign w:val="bottom"/>
          </w:tcPr>
          <w:p>
            <w:pPr>
              <w:spacing w:after="0"/>
              <w:rPr>
                <w:sz w:val="12"/>
                <w:szCs w:val="12"/>
                <w:color w:val="auto"/>
              </w:rPr>
            </w:pPr>
          </w:p>
        </w:tc>
        <w:tc>
          <w:tcPr>
            <w:tcW w:w="60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4"/>
        </w:trPr>
        <w:tc>
          <w:tcPr>
            <w:tcW w:w="32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NET REVENUE</w:t>
            </w:r>
          </w:p>
        </w:tc>
        <w:tc>
          <w:tcPr>
            <w:tcW w:w="6760" w:type="dxa"/>
            <w:vAlign w:val="bottom"/>
            <w:gridSpan w:val="2"/>
            <w:shd w:val="clear" w:color="auto" w:fill="CCEEFF"/>
          </w:tcPr>
          <w:p>
            <w:pPr>
              <w:jc w:val="right"/>
              <w:ind w:right="586"/>
              <w:spacing w:after="0"/>
              <w:rPr>
                <w:sz w:val="20"/>
                <w:szCs w:val="20"/>
                <w:color w:val="auto"/>
              </w:rPr>
            </w:pPr>
            <w:r>
              <w:rPr>
                <w:rFonts w:ascii="Times New Roman" w:cs="Times New Roman" w:eastAsia="Times New Roman" w:hAnsi="Times New Roman"/>
                <w:sz w:val="12"/>
                <w:szCs w:val="12"/>
                <w:color w:val="auto"/>
              </w:rPr>
              <w:t>$</w:t>
            </w:r>
          </w:p>
        </w:tc>
        <w:tc>
          <w:tcPr>
            <w:tcW w:w="1320" w:type="dxa"/>
            <w:vAlign w:val="bottom"/>
            <w:gridSpan w:val="2"/>
            <w:shd w:val="clear" w:color="auto" w:fill="CCEEFF"/>
          </w:tcPr>
          <w:p>
            <w:pPr>
              <w:jc w:val="right"/>
              <w:ind w:right="78"/>
              <w:spacing w:after="0"/>
              <w:rPr>
                <w:sz w:val="20"/>
                <w:szCs w:val="20"/>
                <w:color w:val="auto"/>
              </w:rPr>
            </w:pPr>
            <w:r>
              <w:rPr>
                <w:rFonts w:ascii="Times New Roman" w:cs="Times New Roman" w:eastAsia="Times New Roman" w:hAnsi="Times New Roman"/>
                <w:sz w:val="12"/>
                <w:szCs w:val="12"/>
                <w:color w:val="auto"/>
              </w:rPr>
              <w:t>8,458,435</w:t>
            </w:r>
          </w:p>
        </w:tc>
      </w:tr>
      <w:tr>
        <w:trPr>
          <w:trHeight w:val="153"/>
        </w:trPr>
        <w:tc>
          <w:tcPr>
            <w:tcW w:w="3220" w:type="dxa"/>
            <w:vAlign w:val="bottom"/>
          </w:tcPr>
          <w:p>
            <w:pPr>
              <w:spacing w:after="0"/>
              <w:rPr>
                <w:sz w:val="20"/>
                <w:szCs w:val="20"/>
                <w:color w:val="auto"/>
              </w:rPr>
            </w:pPr>
            <w:r>
              <w:rPr>
                <w:rFonts w:ascii="Times New Roman" w:cs="Times New Roman" w:eastAsia="Times New Roman" w:hAnsi="Times New Roman"/>
                <w:sz w:val="12"/>
                <w:szCs w:val="12"/>
                <w:color w:val="auto"/>
              </w:rPr>
              <w:t>COST OF REVENUE</w:t>
            </w:r>
          </w:p>
        </w:tc>
        <w:tc>
          <w:tcPr>
            <w:tcW w:w="60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320" w:type="dxa"/>
            <w:vAlign w:val="bottom"/>
            <w:gridSpan w:val="2"/>
          </w:tcPr>
          <w:p>
            <w:pPr>
              <w:jc w:val="right"/>
              <w:ind w:right="78"/>
              <w:spacing w:after="0"/>
              <w:rPr>
                <w:sz w:val="20"/>
                <w:szCs w:val="20"/>
                <w:color w:val="auto"/>
              </w:rPr>
            </w:pPr>
            <w:r>
              <w:rPr>
                <w:rFonts w:ascii="Times New Roman" w:cs="Times New Roman" w:eastAsia="Times New Roman" w:hAnsi="Times New Roman"/>
                <w:sz w:val="12"/>
                <w:szCs w:val="12"/>
                <w:color w:val="auto"/>
              </w:rPr>
              <w:t>1,260,910</w:t>
            </w:r>
          </w:p>
        </w:tc>
      </w:tr>
      <w:tr>
        <w:trPr>
          <w:trHeight w:val="133"/>
        </w:trPr>
        <w:tc>
          <w:tcPr>
            <w:tcW w:w="3220" w:type="dxa"/>
            <w:vAlign w:val="bottom"/>
            <w:tcBorders>
              <w:top w:val="single" w:sz="8" w:color="CCEEFF"/>
            </w:tcBorders>
            <w:shd w:val="clear" w:color="auto" w:fill="CCEEFF"/>
          </w:tcPr>
          <w:p>
            <w:pPr>
              <w:ind w:left="240"/>
              <w:spacing w:after="0" w:line="133" w:lineRule="exact"/>
              <w:rPr>
                <w:sz w:val="20"/>
                <w:szCs w:val="20"/>
                <w:color w:val="auto"/>
              </w:rPr>
            </w:pPr>
            <w:r>
              <w:rPr>
                <w:rFonts w:ascii="Times New Roman" w:cs="Times New Roman" w:eastAsia="Times New Roman" w:hAnsi="Times New Roman"/>
                <w:sz w:val="12"/>
                <w:szCs w:val="12"/>
                <w:color w:val="auto"/>
              </w:rPr>
              <w:t>GROSS PROFIT</w:t>
            </w:r>
          </w:p>
        </w:tc>
        <w:tc>
          <w:tcPr>
            <w:tcW w:w="6060" w:type="dxa"/>
            <w:vAlign w:val="bottom"/>
            <w:tcBorders>
              <w:top w:val="single" w:sz="8" w:color="CCEEFF"/>
            </w:tcBorders>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spacing w:after="0"/>
              <w:rPr>
                <w:sz w:val="11"/>
                <w:szCs w:val="11"/>
                <w:color w:val="auto"/>
              </w:rPr>
            </w:pPr>
          </w:p>
        </w:tc>
        <w:tc>
          <w:tcPr>
            <w:tcW w:w="120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7,197,525</w:t>
            </w:r>
          </w:p>
        </w:tc>
        <w:tc>
          <w:tcPr>
            <w:tcW w:w="120" w:type="dxa"/>
            <w:vAlign w:val="bottom"/>
            <w:tcBorders>
              <w:top w:val="single" w:sz="8" w:color="CCEEFF"/>
            </w:tcBorders>
            <w:shd w:val="clear" w:color="auto" w:fill="CCEEFF"/>
          </w:tcPr>
          <w:p>
            <w:pPr>
              <w:spacing w:after="0"/>
              <w:rPr>
                <w:sz w:val="11"/>
                <w:szCs w:val="11"/>
                <w:color w:val="auto"/>
              </w:rPr>
            </w:pPr>
          </w:p>
        </w:tc>
      </w:tr>
      <w:tr>
        <w:trPr>
          <w:trHeight w:val="144"/>
        </w:trPr>
        <w:tc>
          <w:tcPr>
            <w:tcW w:w="3220" w:type="dxa"/>
            <w:vAlign w:val="bottom"/>
          </w:tcPr>
          <w:p>
            <w:pPr>
              <w:spacing w:after="0"/>
              <w:rPr>
                <w:sz w:val="12"/>
                <w:szCs w:val="12"/>
                <w:color w:val="auto"/>
              </w:rPr>
            </w:pPr>
          </w:p>
        </w:tc>
        <w:tc>
          <w:tcPr>
            <w:tcW w:w="60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53"/>
        </w:trPr>
        <w:tc>
          <w:tcPr>
            <w:tcW w:w="32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OPERATING EXPENSES</w:t>
            </w:r>
          </w:p>
        </w:tc>
        <w:tc>
          <w:tcPr>
            <w:tcW w:w="606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320" w:type="dxa"/>
            <w:vAlign w:val="bottom"/>
            <w:gridSpan w:val="2"/>
            <w:shd w:val="clear" w:color="auto" w:fill="CCEEFF"/>
          </w:tcPr>
          <w:p>
            <w:pPr>
              <w:jc w:val="right"/>
              <w:ind w:right="78"/>
              <w:spacing w:after="0"/>
              <w:rPr>
                <w:sz w:val="20"/>
                <w:szCs w:val="20"/>
                <w:color w:val="auto"/>
              </w:rPr>
            </w:pPr>
            <w:r>
              <w:rPr>
                <w:rFonts w:ascii="Times New Roman" w:cs="Times New Roman" w:eastAsia="Times New Roman" w:hAnsi="Times New Roman"/>
                <w:sz w:val="12"/>
                <w:szCs w:val="12"/>
                <w:color w:val="auto"/>
              </w:rPr>
              <w:t>12,452,804</w:t>
            </w:r>
          </w:p>
        </w:tc>
      </w:tr>
      <w:tr>
        <w:trPr>
          <w:trHeight w:val="133"/>
        </w:trPr>
        <w:tc>
          <w:tcPr>
            <w:tcW w:w="3220" w:type="dxa"/>
            <w:vAlign w:val="bottom"/>
            <w:tcBorders>
              <w:bottom w:val="single" w:sz="8" w:color="CCEEFF"/>
            </w:tcBorders>
          </w:tcPr>
          <w:p>
            <w:pPr>
              <w:ind w:left="240"/>
              <w:spacing w:after="0" w:line="133" w:lineRule="exact"/>
              <w:rPr>
                <w:sz w:val="20"/>
                <w:szCs w:val="20"/>
                <w:color w:val="auto"/>
              </w:rPr>
            </w:pPr>
            <w:r>
              <w:rPr>
                <w:rFonts w:ascii="Times New Roman" w:cs="Times New Roman" w:eastAsia="Times New Roman" w:hAnsi="Times New Roman"/>
                <w:sz w:val="12"/>
                <w:szCs w:val="12"/>
                <w:color w:val="auto"/>
              </w:rPr>
              <w:t>OPERATING LOSS</w:t>
            </w:r>
          </w:p>
        </w:tc>
        <w:tc>
          <w:tcPr>
            <w:tcW w:w="6060" w:type="dxa"/>
            <w:vAlign w:val="bottom"/>
            <w:tcBorders>
              <w:bottom w:val="single" w:sz="8" w:color="CCEEFF"/>
            </w:tcBorders>
          </w:tcPr>
          <w:p>
            <w:pPr>
              <w:spacing w:after="0"/>
              <w:rPr>
                <w:sz w:val="11"/>
                <w:szCs w:val="11"/>
                <w:color w:val="auto"/>
              </w:rPr>
            </w:pPr>
          </w:p>
        </w:tc>
        <w:tc>
          <w:tcPr>
            <w:tcW w:w="700" w:type="dxa"/>
            <w:vAlign w:val="bottom"/>
            <w:tcBorders>
              <w:top w:val="single" w:sz="8" w:color="auto"/>
              <w:bottom w:val="single" w:sz="8" w:color="auto"/>
            </w:tcBorders>
          </w:tcPr>
          <w:p>
            <w:pPr>
              <w:spacing w:after="0"/>
              <w:rPr>
                <w:sz w:val="11"/>
                <w:szCs w:val="11"/>
                <w:color w:val="auto"/>
              </w:rPr>
            </w:pPr>
          </w:p>
        </w:tc>
        <w:tc>
          <w:tcPr>
            <w:tcW w:w="1200" w:type="dxa"/>
            <w:vAlign w:val="bottom"/>
            <w:tcBorders>
              <w:top w:val="single" w:sz="8" w:color="auto"/>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(5,255,279)</w:t>
            </w:r>
          </w:p>
        </w:tc>
        <w:tc>
          <w:tcPr>
            <w:tcW w:w="120" w:type="dxa"/>
            <w:vAlign w:val="bottom"/>
            <w:tcBorders>
              <w:bottom w:val="single" w:sz="8" w:color="CCEEFF"/>
            </w:tcBorders>
          </w:tcPr>
          <w:p>
            <w:pPr>
              <w:spacing w:after="0"/>
              <w:rPr>
                <w:sz w:val="11"/>
                <w:szCs w:val="11"/>
                <w:color w:val="auto"/>
              </w:rPr>
            </w:pPr>
          </w:p>
        </w:tc>
      </w:tr>
      <w:tr>
        <w:trPr>
          <w:trHeight w:val="133"/>
        </w:trPr>
        <w:tc>
          <w:tcPr>
            <w:tcW w:w="3220" w:type="dxa"/>
            <w:vAlign w:val="bottom"/>
            <w:shd w:val="clear" w:color="auto" w:fill="CCEEFF"/>
          </w:tcPr>
          <w:p>
            <w:pPr>
              <w:spacing w:after="0"/>
              <w:rPr>
                <w:sz w:val="11"/>
                <w:szCs w:val="11"/>
                <w:color w:val="auto"/>
              </w:rPr>
            </w:pPr>
          </w:p>
        </w:tc>
        <w:tc>
          <w:tcPr>
            <w:tcW w:w="60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r>
      <w:tr>
        <w:trPr>
          <w:trHeight w:val="144"/>
        </w:trPr>
        <w:tc>
          <w:tcPr>
            <w:tcW w:w="3220" w:type="dxa"/>
            <w:vAlign w:val="bottom"/>
          </w:tcPr>
          <w:p>
            <w:pPr>
              <w:spacing w:after="0"/>
              <w:rPr>
                <w:sz w:val="20"/>
                <w:szCs w:val="20"/>
                <w:color w:val="auto"/>
              </w:rPr>
            </w:pPr>
            <w:r>
              <w:rPr>
                <w:rFonts w:ascii="Times New Roman" w:cs="Times New Roman" w:eastAsia="Times New Roman" w:hAnsi="Times New Roman"/>
                <w:sz w:val="12"/>
                <w:szCs w:val="12"/>
                <w:color w:val="auto"/>
              </w:rPr>
              <w:t>OTHER INCOME (EXPENSE)</w:t>
            </w:r>
          </w:p>
        </w:tc>
        <w:tc>
          <w:tcPr>
            <w:tcW w:w="60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4"/>
        </w:trPr>
        <w:tc>
          <w:tcPr>
            <w:tcW w:w="32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Other income</w:t>
            </w:r>
          </w:p>
        </w:tc>
        <w:tc>
          <w:tcPr>
            <w:tcW w:w="60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78"/>
              <w:spacing w:after="0"/>
              <w:rPr>
                <w:sz w:val="20"/>
                <w:szCs w:val="20"/>
                <w:color w:val="auto"/>
              </w:rPr>
            </w:pPr>
            <w:r>
              <w:rPr>
                <w:rFonts w:ascii="Times New Roman" w:cs="Times New Roman" w:eastAsia="Times New Roman" w:hAnsi="Times New Roman"/>
                <w:sz w:val="12"/>
                <w:szCs w:val="12"/>
                <w:color w:val="auto"/>
              </w:rPr>
              <w:t>78,942</w:t>
            </w:r>
          </w:p>
        </w:tc>
      </w:tr>
      <w:tr>
        <w:trPr>
          <w:trHeight w:val="153"/>
        </w:trPr>
        <w:tc>
          <w:tcPr>
            <w:tcW w:w="322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Interest expense, net</w:t>
            </w:r>
          </w:p>
        </w:tc>
        <w:tc>
          <w:tcPr>
            <w:tcW w:w="60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320" w:type="dxa"/>
            <w:vAlign w:val="bottom"/>
            <w:gridSpan w:val="2"/>
          </w:tcPr>
          <w:p>
            <w:pPr>
              <w:jc w:val="right"/>
              <w:ind w:right="38"/>
              <w:spacing w:after="0"/>
              <w:rPr>
                <w:sz w:val="20"/>
                <w:szCs w:val="20"/>
                <w:color w:val="auto"/>
              </w:rPr>
            </w:pPr>
            <w:r>
              <w:rPr>
                <w:rFonts w:ascii="Times New Roman" w:cs="Times New Roman" w:eastAsia="Times New Roman" w:hAnsi="Times New Roman"/>
                <w:sz w:val="12"/>
                <w:szCs w:val="12"/>
                <w:color w:val="auto"/>
              </w:rPr>
              <w:t>(4,299)</w:t>
            </w:r>
          </w:p>
        </w:tc>
      </w:tr>
      <w:tr>
        <w:trPr>
          <w:trHeight w:val="133"/>
        </w:trPr>
        <w:tc>
          <w:tcPr>
            <w:tcW w:w="3220" w:type="dxa"/>
            <w:vAlign w:val="bottom"/>
            <w:tcBorders>
              <w:top w:val="single" w:sz="8" w:color="CCEEFF"/>
            </w:tcBorders>
            <w:shd w:val="clear" w:color="auto" w:fill="CCEEFF"/>
          </w:tcPr>
          <w:p>
            <w:pPr>
              <w:ind w:left="240"/>
              <w:spacing w:after="0" w:line="133" w:lineRule="exact"/>
              <w:rPr>
                <w:sz w:val="20"/>
                <w:szCs w:val="20"/>
                <w:color w:val="auto"/>
              </w:rPr>
            </w:pPr>
            <w:r>
              <w:rPr>
                <w:rFonts w:ascii="Times New Roman" w:cs="Times New Roman" w:eastAsia="Times New Roman" w:hAnsi="Times New Roman"/>
                <w:sz w:val="12"/>
                <w:szCs w:val="12"/>
                <w:color w:val="auto"/>
              </w:rPr>
              <w:t>TOTAL OTHER INCOME (EXPENSE)</w:t>
            </w:r>
          </w:p>
        </w:tc>
        <w:tc>
          <w:tcPr>
            <w:tcW w:w="6060" w:type="dxa"/>
            <w:vAlign w:val="bottom"/>
            <w:tcBorders>
              <w:top w:val="single" w:sz="8" w:color="CCEEFF"/>
            </w:tcBorders>
            <w:shd w:val="clear" w:color="auto" w:fill="CCEEFF"/>
          </w:tcPr>
          <w:p>
            <w:pPr>
              <w:spacing w:after="0"/>
              <w:rPr>
                <w:sz w:val="11"/>
                <w:szCs w:val="11"/>
                <w:color w:val="auto"/>
              </w:rPr>
            </w:pPr>
          </w:p>
        </w:tc>
        <w:tc>
          <w:tcPr>
            <w:tcW w:w="700" w:type="dxa"/>
            <w:vAlign w:val="bottom"/>
            <w:tcBorders>
              <w:top w:val="single" w:sz="8" w:color="auto"/>
              <w:bottom w:val="single" w:sz="8" w:color="auto"/>
            </w:tcBorders>
            <w:shd w:val="clear" w:color="auto" w:fill="CCEEFF"/>
          </w:tcPr>
          <w:p>
            <w:pPr>
              <w:spacing w:after="0"/>
              <w:rPr>
                <w:sz w:val="11"/>
                <w:szCs w:val="11"/>
                <w:color w:val="auto"/>
              </w:rPr>
            </w:pPr>
          </w:p>
        </w:tc>
        <w:tc>
          <w:tcPr>
            <w:tcW w:w="120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74,643</w:t>
            </w:r>
          </w:p>
        </w:tc>
        <w:tc>
          <w:tcPr>
            <w:tcW w:w="120" w:type="dxa"/>
            <w:vAlign w:val="bottom"/>
            <w:tcBorders>
              <w:top w:val="single" w:sz="8" w:color="CCEEFF"/>
            </w:tcBorders>
            <w:shd w:val="clear" w:color="auto" w:fill="CCEEFF"/>
          </w:tcPr>
          <w:p>
            <w:pPr>
              <w:spacing w:after="0"/>
              <w:rPr>
                <w:sz w:val="11"/>
                <w:szCs w:val="11"/>
                <w:color w:val="auto"/>
              </w:rPr>
            </w:pPr>
          </w:p>
        </w:tc>
      </w:tr>
      <w:tr>
        <w:trPr>
          <w:trHeight w:val="133"/>
        </w:trPr>
        <w:tc>
          <w:tcPr>
            <w:tcW w:w="3220" w:type="dxa"/>
            <w:vAlign w:val="bottom"/>
          </w:tcPr>
          <w:p>
            <w:pPr>
              <w:ind w:left="240"/>
              <w:spacing w:after="0" w:line="133" w:lineRule="exact"/>
              <w:rPr>
                <w:sz w:val="20"/>
                <w:szCs w:val="20"/>
                <w:color w:val="auto"/>
              </w:rPr>
            </w:pPr>
            <w:r>
              <w:rPr>
                <w:rFonts w:ascii="Times New Roman" w:cs="Times New Roman" w:eastAsia="Times New Roman" w:hAnsi="Times New Roman"/>
                <w:sz w:val="12"/>
                <w:szCs w:val="12"/>
                <w:color w:val="auto"/>
              </w:rPr>
              <w:t>LOSS BEFORE INCOME TAXES</w:t>
            </w:r>
          </w:p>
        </w:tc>
        <w:tc>
          <w:tcPr>
            <w:tcW w:w="60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(5,180,636)</w:t>
            </w:r>
          </w:p>
        </w:tc>
        <w:tc>
          <w:tcPr>
            <w:tcW w:w="120" w:type="dxa"/>
            <w:vAlign w:val="bottom"/>
          </w:tcPr>
          <w:p>
            <w:pPr>
              <w:spacing w:after="0"/>
              <w:rPr>
                <w:sz w:val="11"/>
                <w:szCs w:val="11"/>
                <w:color w:val="auto"/>
              </w:rPr>
            </w:pPr>
          </w:p>
        </w:tc>
      </w:tr>
      <w:tr>
        <w:trPr>
          <w:trHeight w:val="153"/>
        </w:trPr>
        <w:tc>
          <w:tcPr>
            <w:tcW w:w="32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2"/>
                <w:szCs w:val="12"/>
                <w:color w:val="auto"/>
              </w:rPr>
              <w:t>INCOME TAX BENEFIT</w:t>
            </w:r>
          </w:p>
        </w:tc>
        <w:tc>
          <w:tcPr>
            <w:tcW w:w="606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320" w:type="dxa"/>
            <w:vAlign w:val="bottom"/>
            <w:gridSpan w:val="2"/>
            <w:shd w:val="clear" w:color="auto" w:fill="CCEEFF"/>
          </w:tcPr>
          <w:p>
            <w:pPr>
              <w:jc w:val="right"/>
              <w:ind w:right="78"/>
              <w:spacing w:after="0"/>
              <w:rPr>
                <w:sz w:val="20"/>
                <w:szCs w:val="20"/>
                <w:color w:val="auto"/>
              </w:rPr>
            </w:pPr>
            <w:r>
              <w:rPr>
                <w:rFonts w:ascii="Times New Roman" w:cs="Times New Roman" w:eastAsia="Times New Roman" w:hAnsi="Times New Roman"/>
                <w:sz w:val="12"/>
                <w:szCs w:val="12"/>
                <w:color w:val="auto"/>
              </w:rPr>
              <w:t>-</w:t>
            </w:r>
          </w:p>
        </w:tc>
      </w:tr>
      <w:tr>
        <w:trPr>
          <w:trHeight w:val="149"/>
        </w:trPr>
        <w:tc>
          <w:tcPr>
            <w:tcW w:w="3220" w:type="dxa"/>
            <w:vAlign w:val="bottom"/>
          </w:tcPr>
          <w:p>
            <w:pPr>
              <w:ind w:left="240"/>
              <w:spacing w:after="0" w:line="135" w:lineRule="exact"/>
              <w:rPr>
                <w:sz w:val="20"/>
                <w:szCs w:val="20"/>
                <w:color w:val="auto"/>
              </w:rPr>
            </w:pPr>
            <w:r>
              <w:rPr>
                <w:rFonts w:ascii="Times New Roman" w:cs="Times New Roman" w:eastAsia="Times New Roman" w:hAnsi="Times New Roman"/>
                <w:sz w:val="12"/>
                <w:szCs w:val="12"/>
                <w:color w:val="auto"/>
              </w:rPr>
              <w:t>NET LOSS</w:t>
            </w:r>
          </w:p>
        </w:tc>
        <w:tc>
          <w:tcPr>
            <w:tcW w:w="6060" w:type="dxa"/>
            <w:vAlign w:val="bottom"/>
          </w:tcPr>
          <w:p>
            <w:pPr>
              <w:spacing w:after="0"/>
              <w:rPr>
                <w:sz w:val="12"/>
                <w:szCs w:val="12"/>
                <w:color w:val="auto"/>
              </w:rPr>
            </w:pPr>
          </w:p>
        </w:tc>
        <w:tc>
          <w:tcPr>
            <w:tcW w:w="700" w:type="dxa"/>
            <w:vAlign w:val="bottom"/>
            <w:tcBorders>
              <w:top w:val="single" w:sz="8" w:color="auto"/>
              <w:bottom w:val="single" w:sz="8" w:color="auto"/>
            </w:tcBorders>
          </w:tcPr>
          <w:p>
            <w:pPr>
              <w:jc w:val="right"/>
              <w:ind w:right="586"/>
              <w:spacing w:after="0"/>
              <w:rPr>
                <w:sz w:val="20"/>
                <w:szCs w:val="20"/>
                <w:color w:val="auto"/>
              </w:rPr>
            </w:pPr>
            <w:r>
              <w:rPr>
                <w:rFonts w:ascii="Times New Roman" w:cs="Times New Roman" w:eastAsia="Times New Roman" w:hAnsi="Times New Roman"/>
                <w:sz w:val="11"/>
                <w:szCs w:val="11"/>
                <w:color w:val="auto"/>
                <w:w w:val="71"/>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(5,180,636</w:t>
            </w:r>
          </w:p>
        </w:tc>
        <w:tc>
          <w:tcPr>
            <w:tcW w:w="120" w:type="dxa"/>
            <w:vAlign w:val="bottom"/>
          </w:tcPr>
          <w:p>
            <w:pPr>
              <w:jc w:val="right"/>
              <w:ind w:right="38"/>
              <w:spacing w:after="0"/>
              <w:rPr>
                <w:sz w:val="20"/>
                <w:szCs w:val="20"/>
                <w:color w:val="auto"/>
              </w:rPr>
            </w:pPr>
            <w:r>
              <w:rPr>
                <w:rFonts w:ascii="Times New Roman" w:cs="Times New Roman" w:eastAsia="Times New Roman" w:hAnsi="Times New Roman"/>
                <w:sz w:val="8"/>
                <w:szCs w:val="8"/>
                <w:color w:val="auto"/>
                <w:w w:val="73"/>
              </w:rPr>
              <w:t>)</w:t>
            </w:r>
          </w:p>
        </w:tc>
      </w:tr>
      <w:tr>
        <w:trPr>
          <w:trHeight w:val="288"/>
        </w:trPr>
        <w:tc>
          <w:tcPr>
            <w:tcW w:w="3220" w:type="dxa"/>
            <w:vAlign w:val="bottom"/>
            <w:tcBorders>
              <w:bottom w:val="single" w:sz="8" w:color="auto"/>
            </w:tcBorders>
          </w:tcPr>
          <w:p>
            <w:pPr>
              <w:spacing w:after="0"/>
              <w:rPr>
                <w:sz w:val="24"/>
                <w:szCs w:val="24"/>
                <w:color w:val="auto"/>
              </w:rPr>
            </w:pPr>
          </w:p>
        </w:tc>
        <w:tc>
          <w:tcPr>
            <w:tcW w:w="6060" w:type="dxa"/>
            <w:vAlign w:val="bottom"/>
            <w:tcBorders>
              <w:bottom w:val="single" w:sz="8" w:color="auto"/>
            </w:tcBorders>
          </w:tcPr>
          <w:p>
            <w:pPr>
              <w:jc w:val="center"/>
              <w:ind w:right="1160"/>
              <w:spacing w:after="0"/>
              <w:rPr>
                <w:sz w:val="20"/>
                <w:szCs w:val="20"/>
                <w:color w:val="auto"/>
              </w:rPr>
            </w:pPr>
            <w:r>
              <w:rPr>
                <w:rFonts w:ascii="Times New Roman" w:cs="Times New Roman" w:eastAsia="Times New Roman" w:hAnsi="Times New Roman"/>
                <w:sz w:val="12"/>
                <w:szCs w:val="12"/>
                <w:color w:val="auto"/>
                <w:w w:val="99"/>
              </w:rPr>
              <w:t>16</w:t>
            </w:r>
          </w:p>
        </w:tc>
        <w:tc>
          <w:tcPr>
            <w:tcW w:w="70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r>
    </w:tbl>
    <w:p>
      <w:pPr>
        <w:sectPr>
          <w:pgSz w:w="11900" w:h="16838" w:orient="portrait"/>
          <w:cols w:equalWidth="0" w:num="1">
            <w:col w:w="11300"/>
          </w:cols>
          <w:pgMar w:left="300" w:top="485" w:right="299" w:bottom="1440" w:gutter="0" w:footer="0" w:header="0"/>
        </w:sectPr>
      </w:pPr>
    </w:p>
    <w:bookmarkStart w:id="20" w:name="page21"/>
    <w:bookmarkEnd w:id="20"/>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Balance, January 1, 2022</w:t>
      </w:r>
    </w:p>
    <w:p>
      <w:pPr>
        <w:ind w:left="120"/>
        <w:spacing w:after="0"/>
        <w:rPr>
          <w:sz w:val="20"/>
          <w:szCs w:val="20"/>
          <w:color w:val="auto"/>
        </w:rPr>
      </w:pPr>
      <w:r>
        <w:rPr>
          <w:rFonts w:ascii="Times New Roman" w:cs="Times New Roman" w:eastAsia="Times New Roman" w:hAnsi="Times New Roman"/>
          <w:sz w:val="8"/>
          <w:szCs w:val="8"/>
          <w:color w:val="auto"/>
        </w:rPr>
        <w:t>Exercise of stock options</w:t>
      </w:r>
    </w:p>
    <w:p>
      <w:pPr>
        <w:spacing w:after="0" w:line="3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0"/>
          <w:szCs w:val="10"/>
          <w:color w:val="auto"/>
        </w:rPr>
        <w:t>Stock earn outs</w:t>
      </w:r>
    </w:p>
    <w:p>
      <w:pPr>
        <w:ind w:left="120"/>
        <w:spacing w:after="0"/>
        <w:rPr>
          <w:sz w:val="20"/>
          <w:szCs w:val="20"/>
          <w:color w:val="auto"/>
        </w:rPr>
      </w:pPr>
      <w:r>
        <w:rPr>
          <w:rFonts w:ascii="Times New Roman" w:cs="Times New Roman" w:eastAsia="Times New Roman" w:hAnsi="Times New Roman"/>
          <w:sz w:val="8"/>
          <w:szCs w:val="8"/>
          <w:color w:val="auto"/>
        </w:rPr>
        <w:t>Stock based compensation</w:t>
      </w:r>
    </w:p>
    <w:p>
      <w:pPr>
        <w:ind w:left="120"/>
        <w:spacing w:after="0"/>
        <w:rPr>
          <w:sz w:val="20"/>
          <w:szCs w:val="20"/>
          <w:color w:val="auto"/>
        </w:rPr>
      </w:pPr>
      <w:r>
        <w:rPr>
          <w:rFonts w:ascii="Times New Roman" w:cs="Times New Roman" w:eastAsia="Times New Roman" w:hAnsi="Times New Roman"/>
          <w:sz w:val="10"/>
          <w:szCs w:val="10"/>
          <w:color w:val="auto"/>
        </w:rPr>
        <w:t>Net loss</w:t>
      </w:r>
    </w:p>
    <w:p>
      <w:pPr>
        <w:spacing w:after="0"/>
        <w:rPr>
          <w:sz w:val="20"/>
          <w:szCs w:val="20"/>
          <w:color w:val="auto"/>
        </w:rPr>
      </w:pPr>
      <w:r>
        <w:rPr>
          <w:rFonts w:ascii="Times New Roman" w:cs="Times New Roman" w:eastAsia="Times New Roman" w:hAnsi="Times New Roman"/>
          <w:sz w:val="8"/>
          <w:szCs w:val="8"/>
          <w:color w:val="auto"/>
        </w:rPr>
        <w:t>Balance, December 31, 2022</w:t>
      </w:r>
    </w:p>
    <w:p>
      <w:pPr>
        <w:spacing w:after="0" w:line="20" w:lineRule="exact"/>
        <w:rPr>
          <w:sz w:val="20"/>
          <w:szCs w:val="20"/>
          <w:color w:val="auto"/>
        </w:rPr>
      </w:pPr>
      <w:r>
        <w:rPr>
          <w:sz w:val="20"/>
          <w:szCs w:val="20"/>
          <w:color w:val="auto"/>
        </w:rPr>
        <w:br w:type="column"/>
      </w:r>
    </w:p>
    <w:p>
      <w:pPr>
        <w:jc w:val="center"/>
        <w:ind w:right="2180"/>
        <w:spacing w:after="0"/>
        <w:rPr>
          <w:sz w:val="20"/>
          <w:szCs w:val="20"/>
          <w:color w:val="auto"/>
        </w:rPr>
      </w:pPr>
      <w:r>
        <w:rPr>
          <w:rFonts w:ascii="Times New Roman" w:cs="Times New Roman" w:eastAsia="Times New Roman" w:hAnsi="Times New Roman"/>
          <w:sz w:val="12"/>
          <w:szCs w:val="12"/>
          <w:b w:val="1"/>
          <w:bCs w:val="1"/>
          <w:color w:val="auto"/>
        </w:rPr>
        <w:t>CLEARDOC, INC. AND SUBSIDIARY</w:t>
      </w:r>
    </w:p>
    <w:p>
      <w:pPr>
        <w:spacing w:after="0" w:line="150" w:lineRule="exact"/>
        <w:rPr>
          <w:sz w:val="20"/>
          <w:szCs w:val="20"/>
          <w:color w:val="auto"/>
        </w:rPr>
      </w:pPr>
    </w:p>
    <w:p>
      <w:pPr>
        <w:jc w:val="center"/>
        <w:ind w:right="2180"/>
        <w:spacing w:after="0"/>
        <w:rPr>
          <w:sz w:val="20"/>
          <w:szCs w:val="20"/>
          <w:color w:val="auto"/>
        </w:rPr>
      </w:pPr>
      <w:r>
        <w:rPr>
          <w:rFonts w:ascii="Times New Roman" w:cs="Times New Roman" w:eastAsia="Times New Roman" w:hAnsi="Times New Roman"/>
          <w:sz w:val="12"/>
          <w:szCs w:val="12"/>
          <w:b w:val="1"/>
          <w:bCs w:val="1"/>
          <w:color w:val="auto"/>
        </w:rPr>
        <w:t>CONSOLIDATED STATEMENT OF CHANGES IN STOCKHOLDERS’ DEFICIT</w:t>
      </w:r>
    </w:p>
    <w:p>
      <w:pPr>
        <w:spacing w:after="0" w:line="154" w:lineRule="exact"/>
        <w:rPr>
          <w:sz w:val="20"/>
          <w:szCs w:val="20"/>
          <w:color w:val="auto"/>
        </w:rPr>
      </w:pPr>
    </w:p>
    <w:p>
      <w:pPr>
        <w:ind w:left="2580"/>
        <w:spacing w:after="0"/>
        <w:rPr>
          <w:sz w:val="20"/>
          <w:szCs w:val="20"/>
          <w:color w:val="auto"/>
        </w:rPr>
      </w:pPr>
      <w:r>
        <w:rPr>
          <w:rFonts w:ascii="Times New Roman" w:cs="Times New Roman" w:eastAsia="Times New Roman" w:hAnsi="Times New Roman"/>
          <w:sz w:val="12"/>
          <w:szCs w:val="12"/>
          <w:color w:val="auto"/>
        </w:rPr>
        <w:t>Year ended December 31, 2022</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24"/>
        </w:trPr>
        <w:tc>
          <w:tcPr>
            <w:tcW w:w="46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780" w:type="dxa"/>
            <w:vAlign w:val="bottom"/>
            <w:tcBorders>
              <w:bottom w:val="single" w:sz="8" w:color="auto"/>
            </w:tcBorders>
            <w:gridSpan w:val="6"/>
          </w:tcPr>
          <w:p>
            <w:pPr>
              <w:ind w:left="360"/>
              <w:spacing w:after="0"/>
              <w:rPr>
                <w:sz w:val="20"/>
                <w:szCs w:val="20"/>
                <w:color w:val="auto"/>
              </w:rPr>
            </w:pPr>
            <w:r>
              <w:rPr>
                <w:rFonts w:ascii="Times New Roman" w:cs="Times New Roman" w:eastAsia="Times New Roman" w:hAnsi="Times New Roman"/>
                <w:sz w:val="10"/>
                <w:szCs w:val="10"/>
                <w:b w:val="1"/>
                <w:bCs w:val="1"/>
                <w:color w:val="auto"/>
              </w:rPr>
              <w:t>Convertible Preferred Stock</w:t>
            </w:r>
          </w:p>
        </w:tc>
        <w:tc>
          <w:tcPr>
            <w:tcW w:w="38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gridSpan w:val="3"/>
          </w:tcPr>
          <w:p>
            <w:pPr>
              <w:jc w:val="right"/>
              <w:ind w:right="180"/>
              <w:spacing w:after="0"/>
              <w:rPr>
                <w:sz w:val="20"/>
                <w:szCs w:val="20"/>
                <w:color w:val="auto"/>
              </w:rPr>
            </w:pPr>
            <w:r>
              <w:rPr>
                <w:rFonts w:ascii="Times New Roman" w:cs="Times New Roman" w:eastAsia="Times New Roman" w:hAnsi="Times New Roman"/>
                <w:sz w:val="10"/>
                <w:szCs w:val="10"/>
                <w:b w:val="1"/>
                <w:bCs w:val="1"/>
                <w:color w:val="auto"/>
                <w:w w:val="96"/>
              </w:rPr>
              <w:t>Additional</w:t>
            </w:r>
          </w:p>
        </w:tc>
        <w:tc>
          <w:tcPr>
            <w:tcW w:w="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gridSpan w:val="3"/>
          </w:tcPr>
          <w:p>
            <w:pPr>
              <w:jc w:val="center"/>
              <w:ind w:right="94"/>
              <w:spacing w:after="0"/>
              <w:rPr>
                <w:sz w:val="20"/>
                <w:szCs w:val="20"/>
                <w:color w:val="auto"/>
              </w:rPr>
            </w:pPr>
            <w:r>
              <w:rPr>
                <w:rFonts w:ascii="Times New Roman" w:cs="Times New Roman" w:eastAsia="Times New Roman" w:hAnsi="Times New Roman"/>
                <w:sz w:val="10"/>
                <w:szCs w:val="10"/>
                <w:b w:val="1"/>
                <w:bCs w:val="1"/>
                <w:color w:val="auto"/>
                <w:w w:val="96"/>
              </w:rPr>
              <w:t>Total</w:t>
            </w:r>
          </w:p>
        </w:tc>
        <w:tc>
          <w:tcPr>
            <w:tcW w:w="0" w:type="dxa"/>
            <w:vAlign w:val="bottom"/>
          </w:tcPr>
          <w:p>
            <w:pPr>
              <w:spacing w:after="0"/>
              <w:rPr>
                <w:sz w:val="1"/>
                <w:szCs w:val="1"/>
                <w:color w:val="auto"/>
              </w:rPr>
            </w:pPr>
          </w:p>
        </w:tc>
      </w:tr>
      <w:tr>
        <w:trPr>
          <w:trHeight w:val="97"/>
        </w:trPr>
        <w:tc>
          <w:tcPr>
            <w:tcW w:w="1220" w:type="dxa"/>
            <w:vAlign w:val="bottom"/>
            <w:gridSpan w:val="4"/>
          </w:tcPr>
          <w:p>
            <w:pPr>
              <w:ind w:left="380"/>
              <w:spacing w:after="0" w:line="97" w:lineRule="exact"/>
              <w:rPr>
                <w:sz w:val="20"/>
                <w:szCs w:val="20"/>
                <w:color w:val="auto"/>
              </w:rPr>
            </w:pPr>
            <w:r>
              <w:rPr>
                <w:rFonts w:ascii="Times New Roman" w:cs="Times New Roman" w:eastAsia="Times New Roman" w:hAnsi="Times New Roman"/>
                <w:sz w:val="10"/>
                <w:szCs w:val="10"/>
                <w:b w:val="1"/>
                <w:bCs w:val="1"/>
                <w:color w:val="auto"/>
              </w:rPr>
              <w:t>Series A</w:t>
            </w:r>
          </w:p>
        </w:tc>
        <w:tc>
          <w:tcPr>
            <w:tcW w:w="1160" w:type="dxa"/>
            <w:vAlign w:val="bottom"/>
            <w:gridSpan w:val="4"/>
          </w:tcPr>
          <w:p>
            <w:pPr>
              <w:jc w:val="right"/>
              <w:ind w:right="360"/>
              <w:spacing w:after="0" w:line="97" w:lineRule="exact"/>
              <w:rPr>
                <w:sz w:val="20"/>
                <w:szCs w:val="20"/>
                <w:color w:val="auto"/>
              </w:rPr>
            </w:pPr>
            <w:r>
              <w:rPr>
                <w:rFonts w:ascii="Times New Roman" w:cs="Times New Roman" w:eastAsia="Times New Roman" w:hAnsi="Times New Roman"/>
                <w:sz w:val="10"/>
                <w:szCs w:val="10"/>
                <w:b w:val="1"/>
                <w:bCs w:val="1"/>
                <w:color w:val="auto"/>
              </w:rPr>
              <w:t>Series Seed-1</w:t>
            </w:r>
          </w:p>
        </w:tc>
        <w:tc>
          <w:tcPr>
            <w:tcW w:w="1200" w:type="dxa"/>
            <w:vAlign w:val="bottom"/>
            <w:gridSpan w:val="4"/>
          </w:tcPr>
          <w:p>
            <w:pPr>
              <w:ind w:left="260"/>
              <w:spacing w:after="0" w:line="97" w:lineRule="exact"/>
              <w:rPr>
                <w:sz w:val="20"/>
                <w:szCs w:val="20"/>
                <w:color w:val="auto"/>
              </w:rPr>
            </w:pPr>
            <w:r>
              <w:rPr>
                <w:rFonts w:ascii="Times New Roman" w:cs="Times New Roman" w:eastAsia="Times New Roman" w:hAnsi="Times New Roman"/>
                <w:sz w:val="10"/>
                <w:szCs w:val="10"/>
                <w:b w:val="1"/>
                <w:bCs w:val="1"/>
                <w:color w:val="auto"/>
              </w:rPr>
              <w:t>Series Seed-2</w:t>
            </w:r>
          </w:p>
        </w:tc>
        <w:tc>
          <w:tcPr>
            <w:tcW w:w="1040" w:type="dxa"/>
            <w:vAlign w:val="bottom"/>
            <w:gridSpan w:val="4"/>
          </w:tcPr>
          <w:p>
            <w:pPr>
              <w:ind w:left="180"/>
              <w:spacing w:after="0" w:line="97" w:lineRule="exact"/>
              <w:rPr>
                <w:sz w:val="20"/>
                <w:szCs w:val="20"/>
                <w:color w:val="auto"/>
              </w:rPr>
            </w:pPr>
            <w:r>
              <w:rPr>
                <w:rFonts w:ascii="Times New Roman" w:cs="Times New Roman" w:eastAsia="Times New Roman" w:hAnsi="Times New Roman"/>
                <w:sz w:val="10"/>
                <w:szCs w:val="10"/>
                <w:b w:val="1"/>
                <w:bCs w:val="1"/>
                <w:color w:val="auto"/>
              </w:rPr>
              <w:t>Series Seed-3</w:t>
            </w:r>
          </w:p>
        </w:tc>
        <w:tc>
          <w:tcPr>
            <w:tcW w:w="860" w:type="dxa"/>
            <w:vAlign w:val="bottom"/>
            <w:gridSpan w:val="3"/>
          </w:tcPr>
          <w:p>
            <w:pPr>
              <w:jc w:val="right"/>
              <w:ind w:right="113"/>
              <w:spacing w:after="0" w:line="97" w:lineRule="exact"/>
              <w:rPr>
                <w:sz w:val="20"/>
                <w:szCs w:val="20"/>
                <w:color w:val="auto"/>
              </w:rPr>
            </w:pPr>
            <w:r>
              <w:rPr>
                <w:rFonts w:ascii="Times New Roman" w:cs="Times New Roman" w:eastAsia="Times New Roman" w:hAnsi="Times New Roman"/>
                <w:sz w:val="10"/>
                <w:szCs w:val="10"/>
                <w:b w:val="1"/>
                <w:bCs w:val="1"/>
                <w:color w:val="auto"/>
              </w:rPr>
              <w:t>Series Seed-4</w:t>
            </w:r>
          </w:p>
        </w:tc>
        <w:tc>
          <w:tcPr>
            <w:tcW w:w="120" w:type="dxa"/>
            <w:vAlign w:val="bottom"/>
          </w:tcPr>
          <w:p>
            <w:pPr>
              <w:spacing w:after="0"/>
              <w:rPr>
                <w:sz w:val="8"/>
                <w:szCs w:val="8"/>
                <w:color w:val="auto"/>
              </w:rPr>
            </w:pPr>
          </w:p>
        </w:tc>
        <w:tc>
          <w:tcPr>
            <w:tcW w:w="780" w:type="dxa"/>
            <w:vAlign w:val="bottom"/>
            <w:gridSpan w:val="3"/>
          </w:tcPr>
          <w:p>
            <w:pPr>
              <w:ind w:left="120"/>
              <w:spacing w:after="0" w:line="97" w:lineRule="exact"/>
              <w:rPr>
                <w:sz w:val="20"/>
                <w:szCs w:val="20"/>
                <w:color w:val="auto"/>
              </w:rPr>
            </w:pPr>
            <w:r>
              <w:rPr>
                <w:rFonts w:ascii="Times New Roman" w:cs="Times New Roman" w:eastAsia="Times New Roman" w:hAnsi="Times New Roman"/>
                <w:sz w:val="10"/>
                <w:szCs w:val="10"/>
                <w:b w:val="1"/>
                <w:bCs w:val="1"/>
                <w:color w:val="auto"/>
                <w:w w:val="97"/>
              </w:rPr>
              <w:t>Common Stock</w:t>
            </w: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gridSpan w:val="2"/>
          </w:tcPr>
          <w:p>
            <w:pPr>
              <w:ind w:left="20"/>
              <w:spacing w:after="0" w:line="97" w:lineRule="exact"/>
              <w:rPr>
                <w:sz w:val="20"/>
                <w:szCs w:val="20"/>
                <w:color w:val="auto"/>
              </w:rPr>
            </w:pPr>
            <w:r>
              <w:rPr>
                <w:rFonts w:ascii="Times New Roman" w:cs="Times New Roman" w:eastAsia="Times New Roman" w:hAnsi="Times New Roman"/>
                <w:sz w:val="10"/>
                <w:szCs w:val="10"/>
                <w:b w:val="1"/>
                <w:bCs w:val="1"/>
                <w:color w:val="auto"/>
              </w:rPr>
              <w:t>Paid in</w:t>
            </w:r>
          </w:p>
        </w:tc>
        <w:tc>
          <w:tcPr>
            <w:tcW w:w="60" w:type="dxa"/>
            <w:vAlign w:val="bottom"/>
          </w:tcPr>
          <w:p>
            <w:pPr>
              <w:spacing w:after="0"/>
              <w:rPr>
                <w:sz w:val="8"/>
                <w:szCs w:val="8"/>
                <w:color w:val="auto"/>
              </w:rPr>
            </w:pPr>
          </w:p>
        </w:tc>
        <w:tc>
          <w:tcPr>
            <w:tcW w:w="820" w:type="dxa"/>
            <w:vAlign w:val="bottom"/>
            <w:gridSpan w:val="2"/>
          </w:tcPr>
          <w:p>
            <w:pPr>
              <w:jc w:val="right"/>
              <w:ind w:right="198"/>
              <w:spacing w:after="0" w:line="97" w:lineRule="exact"/>
              <w:rPr>
                <w:sz w:val="20"/>
                <w:szCs w:val="20"/>
                <w:color w:val="auto"/>
              </w:rPr>
            </w:pPr>
            <w:r>
              <w:rPr>
                <w:rFonts w:ascii="Times New Roman" w:cs="Times New Roman" w:eastAsia="Times New Roman" w:hAnsi="Times New Roman"/>
                <w:sz w:val="10"/>
                <w:szCs w:val="10"/>
                <w:b w:val="1"/>
                <w:bCs w:val="1"/>
                <w:color w:val="auto"/>
                <w:w w:val="98"/>
              </w:rPr>
              <w:t>Accumulated</w:t>
            </w:r>
          </w:p>
        </w:tc>
        <w:tc>
          <w:tcPr>
            <w:tcW w:w="60" w:type="dxa"/>
            <w:vAlign w:val="bottom"/>
          </w:tcPr>
          <w:p>
            <w:pPr>
              <w:spacing w:after="0"/>
              <w:rPr>
                <w:sz w:val="8"/>
                <w:szCs w:val="8"/>
                <w:color w:val="auto"/>
              </w:rPr>
            </w:pPr>
          </w:p>
        </w:tc>
        <w:tc>
          <w:tcPr>
            <w:tcW w:w="680" w:type="dxa"/>
            <w:vAlign w:val="bottom"/>
            <w:gridSpan w:val="3"/>
          </w:tcPr>
          <w:p>
            <w:pPr>
              <w:jc w:val="center"/>
              <w:ind w:right="94"/>
              <w:spacing w:after="0" w:line="97" w:lineRule="exact"/>
              <w:rPr>
                <w:sz w:val="20"/>
                <w:szCs w:val="20"/>
                <w:color w:val="auto"/>
              </w:rPr>
            </w:pPr>
            <w:r>
              <w:rPr>
                <w:rFonts w:ascii="Times New Roman" w:cs="Times New Roman" w:eastAsia="Times New Roman" w:hAnsi="Times New Roman"/>
                <w:sz w:val="10"/>
                <w:szCs w:val="10"/>
                <w:b w:val="1"/>
                <w:bCs w:val="1"/>
                <w:color w:val="auto"/>
                <w:w w:val="98"/>
              </w:rPr>
              <w:t>Stockholders’</w:t>
            </w:r>
          </w:p>
        </w:tc>
        <w:tc>
          <w:tcPr>
            <w:tcW w:w="0" w:type="dxa"/>
            <w:vAlign w:val="bottom"/>
          </w:tcPr>
          <w:p>
            <w:pPr>
              <w:spacing w:after="0"/>
              <w:rPr>
                <w:sz w:val="1"/>
                <w:szCs w:val="1"/>
                <w:color w:val="auto"/>
              </w:rPr>
            </w:pPr>
          </w:p>
        </w:tc>
      </w:tr>
      <w:tr>
        <w:trPr>
          <w:trHeight w:val="97"/>
        </w:trPr>
        <w:tc>
          <w:tcPr>
            <w:tcW w:w="580" w:type="dxa"/>
            <w:vAlign w:val="bottom"/>
            <w:tcBorders>
              <w:top w:val="single" w:sz="8" w:color="auto"/>
            </w:tcBorders>
            <w:gridSpan w:val="2"/>
          </w:tcPr>
          <w:p>
            <w:pPr>
              <w:ind w:left="100"/>
              <w:spacing w:after="0" w:line="97" w:lineRule="exact"/>
              <w:rPr>
                <w:sz w:val="20"/>
                <w:szCs w:val="20"/>
                <w:color w:val="auto"/>
              </w:rPr>
            </w:pPr>
            <w:r>
              <w:rPr>
                <w:rFonts w:ascii="Times New Roman" w:cs="Times New Roman" w:eastAsia="Times New Roman" w:hAnsi="Times New Roman"/>
                <w:sz w:val="10"/>
                <w:szCs w:val="10"/>
                <w:b w:val="1"/>
                <w:bCs w:val="1"/>
                <w:color w:val="auto"/>
              </w:rPr>
              <w:t>Shares</w:t>
            </w:r>
          </w:p>
        </w:tc>
        <w:tc>
          <w:tcPr>
            <w:tcW w:w="520" w:type="dxa"/>
            <w:vAlign w:val="bottom"/>
            <w:tcBorders>
              <w:top w:val="single" w:sz="8" w:color="auto"/>
            </w:tcBorders>
          </w:tcPr>
          <w:p>
            <w:pPr>
              <w:jc w:val="right"/>
              <w:ind w:right="73"/>
              <w:spacing w:after="0" w:line="97" w:lineRule="exact"/>
              <w:rPr>
                <w:sz w:val="20"/>
                <w:szCs w:val="20"/>
                <w:color w:val="auto"/>
              </w:rPr>
            </w:pPr>
            <w:r>
              <w:rPr>
                <w:rFonts w:ascii="Times New Roman" w:cs="Times New Roman" w:eastAsia="Times New Roman" w:hAnsi="Times New Roman"/>
                <w:sz w:val="10"/>
                <w:szCs w:val="10"/>
                <w:b w:val="1"/>
                <w:bCs w:val="1"/>
                <w:color w:val="auto"/>
              </w:rPr>
              <w:t>Dollars</w:t>
            </w:r>
          </w:p>
        </w:tc>
        <w:tc>
          <w:tcPr>
            <w:tcW w:w="120" w:type="dxa"/>
            <w:vAlign w:val="bottom"/>
          </w:tcPr>
          <w:p>
            <w:pPr>
              <w:spacing w:after="0"/>
              <w:rPr>
                <w:sz w:val="8"/>
                <w:szCs w:val="8"/>
                <w:color w:val="auto"/>
              </w:rPr>
            </w:pPr>
          </w:p>
        </w:tc>
        <w:tc>
          <w:tcPr>
            <w:tcW w:w="580" w:type="dxa"/>
            <w:vAlign w:val="bottom"/>
            <w:tcBorders>
              <w:top w:val="single" w:sz="8" w:color="auto"/>
            </w:tcBorders>
            <w:gridSpan w:val="2"/>
          </w:tcPr>
          <w:p>
            <w:pPr>
              <w:jc w:val="right"/>
              <w:ind w:right="220"/>
              <w:spacing w:after="0" w:line="97" w:lineRule="exact"/>
              <w:rPr>
                <w:sz w:val="20"/>
                <w:szCs w:val="20"/>
                <w:color w:val="auto"/>
              </w:rPr>
            </w:pPr>
            <w:r>
              <w:rPr>
                <w:rFonts w:ascii="Times New Roman" w:cs="Times New Roman" w:eastAsia="Times New Roman" w:hAnsi="Times New Roman"/>
                <w:sz w:val="10"/>
                <w:szCs w:val="10"/>
                <w:b w:val="1"/>
                <w:bCs w:val="1"/>
                <w:color w:val="auto"/>
              </w:rPr>
              <w:t>Shares</w:t>
            </w:r>
          </w:p>
        </w:tc>
        <w:tc>
          <w:tcPr>
            <w:tcW w:w="460" w:type="dxa"/>
            <w:vAlign w:val="bottom"/>
            <w:tcBorders>
              <w:top w:val="single" w:sz="8" w:color="auto"/>
            </w:tcBorders>
          </w:tcPr>
          <w:p>
            <w:pPr>
              <w:jc w:val="right"/>
              <w:ind w:right="33"/>
              <w:spacing w:after="0" w:line="97" w:lineRule="exact"/>
              <w:rPr>
                <w:sz w:val="20"/>
                <w:szCs w:val="20"/>
                <w:color w:val="auto"/>
              </w:rPr>
            </w:pPr>
            <w:r>
              <w:rPr>
                <w:rFonts w:ascii="Times New Roman" w:cs="Times New Roman" w:eastAsia="Times New Roman" w:hAnsi="Times New Roman"/>
                <w:sz w:val="10"/>
                <w:szCs w:val="10"/>
                <w:b w:val="1"/>
                <w:bCs w:val="1"/>
                <w:color w:val="auto"/>
              </w:rPr>
              <w:t>Dollars</w:t>
            </w:r>
          </w:p>
        </w:tc>
        <w:tc>
          <w:tcPr>
            <w:tcW w:w="120" w:type="dxa"/>
            <w:vAlign w:val="bottom"/>
          </w:tcPr>
          <w:p>
            <w:pPr>
              <w:spacing w:after="0"/>
              <w:rPr>
                <w:sz w:val="8"/>
                <w:szCs w:val="8"/>
                <w:color w:val="auto"/>
              </w:rPr>
            </w:pPr>
          </w:p>
        </w:tc>
        <w:tc>
          <w:tcPr>
            <w:tcW w:w="600" w:type="dxa"/>
            <w:vAlign w:val="bottom"/>
            <w:tcBorders>
              <w:top w:val="single" w:sz="8" w:color="auto"/>
            </w:tcBorders>
            <w:gridSpan w:val="2"/>
          </w:tcPr>
          <w:p>
            <w:pPr>
              <w:ind w:left="100"/>
              <w:spacing w:after="0" w:line="97" w:lineRule="exact"/>
              <w:rPr>
                <w:sz w:val="20"/>
                <w:szCs w:val="20"/>
                <w:color w:val="auto"/>
              </w:rPr>
            </w:pPr>
            <w:r>
              <w:rPr>
                <w:rFonts w:ascii="Times New Roman" w:cs="Times New Roman" w:eastAsia="Times New Roman" w:hAnsi="Times New Roman"/>
                <w:sz w:val="10"/>
                <w:szCs w:val="10"/>
                <w:b w:val="1"/>
                <w:bCs w:val="1"/>
                <w:color w:val="auto"/>
              </w:rPr>
              <w:t>Shares</w:t>
            </w:r>
          </w:p>
        </w:tc>
        <w:tc>
          <w:tcPr>
            <w:tcW w:w="480" w:type="dxa"/>
            <w:vAlign w:val="bottom"/>
            <w:tcBorders>
              <w:top w:val="single" w:sz="8" w:color="auto"/>
            </w:tcBorders>
          </w:tcPr>
          <w:p>
            <w:pPr>
              <w:jc w:val="right"/>
              <w:ind w:right="51"/>
              <w:spacing w:after="0" w:line="97" w:lineRule="exact"/>
              <w:rPr>
                <w:sz w:val="20"/>
                <w:szCs w:val="20"/>
                <w:color w:val="auto"/>
              </w:rPr>
            </w:pPr>
            <w:r>
              <w:rPr>
                <w:rFonts w:ascii="Times New Roman" w:cs="Times New Roman" w:eastAsia="Times New Roman" w:hAnsi="Times New Roman"/>
                <w:sz w:val="10"/>
                <w:szCs w:val="10"/>
                <w:b w:val="1"/>
                <w:bCs w:val="1"/>
                <w:color w:val="auto"/>
              </w:rPr>
              <w:t>Dollars</w:t>
            </w:r>
          </w:p>
        </w:tc>
        <w:tc>
          <w:tcPr>
            <w:tcW w:w="120" w:type="dxa"/>
            <w:vAlign w:val="bottom"/>
          </w:tcPr>
          <w:p>
            <w:pPr>
              <w:spacing w:after="0"/>
              <w:rPr>
                <w:sz w:val="8"/>
                <w:szCs w:val="8"/>
                <w:color w:val="auto"/>
              </w:rPr>
            </w:pPr>
          </w:p>
        </w:tc>
        <w:tc>
          <w:tcPr>
            <w:tcW w:w="520" w:type="dxa"/>
            <w:vAlign w:val="bottom"/>
            <w:tcBorders>
              <w:top w:val="single" w:sz="8" w:color="auto"/>
            </w:tcBorders>
            <w:gridSpan w:val="2"/>
          </w:tcPr>
          <w:p>
            <w:pPr>
              <w:jc w:val="right"/>
              <w:ind w:right="176"/>
              <w:spacing w:after="0" w:line="97" w:lineRule="exact"/>
              <w:rPr>
                <w:sz w:val="20"/>
                <w:szCs w:val="20"/>
                <w:color w:val="auto"/>
              </w:rPr>
            </w:pPr>
            <w:r>
              <w:rPr>
                <w:rFonts w:ascii="Times New Roman" w:cs="Times New Roman" w:eastAsia="Times New Roman" w:hAnsi="Times New Roman"/>
                <w:sz w:val="10"/>
                <w:szCs w:val="10"/>
                <w:b w:val="1"/>
                <w:bCs w:val="1"/>
                <w:color w:val="auto"/>
              </w:rPr>
              <w:t>Shares</w:t>
            </w:r>
          </w:p>
        </w:tc>
        <w:tc>
          <w:tcPr>
            <w:tcW w:w="400" w:type="dxa"/>
            <w:vAlign w:val="bottom"/>
            <w:tcBorders>
              <w:top w:val="single" w:sz="8" w:color="auto"/>
            </w:tcBorders>
          </w:tcPr>
          <w:p>
            <w:pPr>
              <w:jc w:val="right"/>
              <w:ind w:right="13"/>
              <w:spacing w:after="0" w:line="97" w:lineRule="exact"/>
              <w:rPr>
                <w:sz w:val="20"/>
                <w:szCs w:val="20"/>
                <w:color w:val="auto"/>
              </w:rPr>
            </w:pPr>
            <w:r>
              <w:rPr>
                <w:rFonts w:ascii="Times New Roman" w:cs="Times New Roman" w:eastAsia="Times New Roman" w:hAnsi="Times New Roman"/>
                <w:sz w:val="10"/>
                <w:szCs w:val="10"/>
                <w:b w:val="1"/>
                <w:bCs w:val="1"/>
                <w:color w:val="auto"/>
              </w:rPr>
              <w:t>Dollars</w:t>
            </w:r>
          </w:p>
        </w:tc>
        <w:tc>
          <w:tcPr>
            <w:tcW w:w="120" w:type="dxa"/>
            <w:vAlign w:val="bottom"/>
          </w:tcPr>
          <w:p>
            <w:pPr>
              <w:spacing w:after="0"/>
              <w:rPr>
                <w:sz w:val="8"/>
                <w:szCs w:val="8"/>
                <w:color w:val="auto"/>
              </w:rPr>
            </w:pPr>
          </w:p>
        </w:tc>
        <w:tc>
          <w:tcPr>
            <w:tcW w:w="460" w:type="dxa"/>
            <w:vAlign w:val="bottom"/>
            <w:tcBorders>
              <w:top w:val="single" w:sz="8" w:color="auto"/>
            </w:tcBorders>
            <w:gridSpan w:val="2"/>
          </w:tcPr>
          <w:p>
            <w:pPr>
              <w:ind w:left="20"/>
              <w:spacing w:after="0" w:line="97" w:lineRule="exact"/>
              <w:rPr>
                <w:sz w:val="20"/>
                <w:szCs w:val="20"/>
                <w:color w:val="auto"/>
              </w:rPr>
            </w:pPr>
            <w:r>
              <w:rPr>
                <w:rFonts w:ascii="Times New Roman" w:cs="Times New Roman" w:eastAsia="Times New Roman" w:hAnsi="Times New Roman"/>
                <w:sz w:val="10"/>
                <w:szCs w:val="10"/>
                <w:b w:val="1"/>
                <w:bCs w:val="1"/>
                <w:color w:val="auto"/>
              </w:rPr>
              <w:t>Shares</w:t>
            </w:r>
          </w:p>
        </w:tc>
        <w:tc>
          <w:tcPr>
            <w:tcW w:w="400" w:type="dxa"/>
            <w:vAlign w:val="bottom"/>
            <w:tcBorders>
              <w:top w:val="single" w:sz="8" w:color="auto"/>
            </w:tcBorders>
          </w:tcPr>
          <w:p>
            <w:pPr>
              <w:jc w:val="right"/>
              <w:ind w:right="13"/>
              <w:spacing w:after="0" w:line="97" w:lineRule="exact"/>
              <w:rPr>
                <w:sz w:val="20"/>
                <w:szCs w:val="20"/>
                <w:color w:val="auto"/>
              </w:rPr>
            </w:pPr>
            <w:r>
              <w:rPr>
                <w:rFonts w:ascii="Times New Roman" w:cs="Times New Roman" w:eastAsia="Times New Roman" w:hAnsi="Times New Roman"/>
                <w:sz w:val="10"/>
                <w:szCs w:val="10"/>
                <w:b w:val="1"/>
                <w:bCs w:val="1"/>
                <w:color w:val="auto"/>
              </w:rPr>
              <w:t>Dollars</w:t>
            </w:r>
          </w:p>
        </w:tc>
        <w:tc>
          <w:tcPr>
            <w:tcW w:w="120" w:type="dxa"/>
            <w:vAlign w:val="bottom"/>
          </w:tcPr>
          <w:p>
            <w:pPr>
              <w:spacing w:after="0"/>
              <w:rPr>
                <w:sz w:val="8"/>
                <w:szCs w:val="8"/>
                <w:color w:val="auto"/>
              </w:rPr>
            </w:pPr>
          </w:p>
        </w:tc>
        <w:tc>
          <w:tcPr>
            <w:tcW w:w="580" w:type="dxa"/>
            <w:vAlign w:val="bottom"/>
            <w:tcBorders>
              <w:top w:val="single" w:sz="8" w:color="auto"/>
            </w:tcBorders>
            <w:gridSpan w:val="2"/>
          </w:tcPr>
          <w:p>
            <w:pPr>
              <w:ind w:left="80"/>
              <w:spacing w:after="0" w:line="97" w:lineRule="exact"/>
              <w:rPr>
                <w:sz w:val="20"/>
                <w:szCs w:val="20"/>
                <w:color w:val="auto"/>
              </w:rPr>
            </w:pPr>
            <w:r>
              <w:rPr>
                <w:rFonts w:ascii="Times New Roman" w:cs="Times New Roman" w:eastAsia="Times New Roman" w:hAnsi="Times New Roman"/>
                <w:sz w:val="10"/>
                <w:szCs w:val="10"/>
                <w:b w:val="1"/>
                <w:bCs w:val="1"/>
                <w:color w:val="auto"/>
              </w:rPr>
              <w:t>Shares</w:t>
            </w:r>
          </w:p>
        </w:tc>
        <w:tc>
          <w:tcPr>
            <w:tcW w:w="300" w:type="dxa"/>
            <w:vAlign w:val="bottom"/>
            <w:tcBorders>
              <w:top w:val="single" w:sz="8" w:color="auto"/>
            </w:tcBorders>
            <w:gridSpan w:val="2"/>
          </w:tcPr>
          <w:p>
            <w:pPr>
              <w:spacing w:after="0" w:line="97" w:lineRule="exact"/>
              <w:rPr>
                <w:sz w:val="20"/>
                <w:szCs w:val="20"/>
                <w:color w:val="auto"/>
              </w:rPr>
            </w:pPr>
            <w:r>
              <w:rPr>
                <w:rFonts w:ascii="Times New Roman" w:cs="Times New Roman" w:eastAsia="Times New Roman" w:hAnsi="Times New Roman"/>
                <w:sz w:val="10"/>
                <w:szCs w:val="10"/>
                <w:b w:val="1"/>
                <w:bCs w:val="1"/>
                <w:color w:val="auto"/>
                <w:w w:val="89"/>
              </w:rPr>
              <w:t>Dollars</w:t>
            </w: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gridSpan w:val="2"/>
          </w:tcPr>
          <w:p>
            <w:pPr>
              <w:ind w:left="20"/>
              <w:spacing w:after="0" w:line="97" w:lineRule="exact"/>
              <w:rPr>
                <w:sz w:val="20"/>
                <w:szCs w:val="20"/>
                <w:color w:val="auto"/>
              </w:rPr>
            </w:pPr>
            <w:r>
              <w:rPr>
                <w:rFonts w:ascii="Times New Roman" w:cs="Times New Roman" w:eastAsia="Times New Roman" w:hAnsi="Times New Roman"/>
                <w:sz w:val="10"/>
                <w:szCs w:val="10"/>
                <w:b w:val="1"/>
                <w:bCs w:val="1"/>
                <w:color w:val="auto"/>
              </w:rPr>
              <w:t>Capital</w:t>
            </w:r>
          </w:p>
        </w:tc>
        <w:tc>
          <w:tcPr>
            <w:tcW w:w="60" w:type="dxa"/>
            <w:vAlign w:val="bottom"/>
          </w:tcPr>
          <w:p>
            <w:pPr>
              <w:spacing w:after="0"/>
              <w:rPr>
                <w:sz w:val="8"/>
                <w:szCs w:val="8"/>
                <w:color w:val="auto"/>
              </w:rPr>
            </w:pPr>
          </w:p>
        </w:tc>
        <w:tc>
          <w:tcPr>
            <w:tcW w:w="820" w:type="dxa"/>
            <w:vAlign w:val="bottom"/>
            <w:gridSpan w:val="2"/>
          </w:tcPr>
          <w:p>
            <w:pPr>
              <w:jc w:val="right"/>
              <w:ind w:right="338"/>
              <w:spacing w:after="0" w:line="97" w:lineRule="exact"/>
              <w:rPr>
                <w:sz w:val="20"/>
                <w:szCs w:val="20"/>
                <w:color w:val="auto"/>
              </w:rPr>
            </w:pPr>
            <w:r>
              <w:rPr>
                <w:rFonts w:ascii="Times New Roman" w:cs="Times New Roman" w:eastAsia="Times New Roman" w:hAnsi="Times New Roman"/>
                <w:sz w:val="10"/>
                <w:szCs w:val="10"/>
                <w:b w:val="1"/>
                <w:bCs w:val="1"/>
                <w:color w:val="auto"/>
              </w:rPr>
              <w:t>Deficit</w:t>
            </w:r>
          </w:p>
        </w:tc>
        <w:tc>
          <w:tcPr>
            <w:tcW w:w="740" w:type="dxa"/>
            <w:vAlign w:val="bottom"/>
            <w:gridSpan w:val="4"/>
          </w:tcPr>
          <w:p>
            <w:pPr>
              <w:jc w:val="center"/>
              <w:ind w:right="34"/>
              <w:spacing w:after="0" w:line="97" w:lineRule="exact"/>
              <w:rPr>
                <w:sz w:val="20"/>
                <w:szCs w:val="20"/>
                <w:color w:val="auto"/>
              </w:rPr>
            </w:pPr>
            <w:r>
              <w:rPr>
                <w:rFonts w:ascii="Times New Roman" w:cs="Times New Roman" w:eastAsia="Times New Roman" w:hAnsi="Times New Roman"/>
                <w:sz w:val="10"/>
                <w:szCs w:val="10"/>
                <w:b w:val="1"/>
                <w:bCs w:val="1"/>
                <w:color w:val="auto"/>
                <w:w w:val="93"/>
              </w:rPr>
              <w:t>Equity (Deficit)</w:t>
            </w:r>
          </w:p>
        </w:tc>
        <w:tc>
          <w:tcPr>
            <w:tcW w:w="0" w:type="dxa"/>
            <w:vAlign w:val="bottom"/>
          </w:tcPr>
          <w:p>
            <w:pPr>
              <w:spacing w:after="0"/>
              <w:rPr>
                <w:sz w:val="1"/>
                <w:szCs w:val="1"/>
                <w:color w:val="auto"/>
              </w:rPr>
            </w:pPr>
          </w:p>
        </w:tc>
      </w:tr>
      <w:tr>
        <w:trPr>
          <w:trHeight w:val="74"/>
        </w:trPr>
        <w:tc>
          <w:tcPr>
            <w:tcW w:w="460" w:type="dxa"/>
            <w:vAlign w:val="bottom"/>
            <w:tcBorders>
              <w:top w:val="single" w:sz="8" w:color="auto"/>
            </w:tcBorders>
          </w:tcPr>
          <w:p>
            <w:pPr>
              <w:jc w:val="right"/>
              <w:spacing w:after="0" w:line="74" w:lineRule="exact"/>
              <w:rPr>
                <w:sz w:val="20"/>
                <w:szCs w:val="20"/>
                <w:color w:val="auto"/>
              </w:rPr>
            </w:pPr>
            <w:r>
              <w:rPr>
                <w:rFonts w:ascii="Times New Roman" w:cs="Times New Roman" w:eastAsia="Times New Roman" w:hAnsi="Times New Roman"/>
                <w:sz w:val="8"/>
                <w:szCs w:val="8"/>
                <w:color w:val="auto"/>
              </w:rPr>
              <w:t>2,415,046</w:t>
            </w:r>
          </w:p>
        </w:tc>
        <w:tc>
          <w:tcPr>
            <w:tcW w:w="120" w:type="dxa"/>
            <w:vAlign w:val="bottom"/>
          </w:tcPr>
          <w:p>
            <w:pPr>
              <w:spacing w:after="0"/>
              <w:rPr>
                <w:sz w:val="6"/>
                <w:szCs w:val="6"/>
                <w:color w:val="auto"/>
              </w:rPr>
            </w:pPr>
          </w:p>
        </w:tc>
        <w:tc>
          <w:tcPr>
            <w:tcW w:w="520" w:type="dxa"/>
            <w:vAlign w:val="bottom"/>
            <w:tcBorders>
              <w:top w:val="single" w:sz="8" w:color="auto"/>
            </w:tcBorders>
          </w:tcPr>
          <w:p>
            <w:pPr>
              <w:jc w:val="right"/>
              <w:spacing w:after="0" w:line="74" w:lineRule="exact"/>
              <w:rPr>
                <w:sz w:val="20"/>
                <w:szCs w:val="20"/>
                <w:color w:val="auto"/>
              </w:rPr>
            </w:pPr>
            <w:r>
              <w:rPr>
                <w:rFonts w:ascii="Times New Roman" w:cs="Times New Roman" w:eastAsia="Times New Roman" w:hAnsi="Times New Roman"/>
                <w:sz w:val="8"/>
                <w:szCs w:val="8"/>
                <w:color w:val="auto"/>
              </w:rPr>
              <w:t>$ 18,900,800</w:t>
            </w:r>
          </w:p>
        </w:tc>
        <w:tc>
          <w:tcPr>
            <w:tcW w:w="120" w:type="dxa"/>
            <w:vAlign w:val="bottom"/>
          </w:tcPr>
          <w:p>
            <w:pPr>
              <w:spacing w:after="0"/>
              <w:rPr>
                <w:sz w:val="6"/>
                <w:szCs w:val="6"/>
                <w:color w:val="auto"/>
              </w:rPr>
            </w:pPr>
          </w:p>
        </w:tc>
        <w:tc>
          <w:tcPr>
            <w:tcW w:w="440" w:type="dxa"/>
            <w:vAlign w:val="bottom"/>
            <w:tcBorders>
              <w:top w:val="single" w:sz="8" w:color="auto"/>
            </w:tcBorders>
          </w:tcPr>
          <w:p>
            <w:pPr>
              <w:jc w:val="right"/>
              <w:spacing w:after="0" w:line="74" w:lineRule="exact"/>
              <w:rPr>
                <w:sz w:val="20"/>
                <w:szCs w:val="20"/>
                <w:color w:val="auto"/>
              </w:rPr>
            </w:pPr>
            <w:r>
              <w:rPr>
                <w:rFonts w:ascii="Times New Roman" w:cs="Times New Roman" w:eastAsia="Times New Roman" w:hAnsi="Times New Roman"/>
                <w:sz w:val="8"/>
                <w:szCs w:val="8"/>
                <w:color w:val="auto"/>
              </w:rPr>
              <w:t>1,451,191</w:t>
            </w:r>
          </w:p>
        </w:tc>
        <w:tc>
          <w:tcPr>
            <w:tcW w:w="140" w:type="dxa"/>
            <w:vAlign w:val="bottom"/>
          </w:tcPr>
          <w:p>
            <w:pPr>
              <w:spacing w:after="0"/>
              <w:rPr>
                <w:sz w:val="6"/>
                <w:szCs w:val="6"/>
                <w:color w:val="auto"/>
              </w:rPr>
            </w:pPr>
          </w:p>
        </w:tc>
        <w:tc>
          <w:tcPr>
            <w:tcW w:w="460" w:type="dxa"/>
            <w:vAlign w:val="bottom"/>
            <w:tcBorders>
              <w:top w:val="single" w:sz="8" w:color="auto"/>
            </w:tcBorders>
          </w:tcPr>
          <w:p>
            <w:pPr>
              <w:jc w:val="right"/>
              <w:spacing w:after="0" w:line="74" w:lineRule="exact"/>
              <w:rPr>
                <w:sz w:val="20"/>
                <w:szCs w:val="20"/>
                <w:color w:val="auto"/>
              </w:rPr>
            </w:pPr>
            <w:r>
              <w:rPr>
                <w:rFonts w:ascii="Times New Roman" w:cs="Times New Roman" w:eastAsia="Times New Roman" w:hAnsi="Times New Roman"/>
                <w:sz w:val="8"/>
                <w:szCs w:val="8"/>
                <w:color w:val="auto"/>
              </w:rPr>
              <w:t>$ 2,412,888</w:t>
            </w:r>
          </w:p>
        </w:tc>
        <w:tc>
          <w:tcPr>
            <w:tcW w:w="120" w:type="dxa"/>
            <w:vAlign w:val="bottom"/>
          </w:tcPr>
          <w:p>
            <w:pPr>
              <w:spacing w:after="0"/>
              <w:rPr>
                <w:sz w:val="6"/>
                <w:szCs w:val="6"/>
                <w:color w:val="auto"/>
              </w:rPr>
            </w:pPr>
          </w:p>
        </w:tc>
        <w:tc>
          <w:tcPr>
            <w:tcW w:w="480" w:type="dxa"/>
            <w:vAlign w:val="bottom"/>
            <w:tcBorders>
              <w:top w:val="single" w:sz="8" w:color="auto"/>
            </w:tcBorders>
          </w:tcPr>
          <w:p>
            <w:pPr>
              <w:jc w:val="right"/>
              <w:spacing w:after="0" w:line="74" w:lineRule="exact"/>
              <w:rPr>
                <w:sz w:val="20"/>
                <w:szCs w:val="20"/>
                <w:color w:val="auto"/>
              </w:rPr>
            </w:pPr>
            <w:r>
              <w:rPr>
                <w:rFonts w:ascii="Times New Roman" w:cs="Times New Roman" w:eastAsia="Times New Roman" w:hAnsi="Times New Roman"/>
                <w:sz w:val="8"/>
                <w:szCs w:val="8"/>
                <w:color w:val="auto"/>
              </w:rPr>
              <w:t>1,121,610</w:t>
            </w:r>
          </w:p>
        </w:tc>
        <w:tc>
          <w:tcPr>
            <w:tcW w:w="120" w:type="dxa"/>
            <w:vAlign w:val="bottom"/>
          </w:tcPr>
          <w:p>
            <w:pPr>
              <w:spacing w:after="0"/>
              <w:rPr>
                <w:sz w:val="6"/>
                <w:szCs w:val="6"/>
                <w:color w:val="auto"/>
              </w:rPr>
            </w:pPr>
          </w:p>
        </w:tc>
        <w:tc>
          <w:tcPr>
            <w:tcW w:w="480" w:type="dxa"/>
            <w:vAlign w:val="bottom"/>
            <w:tcBorders>
              <w:top w:val="single" w:sz="8" w:color="auto"/>
            </w:tcBorders>
          </w:tcPr>
          <w:p>
            <w:pPr>
              <w:jc w:val="right"/>
              <w:spacing w:after="0" w:line="74" w:lineRule="exact"/>
              <w:rPr>
                <w:sz w:val="20"/>
                <w:szCs w:val="20"/>
                <w:color w:val="auto"/>
              </w:rPr>
            </w:pPr>
            <w:r>
              <w:rPr>
                <w:rFonts w:ascii="Times New Roman" w:cs="Times New Roman" w:eastAsia="Times New Roman" w:hAnsi="Times New Roman"/>
                <w:sz w:val="8"/>
                <w:szCs w:val="8"/>
                <w:color w:val="auto"/>
              </w:rPr>
              <w:t>$ 1,074,097</w:t>
            </w:r>
          </w:p>
        </w:tc>
        <w:tc>
          <w:tcPr>
            <w:tcW w:w="120" w:type="dxa"/>
            <w:vAlign w:val="bottom"/>
          </w:tcPr>
          <w:p>
            <w:pPr>
              <w:spacing w:after="0"/>
              <w:rPr>
                <w:sz w:val="6"/>
                <w:szCs w:val="6"/>
                <w:color w:val="auto"/>
              </w:rPr>
            </w:pPr>
          </w:p>
        </w:tc>
        <w:tc>
          <w:tcPr>
            <w:tcW w:w="380" w:type="dxa"/>
            <w:vAlign w:val="bottom"/>
            <w:tcBorders>
              <w:top w:val="single" w:sz="8" w:color="auto"/>
            </w:tcBorders>
          </w:tcPr>
          <w:p>
            <w:pPr>
              <w:jc w:val="right"/>
              <w:spacing w:after="0" w:line="74" w:lineRule="exact"/>
              <w:rPr>
                <w:sz w:val="20"/>
                <w:szCs w:val="20"/>
                <w:color w:val="auto"/>
              </w:rPr>
            </w:pPr>
            <w:r>
              <w:rPr>
                <w:rFonts w:ascii="Times New Roman" w:cs="Times New Roman" w:eastAsia="Times New Roman" w:hAnsi="Times New Roman"/>
                <w:sz w:val="8"/>
                <w:szCs w:val="8"/>
                <w:color w:val="auto"/>
              </w:rPr>
              <w:t>519,963</w:t>
            </w:r>
          </w:p>
        </w:tc>
        <w:tc>
          <w:tcPr>
            <w:tcW w:w="140" w:type="dxa"/>
            <w:vAlign w:val="bottom"/>
          </w:tcPr>
          <w:p>
            <w:pPr>
              <w:jc w:val="right"/>
              <w:ind w:right="76"/>
              <w:spacing w:after="0"/>
              <w:rPr>
                <w:sz w:val="20"/>
                <w:szCs w:val="20"/>
                <w:color w:val="auto"/>
              </w:rPr>
            </w:pPr>
            <w:r>
              <w:rPr>
                <w:rFonts w:ascii="Times New Roman" w:cs="Times New Roman" w:eastAsia="Times New Roman" w:hAnsi="Times New Roman"/>
                <w:sz w:val="5"/>
                <w:szCs w:val="5"/>
                <w:color w:val="auto"/>
                <w:w w:val="78"/>
              </w:rPr>
              <w:t>$</w:t>
            </w:r>
          </w:p>
        </w:tc>
        <w:tc>
          <w:tcPr>
            <w:tcW w:w="400" w:type="dxa"/>
            <w:vAlign w:val="bottom"/>
            <w:tcBorders>
              <w:top w:val="single" w:sz="8" w:color="auto"/>
            </w:tcBorders>
          </w:tcPr>
          <w:p>
            <w:pPr>
              <w:jc w:val="right"/>
              <w:spacing w:after="0" w:line="74" w:lineRule="exact"/>
              <w:rPr>
                <w:sz w:val="20"/>
                <w:szCs w:val="20"/>
                <w:color w:val="auto"/>
              </w:rPr>
            </w:pPr>
            <w:r>
              <w:rPr>
                <w:rFonts w:ascii="Times New Roman" w:cs="Times New Roman" w:eastAsia="Times New Roman" w:hAnsi="Times New Roman"/>
                <w:sz w:val="8"/>
                <w:szCs w:val="8"/>
                <w:color w:val="auto"/>
              </w:rPr>
              <w:t>663,920</w:t>
            </w:r>
          </w:p>
        </w:tc>
        <w:tc>
          <w:tcPr>
            <w:tcW w:w="120" w:type="dxa"/>
            <w:vAlign w:val="bottom"/>
          </w:tcPr>
          <w:p>
            <w:pPr>
              <w:spacing w:after="0"/>
              <w:rPr>
                <w:sz w:val="6"/>
                <w:szCs w:val="6"/>
                <w:color w:val="auto"/>
              </w:rPr>
            </w:pPr>
          </w:p>
        </w:tc>
        <w:tc>
          <w:tcPr>
            <w:tcW w:w="340" w:type="dxa"/>
            <w:vAlign w:val="bottom"/>
            <w:tcBorders>
              <w:top w:val="single" w:sz="8" w:color="auto"/>
            </w:tcBorders>
          </w:tcPr>
          <w:p>
            <w:pPr>
              <w:jc w:val="right"/>
              <w:spacing w:after="0" w:line="74" w:lineRule="exact"/>
              <w:rPr>
                <w:sz w:val="20"/>
                <w:szCs w:val="20"/>
                <w:color w:val="auto"/>
              </w:rPr>
            </w:pPr>
            <w:r>
              <w:rPr>
                <w:rFonts w:ascii="Times New Roman" w:cs="Times New Roman" w:eastAsia="Times New Roman" w:hAnsi="Times New Roman"/>
                <w:sz w:val="8"/>
                <w:szCs w:val="8"/>
                <w:color w:val="auto"/>
              </w:rPr>
              <w:t>74,379</w:t>
            </w:r>
          </w:p>
        </w:tc>
        <w:tc>
          <w:tcPr>
            <w:tcW w:w="120" w:type="dxa"/>
            <w:vAlign w:val="bottom"/>
          </w:tcPr>
          <w:p>
            <w:pPr>
              <w:spacing w:after="0"/>
              <w:rPr>
                <w:sz w:val="6"/>
                <w:szCs w:val="6"/>
                <w:color w:val="auto"/>
              </w:rPr>
            </w:pPr>
          </w:p>
        </w:tc>
        <w:tc>
          <w:tcPr>
            <w:tcW w:w="400" w:type="dxa"/>
            <w:vAlign w:val="bottom"/>
            <w:tcBorders>
              <w:top w:val="single" w:sz="8" w:color="auto"/>
            </w:tcBorders>
          </w:tcPr>
          <w:p>
            <w:pPr>
              <w:jc w:val="right"/>
              <w:spacing w:after="0" w:line="74" w:lineRule="exact"/>
              <w:rPr>
                <w:sz w:val="20"/>
                <w:szCs w:val="20"/>
                <w:color w:val="auto"/>
              </w:rPr>
            </w:pPr>
            <w:r>
              <w:rPr>
                <w:rFonts w:ascii="Times New Roman" w:cs="Times New Roman" w:eastAsia="Times New Roman" w:hAnsi="Times New Roman"/>
                <w:sz w:val="8"/>
                <w:szCs w:val="8"/>
                <w:color w:val="auto"/>
              </w:rPr>
              <w:t>$ 131,384</w:t>
            </w:r>
          </w:p>
        </w:tc>
        <w:tc>
          <w:tcPr>
            <w:tcW w:w="120" w:type="dxa"/>
            <w:vAlign w:val="bottom"/>
          </w:tcPr>
          <w:p>
            <w:pPr>
              <w:spacing w:after="0"/>
              <w:rPr>
                <w:sz w:val="6"/>
                <w:szCs w:val="6"/>
                <w:color w:val="auto"/>
              </w:rPr>
            </w:pPr>
          </w:p>
        </w:tc>
        <w:tc>
          <w:tcPr>
            <w:tcW w:w="460" w:type="dxa"/>
            <w:vAlign w:val="bottom"/>
            <w:tcBorders>
              <w:top w:val="single" w:sz="8" w:color="auto"/>
            </w:tcBorders>
          </w:tcPr>
          <w:p>
            <w:pPr>
              <w:jc w:val="right"/>
              <w:spacing w:after="0" w:line="74" w:lineRule="exact"/>
              <w:rPr>
                <w:sz w:val="20"/>
                <w:szCs w:val="20"/>
                <w:color w:val="auto"/>
              </w:rPr>
            </w:pPr>
            <w:r>
              <w:rPr>
                <w:rFonts w:ascii="Times New Roman" w:cs="Times New Roman" w:eastAsia="Times New Roman" w:hAnsi="Times New Roman"/>
                <w:sz w:val="8"/>
                <w:szCs w:val="8"/>
                <w:color w:val="auto"/>
              </w:rPr>
              <w:t>2,702,066</w:t>
            </w:r>
          </w:p>
        </w:tc>
        <w:tc>
          <w:tcPr>
            <w:tcW w:w="120" w:type="dxa"/>
            <w:vAlign w:val="bottom"/>
          </w:tcPr>
          <w:p>
            <w:pPr>
              <w:spacing w:after="0"/>
              <w:rPr>
                <w:sz w:val="6"/>
                <w:szCs w:val="6"/>
                <w:color w:val="auto"/>
              </w:rPr>
            </w:pPr>
          </w:p>
        </w:tc>
        <w:tc>
          <w:tcPr>
            <w:tcW w:w="200" w:type="dxa"/>
            <w:vAlign w:val="bottom"/>
            <w:tcBorders>
              <w:top w:val="single" w:sz="8" w:color="auto"/>
            </w:tcBorders>
          </w:tcPr>
          <w:p>
            <w:pPr>
              <w:spacing w:after="0" w:line="74" w:lineRule="exact"/>
              <w:rPr>
                <w:sz w:val="20"/>
                <w:szCs w:val="20"/>
                <w:color w:val="auto"/>
              </w:rPr>
            </w:pPr>
            <w:r>
              <w:rPr>
                <w:rFonts w:ascii="Times New Roman" w:cs="Times New Roman" w:eastAsia="Times New Roman" w:hAnsi="Times New Roman"/>
                <w:sz w:val="8"/>
                <w:szCs w:val="8"/>
                <w:color w:val="auto"/>
              </w:rPr>
              <w:t>$</w:t>
            </w:r>
          </w:p>
        </w:tc>
        <w:tc>
          <w:tcPr>
            <w:tcW w:w="100" w:type="dxa"/>
            <w:vAlign w:val="bottom"/>
            <w:tcBorders>
              <w:top w:val="single" w:sz="8" w:color="auto"/>
            </w:tcBorders>
          </w:tcPr>
          <w:p>
            <w:pPr>
              <w:jc w:val="right"/>
              <w:spacing w:after="0" w:line="74" w:lineRule="exact"/>
              <w:rPr>
                <w:sz w:val="20"/>
                <w:szCs w:val="20"/>
                <w:color w:val="auto"/>
              </w:rPr>
            </w:pPr>
            <w:r>
              <w:rPr>
                <w:rFonts w:ascii="Times New Roman" w:cs="Times New Roman" w:eastAsia="Times New Roman" w:hAnsi="Times New Roman"/>
                <w:sz w:val="8"/>
                <w:szCs w:val="8"/>
                <w:color w:val="auto"/>
                <w:w w:val="99"/>
              </w:rPr>
              <w:t>29</w:t>
            </w:r>
          </w:p>
        </w:tc>
        <w:tc>
          <w:tcPr>
            <w:tcW w:w="120" w:type="dxa"/>
            <w:vAlign w:val="bottom"/>
          </w:tcPr>
          <w:p>
            <w:pPr>
              <w:spacing w:after="0"/>
              <w:rPr>
                <w:sz w:val="6"/>
                <w:szCs w:val="6"/>
                <w:color w:val="auto"/>
              </w:rPr>
            </w:pPr>
          </w:p>
        </w:tc>
        <w:tc>
          <w:tcPr>
            <w:tcW w:w="80" w:type="dxa"/>
            <w:vAlign w:val="bottom"/>
            <w:tcBorders>
              <w:top w:val="single" w:sz="8" w:color="auto"/>
            </w:tcBorders>
          </w:tcPr>
          <w:p>
            <w:pPr>
              <w:ind w:left="20"/>
              <w:spacing w:after="0" w:line="74" w:lineRule="exact"/>
              <w:rPr>
                <w:sz w:val="20"/>
                <w:szCs w:val="20"/>
                <w:color w:val="auto"/>
              </w:rPr>
            </w:pPr>
            <w:r>
              <w:rPr>
                <w:rFonts w:ascii="Times New Roman" w:cs="Times New Roman" w:eastAsia="Times New Roman" w:hAnsi="Times New Roman"/>
                <w:sz w:val="8"/>
                <w:szCs w:val="8"/>
                <w:color w:val="auto"/>
                <w:w w:val="98"/>
              </w:rPr>
              <w:t>$</w:t>
            </w:r>
          </w:p>
        </w:tc>
        <w:tc>
          <w:tcPr>
            <w:tcW w:w="400" w:type="dxa"/>
            <w:vAlign w:val="bottom"/>
            <w:tcBorders>
              <w:top w:val="single" w:sz="8" w:color="auto"/>
            </w:tcBorders>
          </w:tcPr>
          <w:p>
            <w:pPr>
              <w:ind w:left="20"/>
              <w:spacing w:after="0" w:line="74" w:lineRule="exact"/>
              <w:rPr>
                <w:sz w:val="20"/>
                <w:szCs w:val="20"/>
                <w:color w:val="auto"/>
              </w:rPr>
            </w:pPr>
            <w:r>
              <w:rPr>
                <w:rFonts w:ascii="Times New Roman" w:cs="Times New Roman" w:eastAsia="Times New Roman" w:hAnsi="Times New Roman"/>
                <w:sz w:val="8"/>
                <w:szCs w:val="8"/>
                <w:color w:val="auto"/>
              </w:rPr>
              <w:t>1,311,006</w:t>
            </w:r>
          </w:p>
        </w:tc>
        <w:tc>
          <w:tcPr>
            <w:tcW w:w="160" w:type="dxa"/>
            <w:vAlign w:val="bottom"/>
          </w:tcPr>
          <w:p>
            <w:pPr>
              <w:spacing w:after="0"/>
              <w:rPr>
                <w:sz w:val="6"/>
                <w:szCs w:val="6"/>
                <w:color w:val="auto"/>
              </w:rPr>
            </w:pPr>
          </w:p>
        </w:tc>
        <w:tc>
          <w:tcPr>
            <w:tcW w:w="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660" w:type="dxa"/>
            <w:vAlign w:val="bottom"/>
            <w:tcBorders>
              <w:top w:val="single" w:sz="8" w:color="auto"/>
            </w:tcBorders>
          </w:tcPr>
          <w:p>
            <w:pPr>
              <w:jc w:val="right"/>
              <w:spacing w:after="0" w:line="74" w:lineRule="exact"/>
              <w:rPr>
                <w:sz w:val="20"/>
                <w:szCs w:val="20"/>
                <w:color w:val="auto"/>
              </w:rPr>
            </w:pPr>
            <w:r>
              <w:rPr>
                <w:rFonts w:ascii="Times New Roman" w:cs="Times New Roman" w:eastAsia="Times New Roman" w:hAnsi="Times New Roman"/>
                <w:sz w:val="8"/>
                <w:szCs w:val="8"/>
                <w:color w:val="auto"/>
              </w:rPr>
              <w:t>(19,939,885)</w:t>
            </w:r>
          </w:p>
        </w:tc>
        <w:tc>
          <w:tcPr>
            <w:tcW w:w="160" w:type="dxa"/>
            <w:vAlign w:val="bottom"/>
          </w:tcPr>
          <w:p>
            <w:pPr>
              <w:spacing w:after="0"/>
              <w:rPr>
                <w:sz w:val="6"/>
                <w:szCs w:val="6"/>
                <w:color w:val="auto"/>
              </w:rPr>
            </w:pPr>
          </w:p>
        </w:tc>
        <w:tc>
          <w:tcPr>
            <w:tcW w:w="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640" w:type="dxa"/>
            <w:vAlign w:val="bottom"/>
            <w:tcBorders>
              <w:top w:val="single" w:sz="8" w:color="auto"/>
            </w:tcBorders>
          </w:tcPr>
          <w:p>
            <w:pPr>
              <w:jc w:val="right"/>
              <w:spacing w:after="0" w:line="74" w:lineRule="exact"/>
              <w:rPr>
                <w:sz w:val="20"/>
                <w:szCs w:val="20"/>
                <w:color w:val="auto"/>
              </w:rPr>
            </w:pPr>
            <w:r>
              <w:rPr>
                <w:rFonts w:ascii="Times New Roman" w:cs="Times New Roman" w:eastAsia="Times New Roman" w:hAnsi="Times New Roman"/>
                <w:sz w:val="8"/>
                <w:szCs w:val="8"/>
                <w:color w:val="auto"/>
              </w:rPr>
              <w:t>4,554,239</w:t>
            </w: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23"/>
        </w:trPr>
        <w:tc>
          <w:tcPr>
            <w:tcW w:w="58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60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520" w:type="dxa"/>
            <w:vAlign w:val="bottom"/>
            <w:gridSpan w:val="2"/>
          </w:tcPr>
          <w:p>
            <w:pPr>
              <w:jc w:val="right"/>
              <w:ind w:right="116"/>
              <w:spacing w:after="0"/>
              <w:rPr>
                <w:sz w:val="20"/>
                <w:szCs w:val="20"/>
                <w:color w:val="auto"/>
              </w:rPr>
            </w:pPr>
            <w:r>
              <w:rPr>
                <w:rFonts w:ascii="Times New Roman" w:cs="Times New Roman" w:eastAsia="Times New Roman" w:hAnsi="Times New Roman"/>
                <w:sz w:val="10"/>
                <w:szCs w:val="10"/>
                <w:color w:val="auto"/>
              </w:rPr>
              <w:t>-</w:t>
            </w:r>
          </w:p>
        </w:tc>
        <w:tc>
          <w:tcPr>
            <w:tcW w:w="52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46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52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58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49,555</w:t>
            </w:r>
          </w:p>
        </w:tc>
        <w:tc>
          <w:tcPr>
            <w:tcW w:w="200" w:type="dxa"/>
            <w:vAlign w:val="bottom"/>
          </w:tcPr>
          <w:p>
            <w:pPr>
              <w:spacing w:after="0"/>
              <w:rPr>
                <w:sz w:val="10"/>
                <w:szCs w:val="10"/>
                <w:color w:val="auto"/>
              </w:rPr>
            </w:pPr>
          </w:p>
        </w:tc>
        <w:tc>
          <w:tcPr>
            <w:tcW w:w="22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vMerge w:val="restart"/>
          </w:tcPr>
          <w:p>
            <w:pPr>
              <w:ind w:left="20"/>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gridSpan w:val="2"/>
          </w:tcPr>
          <w:p>
            <w:pPr>
              <w:jc w:val="right"/>
              <w:ind w:right="160"/>
              <w:spacing w:after="0"/>
              <w:rPr>
                <w:sz w:val="20"/>
                <w:szCs w:val="20"/>
                <w:color w:val="auto"/>
              </w:rPr>
            </w:pPr>
            <w:r>
              <w:rPr>
                <w:rFonts w:ascii="Times New Roman" w:cs="Times New Roman" w:eastAsia="Times New Roman" w:hAnsi="Times New Roman"/>
                <w:sz w:val="10"/>
                <w:szCs w:val="10"/>
                <w:color w:val="auto"/>
              </w:rPr>
              <w:t>11,397</w:t>
            </w:r>
          </w:p>
        </w:tc>
        <w:tc>
          <w:tcPr>
            <w:tcW w:w="60" w:type="dxa"/>
            <w:vAlign w:val="bottom"/>
          </w:tcPr>
          <w:p>
            <w:pPr>
              <w:spacing w:after="0"/>
              <w:rPr>
                <w:sz w:val="10"/>
                <w:szCs w:val="10"/>
                <w:color w:val="auto"/>
              </w:rPr>
            </w:pPr>
          </w:p>
        </w:tc>
        <w:tc>
          <w:tcPr>
            <w:tcW w:w="820" w:type="dxa"/>
            <w:vAlign w:val="bottom"/>
            <w:gridSpan w:val="2"/>
          </w:tcPr>
          <w:p>
            <w:pPr>
              <w:jc w:val="right"/>
              <w:ind w:right="118"/>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0"/>
                <w:szCs w:val="10"/>
                <w:color w:val="auto"/>
              </w:rPr>
            </w:pP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0"/>
                <w:szCs w:val="10"/>
                <w:color w:val="auto"/>
              </w:rPr>
              <w:t>11,397</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58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58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58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60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60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520" w:type="dxa"/>
            <w:vAlign w:val="bottom"/>
            <w:gridSpan w:val="2"/>
          </w:tcPr>
          <w:p>
            <w:pPr>
              <w:jc w:val="right"/>
              <w:ind w:right="116"/>
              <w:spacing w:after="0"/>
              <w:rPr>
                <w:sz w:val="20"/>
                <w:szCs w:val="20"/>
                <w:color w:val="auto"/>
              </w:rPr>
            </w:pPr>
            <w:r>
              <w:rPr>
                <w:rFonts w:ascii="Times New Roman" w:cs="Times New Roman" w:eastAsia="Times New Roman" w:hAnsi="Times New Roman"/>
                <w:sz w:val="10"/>
                <w:szCs w:val="10"/>
                <w:color w:val="auto"/>
              </w:rPr>
              <w:t>-</w:t>
            </w:r>
          </w:p>
        </w:tc>
        <w:tc>
          <w:tcPr>
            <w:tcW w:w="52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46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52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58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118,761</w:t>
            </w:r>
          </w:p>
        </w:tc>
        <w:tc>
          <w:tcPr>
            <w:tcW w:w="200" w:type="dxa"/>
            <w:vAlign w:val="bottom"/>
          </w:tcPr>
          <w:p>
            <w:pPr>
              <w:spacing w:after="0"/>
              <w:rPr>
                <w:sz w:val="10"/>
                <w:szCs w:val="10"/>
                <w:color w:val="auto"/>
              </w:rPr>
            </w:pPr>
          </w:p>
        </w:tc>
        <w:tc>
          <w:tcPr>
            <w:tcW w:w="22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vMerge w:val="continue"/>
          </w:tcPr>
          <w:p>
            <w:pPr>
              <w:spacing w:after="0"/>
              <w:rPr>
                <w:sz w:val="10"/>
                <w:szCs w:val="10"/>
                <w:color w:val="auto"/>
              </w:rPr>
            </w:pPr>
          </w:p>
        </w:tc>
        <w:tc>
          <w:tcPr>
            <w:tcW w:w="560" w:type="dxa"/>
            <w:vAlign w:val="bottom"/>
            <w:gridSpan w:val="2"/>
          </w:tcPr>
          <w:p>
            <w:pPr>
              <w:jc w:val="right"/>
              <w:ind w:right="160"/>
              <w:spacing w:after="0"/>
              <w:rPr>
                <w:sz w:val="20"/>
                <w:szCs w:val="20"/>
                <w:color w:val="auto"/>
              </w:rPr>
            </w:pPr>
            <w:r>
              <w:rPr>
                <w:rFonts w:ascii="Times New Roman" w:cs="Times New Roman" w:eastAsia="Times New Roman" w:hAnsi="Times New Roman"/>
                <w:sz w:val="10"/>
                <w:szCs w:val="10"/>
                <w:color w:val="auto"/>
              </w:rPr>
              <w:t>235,000</w:t>
            </w:r>
          </w:p>
        </w:tc>
        <w:tc>
          <w:tcPr>
            <w:tcW w:w="60" w:type="dxa"/>
            <w:vAlign w:val="bottom"/>
          </w:tcPr>
          <w:p>
            <w:pPr>
              <w:spacing w:after="0"/>
              <w:rPr>
                <w:sz w:val="10"/>
                <w:szCs w:val="10"/>
                <w:color w:val="auto"/>
              </w:rPr>
            </w:pPr>
          </w:p>
        </w:tc>
        <w:tc>
          <w:tcPr>
            <w:tcW w:w="820" w:type="dxa"/>
            <w:vAlign w:val="bottom"/>
            <w:gridSpan w:val="2"/>
          </w:tcPr>
          <w:p>
            <w:pPr>
              <w:jc w:val="right"/>
              <w:ind w:right="118"/>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0"/>
                <w:szCs w:val="10"/>
                <w:color w:val="auto"/>
              </w:rPr>
            </w:pP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0"/>
                <w:szCs w:val="10"/>
                <w:color w:val="auto"/>
              </w:rPr>
              <w:t>-</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580" w:type="dxa"/>
            <w:vAlign w:val="bottom"/>
            <w:gridSpan w:val="2"/>
          </w:tcPr>
          <w:p>
            <w:pPr>
              <w:jc w:val="right"/>
              <w:ind w:right="120"/>
              <w:spacing w:after="0" w:line="99" w:lineRule="exact"/>
              <w:rPr>
                <w:sz w:val="20"/>
                <w:szCs w:val="20"/>
                <w:color w:val="auto"/>
              </w:rPr>
            </w:pPr>
            <w:r>
              <w:rPr>
                <w:rFonts w:ascii="Times New Roman" w:cs="Times New Roman" w:eastAsia="Times New Roman" w:hAnsi="Times New Roman"/>
                <w:sz w:val="10"/>
                <w:szCs w:val="10"/>
                <w:color w:val="auto"/>
              </w:rPr>
              <w:t>-</w:t>
            </w:r>
          </w:p>
        </w:tc>
        <w:tc>
          <w:tcPr>
            <w:tcW w:w="640" w:type="dxa"/>
            <w:vAlign w:val="bottom"/>
            <w:gridSpan w:val="2"/>
          </w:tcPr>
          <w:p>
            <w:pPr>
              <w:jc w:val="right"/>
              <w:ind w:right="120"/>
              <w:spacing w:after="0" w:line="99" w:lineRule="exact"/>
              <w:rPr>
                <w:sz w:val="20"/>
                <w:szCs w:val="20"/>
                <w:color w:val="auto"/>
              </w:rPr>
            </w:pPr>
            <w:r>
              <w:rPr>
                <w:rFonts w:ascii="Times New Roman" w:cs="Times New Roman" w:eastAsia="Times New Roman" w:hAnsi="Times New Roman"/>
                <w:sz w:val="10"/>
                <w:szCs w:val="10"/>
                <w:color w:val="auto"/>
              </w:rPr>
              <w:t>-</w:t>
            </w:r>
          </w:p>
        </w:tc>
        <w:tc>
          <w:tcPr>
            <w:tcW w:w="580" w:type="dxa"/>
            <w:vAlign w:val="bottom"/>
            <w:gridSpan w:val="2"/>
          </w:tcPr>
          <w:p>
            <w:pPr>
              <w:jc w:val="right"/>
              <w:ind w:right="140"/>
              <w:spacing w:after="0" w:line="99" w:lineRule="exact"/>
              <w:rPr>
                <w:sz w:val="20"/>
                <w:szCs w:val="20"/>
                <w:color w:val="auto"/>
              </w:rPr>
            </w:pPr>
            <w:r>
              <w:rPr>
                <w:rFonts w:ascii="Times New Roman" w:cs="Times New Roman" w:eastAsia="Times New Roman" w:hAnsi="Times New Roman"/>
                <w:sz w:val="10"/>
                <w:szCs w:val="10"/>
                <w:color w:val="auto"/>
              </w:rPr>
              <w:t>-</w:t>
            </w:r>
          </w:p>
        </w:tc>
        <w:tc>
          <w:tcPr>
            <w:tcW w:w="580" w:type="dxa"/>
            <w:vAlign w:val="bottom"/>
            <w:gridSpan w:val="2"/>
          </w:tcPr>
          <w:p>
            <w:pPr>
              <w:jc w:val="right"/>
              <w:ind w:right="120"/>
              <w:spacing w:after="0" w:line="99" w:lineRule="exact"/>
              <w:rPr>
                <w:sz w:val="20"/>
                <w:szCs w:val="20"/>
                <w:color w:val="auto"/>
              </w:rPr>
            </w:pPr>
            <w:r>
              <w:rPr>
                <w:rFonts w:ascii="Times New Roman" w:cs="Times New Roman" w:eastAsia="Times New Roman" w:hAnsi="Times New Roman"/>
                <w:sz w:val="10"/>
                <w:szCs w:val="10"/>
                <w:color w:val="auto"/>
              </w:rPr>
              <w:t>-</w:t>
            </w:r>
          </w:p>
        </w:tc>
        <w:tc>
          <w:tcPr>
            <w:tcW w:w="600" w:type="dxa"/>
            <w:vAlign w:val="bottom"/>
            <w:gridSpan w:val="2"/>
          </w:tcPr>
          <w:p>
            <w:pPr>
              <w:jc w:val="right"/>
              <w:ind w:right="120"/>
              <w:spacing w:after="0" w:line="99" w:lineRule="exact"/>
              <w:rPr>
                <w:sz w:val="20"/>
                <w:szCs w:val="20"/>
                <w:color w:val="auto"/>
              </w:rPr>
            </w:pPr>
            <w:r>
              <w:rPr>
                <w:rFonts w:ascii="Times New Roman" w:cs="Times New Roman" w:eastAsia="Times New Roman" w:hAnsi="Times New Roman"/>
                <w:sz w:val="10"/>
                <w:szCs w:val="10"/>
                <w:color w:val="auto"/>
              </w:rPr>
              <w:t>-</w:t>
            </w:r>
          </w:p>
        </w:tc>
        <w:tc>
          <w:tcPr>
            <w:tcW w:w="600" w:type="dxa"/>
            <w:vAlign w:val="bottom"/>
            <w:gridSpan w:val="2"/>
          </w:tcPr>
          <w:p>
            <w:pPr>
              <w:jc w:val="right"/>
              <w:ind w:right="120"/>
              <w:spacing w:after="0" w:line="99" w:lineRule="exact"/>
              <w:rPr>
                <w:sz w:val="20"/>
                <w:szCs w:val="20"/>
                <w:color w:val="auto"/>
              </w:rPr>
            </w:pPr>
            <w:r>
              <w:rPr>
                <w:rFonts w:ascii="Times New Roman" w:cs="Times New Roman" w:eastAsia="Times New Roman" w:hAnsi="Times New Roman"/>
                <w:sz w:val="10"/>
                <w:szCs w:val="10"/>
                <w:color w:val="auto"/>
              </w:rPr>
              <w:t>-</w:t>
            </w:r>
          </w:p>
        </w:tc>
        <w:tc>
          <w:tcPr>
            <w:tcW w:w="520" w:type="dxa"/>
            <w:vAlign w:val="bottom"/>
            <w:gridSpan w:val="2"/>
          </w:tcPr>
          <w:p>
            <w:pPr>
              <w:jc w:val="right"/>
              <w:ind w:right="116"/>
              <w:spacing w:after="0" w:line="99" w:lineRule="exact"/>
              <w:rPr>
                <w:sz w:val="20"/>
                <w:szCs w:val="20"/>
                <w:color w:val="auto"/>
              </w:rPr>
            </w:pPr>
            <w:r>
              <w:rPr>
                <w:rFonts w:ascii="Times New Roman" w:cs="Times New Roman" w:eastAsia="Times New Roman" w:hAnsi="Times New Roman"/>
                <w:sz w:val="10"/>
                <w:szCs w:val="10"/>
                <w:color w:val="auto"/>
              </w:rPr>
              <w:t>-</w:t>
            </w:r>
          </w:p>
        </w:tc>
        <w:tc>
          <w:tcPr>
            <w:tcW w:w="520" w:type="dxa"/>
            <w:vAlign w:val="bottom"/>
            <w:gridSpan w:val="2"/>
          </w:tcPr>
          <w:p>
            <w:pPr>
              <w:jc w:val="right"/>
              <w:ind w:right="120"/>
              <w:spacing w:after="0" w:line="99" w:lineRule="exact"/>
              <w:rPr>
                <w:sz w:val="20"/>
                <w:szCs w:val="20"/>
                <w:color w:val="auto"/>
              </w:rPr>
            </w:pPr>
            <w:r>
              <w:rPr>
                <w:rFonts w:ascii="Times New Roman" w:cs="Times New Roman" w:eastAsia="Times New Roman" w:hAnsi="Times New Roman"/>
                <w:sz w:val="10"/>
                <w:szCs w:val="10"/>
                <w:color w:val="auto"/>
              </w:rPr>
              <w:t>-</w:t>
            </w:r>
          </w:p>
        </w:tc>
        <w:tc>
          <w:tcPr>
            <w:tcW w:w="460" w:type="dxa"/>
            <w:vAlign w:val="bottom"/>
            <w:gridSpan w:val="2"/>
          </w:tcPr>
          <w:p>
            <w:pPr>
              <w:jc w:val="right"/>
              <w:ind w:right="120"/>
              <w:spacing w:after="0" w:line="99" w:lineRule="exact"/>
              <w:rPr>
                <w:sz w:val="20"/>
                <w:szCs w:val="20"/>
                <w:color w:val="auto"/>
              </w:rPr>
            </w:pPr>
            <w:r>
              <w:rPr>
                <w:rFonts w:ascii="Times New Roman" w:cs="Times New Roman" w:eastAsia="Times New Roman" w:hAnsi="Times New Roman"/>
                <w:sz w:val="10"/>
                <w:szCs w:val="10"/>
                <w:color w:val="auto"/>
              </w:rPr>
              <w:t>-</w:t>
            </w:r>
          </w:p>
        </w:tc>
        <w:tc>
          <w:tcPr>
            <w:tcW w:w="520" w:type="dxa"/>
            <w:vAlign w:val="bottom"/>
            <w:gridSpan w:val="2"/>
          </w:tcPr>
          <w:p>
            <w:pPr>
              <w:jc w:val="right"/>
              <w:ind w:right="120"/>
              <w:spacing w:after="0" w:line="99" w:lineRule="exact"/>
              <w:rPr>
                <w:sz w:val="20"/>
                <w:szCs w:val="20"/>
                <w:color w:val="auto"/>
              </w:rPr>
            </w:pPr>
            <w:r>
              <w:rPr>
                <w:rFonts w:ascii="Times New Roman" w:cs="Times New Roman" w:eastAsia="Times New Roman" w:hAnsi="Times New Roman"/>
                <w:sz w:val="10"/>
                <w:szCs w:val="10"/>
                <w:color w:val="auto"/>
              </w:rPr>
              <w:t>-</w:t>
            </w:r>
          </w:p>
        </w:tc>
        <w:tc>
          <w:tcPr>
            <w:tcW w:w="580" w:type="dxa"/>
            <w:vAlign w:val="bottom"/>
            <w:gridSpan w:val="2"/>
          </w:tcPr>
          <w:p>
            <w:pPr>
              <w:jc w:val="right"/>
              <w:ind w:right="120"/>
              <w:spacing w:after="0" w:line="99" w:lineRule="exact"/>
              <w:rPr>
                <w:sz w:val="20"/>
                <w:szCs w:val="20"/>
                <w:color w:val="auto"/>
              </w:rPr>
            </w:pPr>
            <w:r>
              <w:rPr>
                <w:rFonts w:ascii="Times New Roman" w:cs="Times New Roman" w:eastAsia="Times New Roman" w:hAnsi="Times New Roman"/>
                <w:sz w:val="10"/>
                <w:szCs w:val="10"/>
                <w:color w:val="auto"/>
              </w:rPr>
              <w:t>-</w:t>
            </w:r>
          </w:p>
        </w:tc>
        <w:tc>
          <w:tcPr>
            <w:tcW w:w="200" w:type="dxa"/>
            <w:vAlign w:val="bottom"/>
          </w:tcPr>
          <w:p>
            <w:pPr>
              <w:spacing w:after="0"/>
              <w:rPr>
                <w:sz w:val="8"/>
                <w:szCs w:val="8"/>
                <w:color w:val="auto"/>
              </w:rPr>
            </w:pPr>
          </w:p>
        </w:tc>
        <w:tc>
          <w:tcPr>
            <w:tcW w:w="220" w:type="dxa"/>
            <w:vAlign w:val="bottom"/>
            <w:gridSpan w:val="2"/>
          </w:tcPr>
          <w:p>
            <w:pPr>
              <w:jc w:val="right"/>
              <w:ind w:right="120"/>
              <w:spacing w:after="0" w:line="99" w:lineRule="exact"/>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8"/>
                <w:szCs w:val="8"/>
                <w:color w:val="auto"/>
              </w:rPr>
            </w:pPr>
          </w:p>
        </w:tc>
        <w:tc>
          <w:tcPr>
            <w:tcW w:w="560" w:type="dxa"/>
            <w:vAlign w:val="bottom"/>
            <w:gridSpan w:val="2"/>
          </w:tcPr>
          <w:p>
            <w:pPr>
              <w:jc w:val="right"/>
              <w:ind w:right="160"/>
              <w:spacing w:after="0" w:line="99" w:lineRule="exact"/>
              <w:rPr>
                <w:sz w:val="20"/>
                <w:szCs w:val="20"/>
                <w:color w:val="auto"/>
              </w:rPr>
            </w:pPr>
            <w:r>
              <w:rPr>
                <w:rFonts w:ascii="Times New Roman" w:cs="Times New Roman" w:eastAsia="Times New Roman" w:hAnsi="Times New Roman"/>
                <w:sz w:val="10"/>
                <w:szCs w:val="10"/>
                <w:color w:val="auto"/>
              </w:rPr>
              <w:t>136,733</w:t>
            </w:r>
          </w:p>
        </w:tc>
        <w:tc>
          <w:tcPr>
            <w:tcW w:w="60" w:type="dxa"/>
            <w:vAlign w:val="bottom"/>
          </w:tcPr>
          <w:p>
            <w:pPr>
              <w:spacing w:after="0"/>
              <w:rPr>
                <w:sz w:val="8"/>
                <w:szCs w:val="8"/>
                <w:color w:val="auto"/>
              </w:rPr>
            </w:pPr>
          </w:p>
        </w:tc>
        <w:tc>
          <w:tcPr>
            <w:tcW w:w="820" w:type="dxa"/>
            <w:vAlign w:val="bottom"/>
            <w:gridSpan w:val="2"/>
          </w:tcPr>
          <w:p>
            <w:pPr>
              <w:jc w:val="right"/>
              <w:ind w:right="118"/>
              <w:spacing w:after="0" w:line="99" w:lineRule="exact"/>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8"/>
                <w:szCs w:val="8"/>
                <w:color w:val="auto"/>
              </w:rPr>
            </w:pPr>
          </w:p>
        </w:tc>
        <w:tc>
          <w:tcPr>
            <w:tcW w:w="660" w:type="dxa"/>
            <w:vAlign w:val="bottom"/>
            <w:gridSpan w:val="2"/>
          </w:tcPr>
          <w:p>
            <w:pPr>
              <w:jc w:val="right"/>
              <w:ind w:right="20"/>
              <w:spacing w:after="0" w:line="99" w:lineRule="exact"/>
              <w:rPr>
                <w:sz w:val="20"/>
                <w:szCs w:val="20"/>
                <w:color w:val="auto"/>
              </w:rPr>
            </w:pPr>
            <w:r>
              <w:rPr>
                <w:rFonts w:ascii="Times New Roman" w:cs="Times New Roman" w:eastAsia="Times New Roman" w:hAnsi="Times New Roman"/>
                <w:sz w:val="10"/>
                <w:szCs w:val="10"/>
                <w:color w:val="auto"/>
              </w:rPr>
              <w:t>371,733</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1"/>
        </w:trPr>
        <w:tc>
          <w:tcPr>
            <w:tcW w:w="580" w:type="dxa"/>
            <w:vAlign w:val="bottom"/>
            <w:gridSpan w:val="2"/>
          </w:tcPr>
          <w:p>
            <w:pPr>
              <w:jc w:val="right"/>
              <w:ind w:right="120"/>
              <w:spacing w:after="0" w:line="108" w:lineRule="exact"/>
              <w:rPr>
                <w:sz w:val="20"/>
                <w:szCs w:val="20"/>
                <w:color w:val="auto"/>
              </w:rPr>
            </w:pPr>
            <w:r>
              <w:rPr>
                <w:rFonts w:ascii="Times New Roman" w:cs="Times New Roman" w:eastAsia="Times New Roman" w:hAnsi="Times New Roman"/>
                <w:sz w:val="10"/>
                <w:szCs w:val="10"/>
                <w:color w:val="auto"/>
              </w:rPr>
              <w:t>-</w:t>
            </w:r>
          </w:p>
        </w:tc>
        <w:tc>
          <w:tcPr>
            <w:tcW w:w="640" w:type="dxa"/>
            <w:vAlign w:val="bottom"/>
            <w:gridSpan w:val="2"/>
          </w:tcPr>
          <w:p>
            <w:pPr>
              <w:jc w:val="right"/>
              <w:ind w:right="120"/>
              <w:spacing w:after="0" w:line="108" w:lineRule="exact"/>
              <w:rPr>
                <w:sz w:val="20"/>
                <w:szCs w:val="20"/>
                <w:color w:val="auto"/>
              </w:rPr>
            </w:pPr>
            <w:r>
              <w:rPr>
                <w:rFonts w:ascii="Times New Roman" w:cs="Times New Roman" w:eastAsia="Times New Roman" w:hAnsi="Times New Roman"/>
                <w:sz w:val="10"/>
                <w:szCs w:val="10"/>
                <w:color w:val="auto"/>
              </w:rPr>
              <w:t>-</w:t>
            </w:r>
          </w:p>
        </w:tc>
        <w:tc>
          <w:tcPr>
            <w:tcW w:w="580" w:type="dxa"/>
            <w:vAlign w:val="bottom"/>
            <w:gridSpan w:val="2"/>
          </w:tcPr>
          <w:p>
            <w:pPr>
              <w:jc w:val="right"/>
              <w:ind w:right="140"/>
              <w:spacing w:after="0" w:line="108" w:lineRule="exact"/>
              <w:rPr>
                <w:sz w:val="20"/>
                <w:szCs w:val="20"/>
                <w:color w:val="auto"/>
              </w:rPr>
            </w:pPr>
            <w:r>
              <w:rPr>
                <w:rFonts w:ascii="Times New Roman" w:cs="Times New Roman" w:eastAsia="Times New Roman" w:hAnsi="Times New Roman"/>
                <w:sz w:val="10"/>
                <w:szCs w:val="10"/>
                <w:color w:val="auto"/>
              </w:rPr>
              <w:t>-</w:t>
            </w:r>
          </w:p>
        </w:tc>
        <w:tc>
          <w:tcPr>
            <w:tcW w:w="580" w:type="dxa"/>
            <w:vAlign w:val="bottom"/>
            <w:gridSpan w:val="2"/>
          </w:tcPr>
          <w:p>
            <w:pPr>
              <w:jc w:val="right"/>
              <w:ind w:right="120"/>
              <w:spacing w:after="0" w:line="108" w:lineRule="exact"/>
              <w:rPr>
                <w:sz w:val="20"/>
                <w:szCs w:val="20"/>
                <w:color w:val="auto"/>
              </w:rPr>
            </w:pPr>
            <w:r>
              <w:rPr>
                <w:rFonts w:ascii="Times New Roman" w:cs="Times New Roman" w:eastAsia="Times New Roman" w:hAnsi="Times New Roman"/>
                <w:sz w:val="10"/>
                <w:szCs w:val="10"/>
                <w:color w:val="auto"/>
              </w:rPr>
              <w:t>-</w:t>
            </w:r>
          </w:p>
        </w:tc>
        <w:tc>
          <w:tcPr>
            <w:tcW w:w="600" w:type="dxa"/>
            <w:vAlign w:val="bottom"/>
            <w:gridSpan w:val="2"/>
          </w:tcPr>
          <w:p>
            <w:pPr>
              <w:jc w:val="right"/>
              <w:ind w:right="120"/>
              <w:spacing w:after="0" w:line="108" w:lineRule="exact"/>
              <w:rPr>
                <w:sz w:val="20"/>
                <w:szCs w:val="20"/>
                <w:color w:val="auto"/>
              </w:rPr>
            </w:pPr>
            <w:r>
              <w:rPr>
                <w:rFonts w:ascii="Times New Roman" w:cs="Times New Roman" w:eastAsia="Times New Roman" w:hAnsi="Times New Roman"/>
                <w:sz w:val="10"/>
                <w:szCs w:val="10"/>
                <w:color w:val="auto"/>
              </w:rPr>
              <w:t>-</w:t>
            </w:r>
          </w:p>
        </w:tc>
        <w:tc>
          <w:tcPr>
            <w:tcW w:w="600" w:type="dxa"/>
            <w:vAlign w:val="bottom"/>
            <w:gridSpan w:val="2"/>
          </w:tcPr>
          <w:p>
            <w:pPr>
              <w:jc w:val="right"/>
              <w:ind w:right="120"/>
              <w:spacing w:after="0" w:line="108" w:lineRule="exact"/>
              <w:rPr>
                <w:sz w:val="20"/>
                <w:szCs w:val="20"/>
                <w:color w:val="auto"/>
              </w:rPr>
            </w:pPr>
            <w:r>
              <w:rPr>
                <w:rFonts w:ascii="Times New Roman" w:cs="Times New Roman" w:eastAsia="Times New Roman" w:hAnsi="Times New Roman"/>
                <w:sz w:val="10"/>
                <w:szCs w:val="10"/>
                <w:color w:val="auto"/>
              </w:rPr>
              <w:t>-</w:t>
            </w:r>
          </w:p>
        </w:tc>
        <w:tc>
          <w:tcPr>
            <w:tcW w:w="520" w:type="dxa"/>
            <w:vAlign w:val="bottom"/>
            <w:gridSpan w:val="2"/>
          </w:tcPr>
          <w:p>
            <w:pPr>
              <w:jc w:val="right"/>
              <w:ind w:right="116"/>
              <w:spacing w:after="0" w:line="108" w:lineRule="exact"/>
              <w:rPr>
                <w:sz w:val="20"/>
                <w:szCs w:val="20"/>
                <w:color w:val="auto"/>
              </w:rPr>
            </w:pPr>
            <w:r>
              <w:rPr>
                <w:rFonts w:ascii="Times New Roman" w:cs="Times New Roman" w:eastAsia="Times New Roman" w:hAnsi="Times New Roman"/>
                <w:sz w:val="10"/>
                <w:szCs w:val="10"/>
                <w:color w:val="auto"/>
              </w:rPr>
              <w:t>-</w:t>
            </w:r>
          </w:p>
        </w:tc>
        <w:tc>
          <w:tcPr>
            <w:tcW w:w="520" w:type="dxa"/>
            <w:vAlign w:val="bottom"/>
            <w:gridSpan w:val="2"/>
          </w:tcPr>
          <w:p>
            <w:pPr>
              <w:jc w:val="right"/>
              <w:ind w:right="120"/>
              <w:spacing w:after="0" w:line="108" w:lineRule="exact"/>
              <w:rPr>
                <w:sz w:val="20"/>
                <w:szCs w:val="20"/>
                <w:color w:val="auto"/>
              </w:rPr>
            </w:pPr>
            <w:r>
              <w:rPr>
                <w:rFonts w:ascii="Times New Roman" w:cs="Times New Roman" w:eastAsia="Times New Roman" w:hAnsi="Times New Roman"/>
                <w:sz w:val="10"/>
                <w:szCs w:val="10"/>
                <w:color w:val="auto"/>
              </w:rPr>
              <w:t>-</w:t>
            </w:r>
          </w:p>
        </w:tc>
        <w:tc>
          <w:tcPr>
            <w:tcW w:w="460" w:type="dxa"/>
            <w:vAlign w:val="bottom"/>
            <w:gridSpan w:val="2"/>
          </w:tcPr>
          <w:p>
            <w:pPr>
              <w:jc w:val="right"/>
              <w:ind w:right="120"/>
              <w:spacing w:after="0" w:line="108" w:lineRule="exact"/>
              <w:rPr>
                <w:sz w:val="20"/>
                <w:szCs w:val="20"/>
                <w:color w:val="auto"/>
              </w:rPr>
            </w:pPr>
            <w:r>
              <w:rPr>
                <w:rFonts w:ascii="Times New Roman" w:cs="Times New Roman" w:eastAsia="Times New Roman" w:hAnsi="Times New Roman"/>
                <w:sz w:val="10"/>
                <w:szCs w:val="10"/>
                <w:color w:val="auto"/>
              </w:rPr>
              <w:t>-</w:t>
            </w:r>
          </w:p>
        </w:tc>
        <w:tc>
          <w:tcPr>
            <w:tcW w:w="520" w:type="dxa"/>
            <w:vAlign w:val="bottom"/>
            <w:gridSpan w:val="2"/>
          </w:tcPr>
          <w:p>
            <w:pPr>
              <w:jc w:val="right"/>
              <w:ind w:right="120"/>
              <w:spacing w:after="0" w:line="108" w:lineRule="exact"/>
              <w:rPr>
                <w:sz w:val="20"/>
                <w:szCs w:val="20"/>
                <w:color w:val="auto"/>
              </w:rPr>
            </w:pPr>
            <w:r>
              <w:rPr>
                <w:rFonts w:ascii="Times New Roman" w:cs="Times New Roman" w:eastAsia="Times New Roman" w:hAnsi="Times New Roman"/>
                <w:sz w:val="10"/>
                <w:szCs w:val="10"/>
                <w:color w:val="auto"/>
              </w:rPr>
              <w:t>-</w:t>
            </w:r>
          </w:p>
        </w:tc>
        <w:tc>
          <w:tcPr>
            <w:tcW w:w="580" w:type="dxa"/>
            <w:vAlign w:val="bottom"/>
            <w:gridSpan w:val="2"/>
          </w:tcPr>
          <w:p>
            <w:pPr>
              <w:jc w:val="right"/>
              <w:ind w:right="120"/>
              <w:spacing w:after="0" w:line="108" w:lineRule="exact"/>
              <w:rPr>
                <w:sz w:val="20"/>
                <w:szCs w:val="20"/>
                <w:color w:val="auto"/>
              </w:rPr>
            </w:pPr>
            <w:r>
              <w:rPr>
                <w:rFonts w:ascii="Times New Roman" w:cs="Times New Roman" w:eastAsia="Times New Roman" w:hAnsi="Times New Roman"/>
                <w:sz w:val="10"/>
                <w:szCs w:val="10"/>
                <w:color w:val="auto"/>
              </w:rPr>
              <w:t>-</w:t>
            </w:r>
          </w:p>
        </w:tc>
        <w:tc>
          <w:tcPr>
            <w:tcW w:w="200" w:type="dxa"/>
            <w:vAlign w:val="bottom"/>
          </w:tcPr>
          <w:p>
            <w:pPr>
              <w:spacing w:after="0"/>
              <w:rPr>
                <w:sz w:val="9"/>
                <w:szCs w:val="9"/>
                <w:color w:val="auto"/>
              </w:rPr>
            </w:pPr>
          </w:p>
        </w:tc>
        <w:tc>
          <w:tcPr>
            <w:tcW w:w="220" w:type="dxa"/>
            <w:vAlign w:val="bottom"/>
            <w:gridSpan w:val="2"/>
          </w:tcPr>
          <w:p>
            <w:pPr>
              <w:jc w:val="right"/>
              <w:ind w:right="120"/>
              <w:spacing w:after="0" w:line="108" w:lineRule="exact"/>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9"/>
                <w:szCs w:val="9"/>
                <w:color w:val="auto"/>
              </w:rPr>
            </w:pPr>
          </w:p>
        </w:tc>
        <w:tc>
          <w:tcPr>
            <w:tcW w:w="560" w:type="dxa"/>
            <w:vAlign w:val="bottom"/>
            <w:gridSpan w:val="2"/>
          </w:tcPr>
          <w:p>
            <w:pPr>
              <w:jc w:val="right"/>
              <w:ind w:right="160"/>
              <w:spacing w:after="0" w:line="108" w:lineRule="exact"/>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9"/>
                <w:szCs w:val="9"/>
                <w:color w:val="auto"/>
              </w:rPr>
            </w:pPr>
          </w:p>
        </w:tc>
        <w:tc>
          <w:tcPr>
            <w:tcW w:w="820" w:type="dxa"/>
            <w:vAlign w:val="bottom"/>
            <w:gridSpan w:val="2"/>
          </w:tcPr>
          <w:p>
            <w:pPr>
              <w:jc w:val="right"/>
              <w:ind w:right="78"/>
              <w:spacing w:after="0" w:line="108" w:lineRule="exact"/>
              <w:rPr>
                <w:sz w:val="20"/>
                <w:szCs w:val="20"/>
                <w:color w:val="auto"/>
              </w:rPr>
            </w:pPr>
            <w:r>
              <w:rPr>
                <w:rFonts w:ascii="Times New Roman" w:cs="Times New Roman" w:eastAsia="Times New Roman" w:hAnsi="Times New Roman"/>
                <w:sz w:val="10"/>
                <w:szCs w:val="10"/>
                <w:color w:val="auto"/>
              </w:rPr>
              <w:t>(5,180,636)</w:t>
            </w:r>
          </w:p>
        </w:tc>
        <w:tc>
          <w:tcPr>
            <w:tcW w:w="60" w:type="dxa"/>
            <w:vAlign w:val="bottom"/>
          </w:tcPr>
          <w:p>
            <w:pPr>
              <w:spacing w:after="0"/>
              <w:rPr>
                <w:sz w:val="9"/>
                <w:szCs w:val="9"/>
                <w:color w:val="auto"/>
              </w:rPr>
            </w:pPr>
          </w:p>
        </w:tc>
        <w:tc>
          <w:tcPr>
            <w:tcW w:w="680" w:type="dxa"/>
            <w:vAlign w:val="bottom"/>
            <w:gridSpan w:val="3"/>
          </w:tcPr>
          <w:p>
            <w:pPr>
              <w:jc w:val="right"/>
              <w:spacing w:after="0" w:line="108" w:lineRule="exact"/>
              <w:rPr>
                <w:sz w:val="20"/>
                <w:szCs w:val="20"/>
                <w:color w:val="auto"/>
              </w:rPr>
            </w:pPr>
            <w:r>
              <w:rPr>
                <w:rFonts w:ascii="Times New Roman" w:cs="Times New Roman" w:eastAsia="Times New Roman" w:hAnsi="Times New Roman"/>
                <w:sz w:val="10"/>
                <w:szCs w:val="10"/>
                <w:color w:val="auto"/>
              </w:rPr>
              <w:t>(5,180,636)</w:t>
            </w:r>
          </w:p>
        </w:tc>
        <w:tc>
          <w:tcPr>
            <w:tcW w:w="0" w:type="dxa"/>
            <w:vAlign w:val="bottom"/>
          </w:tcPr>
          <w:p>
            <w:pPr>
              <w:spacing w:after="0"/>
              <w:rPr>
                <w:sz w:val="1"/>
                <w:szCs w:val="1"/>
                <w:color w:val="auto"/>
              </w:rPr>
            </w:pPr>
          </w:p>
        </w:tc>
      </w:tr>
      <w:tr>
        <w:trPr>
          <w:trHeight w:val="115"/>
        </w:trPr>
        <w:tc>
          <w:tcPr>
            <w:tcW w:w="460" w:type="dxa"/>
            <w:vAlign w:val="bottom"/>
            <w:tcBorders>
              <w:top w:val="single" w:sz="8" w:color="auto"/>
            </w:tcBorders>
          </w:tcPr>
          <w:p>
            <w:pPr>
              <w:jc w:val="right"/>
              <w:spacing w:after="0" w:line="108" w:lineRule="exact"/>
              <w:rPr>
                <w:sz w:val="20"/>
                <w:szCs w:val="20"/>
                <w:color w:val="auto"/>
              </w:rPr>
            </w:pPr>
            <w:r>
              <w:rPr>
                <w:rFonts w:ascii="Times New Roman" w:cs="Times New Roman" w:eastAsia="Times New Roman" w:hAnsi="Times New Roman"/>
                <w:sz w:val="10"/>
                <w:szCs w:val="10"/>
                <w:color w:val="auto"/>
              </w:rPr>
              <w:t>2,415,046</w:t>
            </w:r>
          </w:p>
        </w:tc>
        <w:tc>
          <w:tcPr>
            <w:tcW w:w="120" w:type="dxa"/>
            <w:vAlign w:val="bottom"/>
          </w:tcPr>
          <w:p>
            <w:pPr>
              <w:spacing w:after="0"/>
              <w:rPr>
                <w:sz w:val="10"/>
                <w:szCs w:val="10"/>
                <w:color w:val="auto"/>
              </w:rPr>
            </w:pPr>
          </w:p>
        </w:tc>
        <w:tc>
          <w:tcPr>
            <w:tcW w:w="520" w:type="dxa"/>
            <w:vAlign w:val="bottom"/>
            <w:tcBorders>
              <w:top w:val="single" w:sz="8" w:color="auto"/>
            </w:tcBorders>
          </w:tcPr>
          <w:p>
            <w:pPr>
              <w:jc w:val="right"/>
              <w:spacing w:after="0" w:line="108" w:lineRule="exact"/>
              <w:rPr>
                <w:sz w:val="20"/>
                <w:szCs w:val="20"/>
                <w:color w:val="auto"/>
              </w:rPr>
            </w:pPr>
            <w:r>
              <w:rPr>
                <w:rFonts w:ascii="Times New Roman" w:cs="Times New Roman" w:eastAsia="Times New Roman" w:hAnsi="Times New Roman"/>
                <w:sz w:val="10"/>
                <w:szCs w:val="10"/>
                <w:color w:val="auto"/>
                <w:w w:val="95"/>
              </w:rPr>
              <w:t>$ 18,900,800</w:t>
            </w:r>
          </w:p>
        </w:tc>
        <w:tc>
          <w:tcPr>
            <w:tcW w:w="120" w:type="dxa"/>
            <w:vAlign w:val="bottom"/>
          </w:tcPr>
          <w:p>
            <w:pPr>
              <w:spacing w:after="0"/>
              <w:rPr>
                <w:sz w:val="10"/>
                <w:szCs w:val="10"/>
                <w:color w:val="auto"/>
              </w:rPr>
            </w:pPr>
          </w:p>
        </w:tc>
        <w:tc>
          <w:tcPr>
            <w:tcW w:w="440" w:type="dxa"/>
            <w:vAlign w:val="bottom"/>
            <w:tcBorders>
              <w:top w:val="single" w:sz="8" w:color="auto"/>
            </w:tcBorders>
          </w:tcPr>
          <w:p>
            <w:pPr>
              <w:jc w:val="right"/>
              <w:spacing w:after="0" w:line="108" w:lineRule="exact"/>
              <w:rPr>
                <w:sz w:val="20"/>
                <w:szCs w:val="20"/>
                <w:color w:val="auto"/>
              </w:rPr>
            </w:pPr>
            <w:r>
              <w:rPr>
                <w:rFonts w:ascii="Times New Roman" w:cs="Times New Roman" w:eastAsia="Times New Roman" w:hAnsi="Times New Roman"/>
                <w:sz w:val="10"/>
                <w:szCs w:val="10"/>
                <w:color w:val="auto"/>
              </w:rPr>
              <w:t>1,451,191</w:t>
            </w:r>
          </w:p>
        </w:tc>
        <w:tc>
          <w:tcPr>
            <w:tcW w:w="140" w:type="dxa"/>
            <w:vAlign w:val="bottom"/>
          </w:tcPr>
          <w:p>
            <w:pPr>
              <w:spacing w:after="0"/>
              <w:rPr>
                <w:sz w:val="10"/>
                <w:szCs w:val="10"/>
                <w:color w:val="auto"/>
              </w:rPr>
            </w:pPr>
          </w:p>
        </w:tc>
        <w:tc>
          <w:tcPr>
            <w:tcW w:w="460" w:type="dxa"/>
            <w:vAlign w:val="bottom"/>
            <w:tcBorders>
              <w:top w:val="single" w:sz="8" w:color="auto"/>
            </w:tcBorders>
          </w:tcPr>
          <w:p>
            <w:pPr>
              <w:jc w:val="right"/>
              <w:spacing w:after="0" w:line="108" w:lineRule="exact"/>
              <w:rPr>
                <w:sz w:val="20"/>
                <w:szCs w:val="20"/>
                <w:color w:val="auto"/>
              </w:rPr>
            </w:pPr>
            <w:r>
              <w:rPr>
                <w:rFonts w:ascii="Times New Roman" w:cs="Times New Roman" w:eastAsia="Times New Roman" w:hAnsi="Times New Roman"/>
                <w:sz w:val="10"/>
                <w:szCs w:val="10"/>
                <w:color w:val="auto"/>
                <w:w w:val="92"/>
              </w:rPr>
              <w:t>$ 2,412,888</w:t>
            </w:r>
          </w:p>
        </w:tc>
        <w:tc>
          <w:tcPr>
            <w:tcW w:w="120" w:type="dxa"/>
            <w:vAlign w:val="bottom"/>
          </w:tcPr>
          <w:p>
            <w:pPr>
              <w:spacing w:after="0"/>
              <w:rPr>
                <w:sz w:val="10"/>
                <w:szCs w:val="10"/>
                <w:color w:val="auto"/>
              </w:rPr>
            </w:pPr>
          </w:p>
        </w:tc>
        <w:tc>
          <w:tcPr>
            <w:tcW w:w="480" w:type="dxa"/>
            <w:vAlign w:val="bottom"/>
            <w:tcBorders>
              <w:top w:val="single" w:sz="8" w:color="auto"/>
            </w:tcBorders>
          </w:tcPr>
          <w:p>
            <w:pPr>
              <w:jc w:val="right"/>
              <w:spacing w:after="0" w:line="108" w:lineRule="exact"/>
              <w:rPr>
                <w:sz w:val="20"/>
                <w:szCs w:val="20"/>
                <w:color w:val="auto"/>
              </w:rPr>
            </w:pPr>
            <w:r>
              <w:rPr>
                <w:rFonts w:ascii="Times New Roman" w:cs="Times New Roman" w:eastAsia="Times New Roman" w:hAnsi="Times New Roman"/>
                <w:sz w:val="10"/>
                <w:szCs w:val="10"/>
                <w:color w:val="auto"/>
                <w:w w:val="96"/>
              </w:rPr>
              <w:t>$ 1,121,610</w:t>
            </w:r>
          </w:p>
        </w:tc>
        <w:tc>
          <w:tcPr>
            <w:tcW w:w="120" w:type="dxa"/>
            <w:vAlign w:val="bottom"/>
          </w:tcPr>
          <w:p>
            <w:pPr>
              <w:spacing w:after="0"/>
              <w:rPr>
                <w:sz w:val="10"/>
                <w:szCs w:val="10"/>
                <w:color w:val="auto"/>
              </w:rPr>
            </w:pPr>
          </w:p>
        </w:tc>
        <w:tc>
          <w:tcPr>
            <w:tcW w:w="480" w:type="dxa"/>
            <w:vAlign w:val="bottom"/>
            <w:tcBorders>
              <w:top w:val="single" w:sz="8" w:color="auto"/>
            </w:tcBorders>
          </w:tcPr>
          <w:p>
            <w:pPr>
              <w:jc w:val="right"/>
              <w:spacing w:after="0" w:line="108" w:lineRule="exact"/>
              <w:rPr>
                <w:sz w:val="20"/>
                <w:szCs w:val="20"/>
                <w:color w:val="auto"/>
              </w:rPr>
            </w:pPr>
            <w:r>
              <w:rPr>
                <w:rFonts w:ascii="Times New Roman" w:cs="Times New Roman" w:eastAsia="Times New Roman" w:hAnsi="Times New Roman"/>
                <w:sz w:val="10"/>
                <w:szCs w:val="10"/>
                <w:color w:val="auto"/>
              </w:rPr>
              <w:t>1,074,097</w:t>
            </w:r>
          </w:p>
        </w:tc>
        <w:tc>
          <w:tcPr>
            <w:tcW w:w="120" w:type="dxa"/>
            <w:vAlign w:val="bottom"/>
          </w:tcPr>
          <w:p>
            <w:pPr>
              <w:spacing w:after="0"/>
              <w:rPr>
                <w:sz w:val="10"/>
                <w:szCs w:val="10"/>
                <w:color w:val="auto"/>
              </w:rPr>
            </w:pPr>
          </w:p>
        </w:tc>
        <w:tc>
          <w:tcPr>
            <w:tcW w:w="380" w:type="dxa"/>
            <w:vAlign w:val="bottom"/>
            <w:tcBorders>
              <w:top w:val="single" w:sz="8" w:color="auto"/>
            </w:tcBorders>
          </w:tcPr>
          <w:p>
            <w:pPr>
              <w:jc w:val="right"/>
              <w:spacing w:after="0" w:line="108" w:lineRule="exact"/>
              <w:rPr>
                <w:sz w:val="20"/>
                <w:szCs w:val="20"/>
                <w:color w:val="auto"/>
              </w:rPr>
            </w:pPr>
            <w:r>
              <w:rPr>
                <w:rFonts w:ascii="Times New Roman" w:cs="Times New Roman" w:eastAsia="Times New Roman" w:hAnsi="Times New Roman"/>
                <w:sz w:val="10"/>
                <w:szCs w:val="10"/>
                <w:color w:val="auto"/>
              </w:rPr>
              <w:t>519,963</w:t>
            </w:r>
          </w:p>
        </w:tc>
        <w:tc>
          <w:tcPr>
            <w:tcW w:w="140" w:type="dxa"/>
            <w:vAlign w:val="bottom"/>
          </w:tcPr>
          <w:p>
            <w:pPr>
              <w:spacing w:after="0"/>
              <w:rPr>
                <w:sz w:val="10"/>
                <w:szCs w:val="10"/>
                <w:color w:val="auto"/>
              </w:rPr>
            </w:pPr>
          </w:p>
        </w:tc>
        <w:tc>
          <w:tcPr>
            <w:tcW w:w="400" w:type="dxa"/>
            <w:vAlign w:val="bottom"/>
            <w:tcBorders>
              <w:top w:val="single" w:sz="8" w:color="auto"/>
            </w:tcBorders>
          </w:tcPr>
          <w:p>
            <w:pPr>
              <w:jc w:val="right"/>
              <w:spacing w:after="0" w:line="108" w:lineRule="exact"/>
              <w:rPr>
                <w:sz w:val="20"/>
                <w:szCs w:val="20"/>
                <w:color w:val="auto"/>
              </w:rPr>
            </w:pPr>
            <w:r>
              <w:rPr>
                <w:rFonts w:ascii="Times New Roman" w:cs="Times New Roman" w:eastAsia="Times New Roman" w:hAnsi="Times New Roman"/>
                <w:sz w:val="10"/>
                <w:szCs w:val="10"/>
                <w:color w:val="auto"/>
                <w:w w:val="94"/>
              </w:rPr>
              <w:t>$ 663,920</w:t>
            </w:r>
          </w:p>
        </w:tc>
        <w:tc>
          <w:tcPr>
            <w:tcW w:w="120" w:type="dxa"/>
            <w:vAlign w:val="bottom"/>
          </w:tcPr>
          <w:p>
            <w:pPr>
              <w:spacing w:after="0"/>
              <w:rPr>
                <w:sz w:val="10"/>
                <w:szCs w:val="10"/>
                <w:color w:val="auto"/>
              </w:rPr>
            </w:pPr>
          </w:p>
        </w:tc>
        <w:tc>
          <w:tcPr>
            <w:tcW w:w="340" w:type="dxa"/>
            <w:vAlign w:val="bottom"/>
            <w:tcBorders>
              <w:top w:val="single" w:sz="8" w:color="auto"/>
            </w:tcBorders>
          </w:tcPr>
          <w:p>
            <w:pPr>
              <w:jc w:val="right"/>
              <w:spacing w:after="0" w:line="108" w:lineRule="exact"/>
              <w:rPr>
                <w:sz w:val="20"/>
                <w:szCs w:val="20"/>
                <w:color w:val="auto"/>
              </w:rPr>
            </w:pPr>
            <w:r>
              <w:rPr>
                <w:rFonts w:ascii="Times New Roman" w:cs="Times New Roman" w:eastAsia="Times New Roman" w:hAnsi="Times New Roman"/>
                <w:sz w:val="10"/>
                <w:szCs w:val="10"/>
                <w:color w:val="auto"/>
              </w:rPr>
              <w:t>74,379</w:t>
            </w:r>
          </w:p>
        </w:tc>
        <w:tc>
          <w:tcPr>
            <w:tcW w:w="120" w:type="dxa"/>
            <w:vAlign w:val="bottom"/>
          </w:tcPr>
          <w:p>
            <w:pPr>
              <w:spacing w:after="0"/>
              <w:rPr>
                <w:sz w:val="10"/>
                <w:szCs w:val="10"/>
                <w:color w:val="auto"/>
              </w:rPr>
            </w:pPr>
          </w:p>
        </w:tc>
        <w:tc>
          <w:tcPr>
            <w:tcW w:w="400" w:type="dxa"/>
            <w:vAlign w:val="bottom"/>
            <w:tcBorders>
              <w:top w:val="single" w:sz="8" w:color="auto"/>
            </w:tcBorders>
          </w:tcPr>
          <w:p>
            <w:pPr>
              <w:jc w:val="right"/>
              <w:spacing w:after="0" w:line="108" w:lineRule="exact"/>
              <w:rPr>
                <w:sz w:val="20"/>
                <w:szCs w:val="20"/>
                <w:color w:val="auto"/>
              </w:rPr>
            </w:pPr>
            <w:r>
              <w:rPr>
                <w:rFonts w:ascii="Times New Roman" w:cs="Times New Roman" w:eastAsia="Times New Roman" w:hAnsi="Times New Roman"/>
                <w:sz w:val="10"/>
                <w:szCs w:val="10"/>
                <w:color w:val="auto"/>
                <w:w w:val="94"/>
              </w:rPr>
              <w:t>$ 131,384</w:t>
            </w:r>
          </w:p>
        </w:tc>
        <w:tc>
          <w:tcPr>
            <w:tcW w:w="120" w:type="dxa"/>
            <w:vAlign w:val="bottom"/>
          </w:tcPr>
          <w:p>
            <w:pPr>
              <w:spacing w:after="0"/>
              <w:rPr>
                <w:sz w:val="10"/>
                <w:szCs w:val="10"/>
                <w:color w:val="auto"/>
              </w:rPr>
            </w:pPr>
          </w:p>
        </w:tc>
        <w:tc>
          <w:tcPr>
            <w:tcW w:w="460" w:type="dxa"/>
            <w:vAlign w:val="bottom"/>
            <w:tcBorders>
              <w:top w:val="single" w:sz="8" w:color="auto"/>
            </w:tcBorders>
          </w:tcPr>
          <w:p>
            <w:pPr>
              <w:jc w:val="right"/>
              <w:spacing w:after="0" w:line="108" w:lineRule="exact"/>
              <w:rPr>
                <w:sz w:val="20"/>
                <w:szCs w:val="20"/>
                <w:color w:val="auto"/>
              </w:rPr>
            </w:pPr>
            <w:r>
              <w:rPr>
                <w:rFonts w:ascii="Times New Roman" w:cs="Times New Roman" w:eastAsia="Times New Roman" w:hAnsi="Times New Roman"/>
                <w:sz w:val="10"/>
                <w:szCs w:val="10"/>
                <w:color w:val="auto"/>
              </w:rPr>
              <w:t>2,870,382</w:t>
            </w:r>
          </w:p>
        </w:tc>
        <w:tc>
          <w:tcPr>
            <w:tcW w:w="120" w:type="dxa"/>
            <w:vAlign w:val="bottom"/>
          </w:tcPr>
          <w:p>
            <w:pPr>
              <w:spacing w:after="0"/>
              <w:rPr>
                <w:sz w:val="10"/>
                <w:szCs w:val="10"/>
                <w:color w:val="auto"/>
              </w:rPr>
            </w:pPr>
          </w:p>
        </w:tc>
        <w:tc>
          <w:tcPr>
            <w:tcW w:w="200" w:type="dxa"/>
            <w:vAlign w:val="bottom"/>
            <w:tcBorders>
              <w:top w:val="single" w:sz="8" w:color="auto"/>
            </w:tcBorders>
          </w:tcPr>
          <w:p>
            <w:pPr>
              <w:spacing w:after="0" w:line="108" w:lineRule="exact"/>
              <w:rPr>
                <w:sz w:val="20"/>
                <w:szCs w:val="20"/>
                <w:color w:val="auto"/>
              </w:rPr>
            </w:pPr>
            <w:r>
              <w:rPr>
                <w:rFonts w:ascii="Times New Roman" w:cs="Times New Roman" w:eastAsia="Times New Roman" w:hAnsi="Times New Roman"/>
                <w:sz w:val="10"/>
                <w:szCs w:val="10"/>
                <w:color w:val="auto"/>
              </w:rPr>
              <w:t>$</w:t>
            </w:r>
          </w:p>
        </w:tc>
        <w:tc>
          <w:tcPr>
            <w:tcW w:w="100" w:type="dxa"/>
            <w:vAlign w:val="bottom"/>
            <w:tcBorders>
              <w:top w:val="single" w:sz="8" w:color="auto"/>
            </w:tcBorders>
          </w:tcPr>
          <w:p>
            <w:pPr>
              <w:jc w:val="right"/>
              <w:spacing w:after="0" w:line="108" w:lineRule="exact"/>
              <w:rPr>
                <w:sz w:val="20"/>
                <w:szCs w:val="20"/>
                <w:color w:val="auto"/>
              </w:rPr>
            </w:pPr>
            <w:r>
              <w:rPr>
                <w:rFonts w:ascii="Times New Roman" w:cs="Times New Roman" w:eastAsia="Times New Roman" w:hAnsi="Times New Roman"/>
                <w:sz w:val="10"/>
                <w:szCs w:val="10"/>
                <w:color w:val="auto"/>
                <w:w w:val="79"/>
              </w:rPr>
              <w:t>29</w:t>
            </w:r>
          </w:p>
        </w:tc>
        <w:tc>
          <w:tcPr>
            <w:tcW w:w="120" w:type="dxa"/>
            <w:vAlign w:val="bottom"/>
          </w:tcPr>
          <w:p>
            <w:pPr>
              <w:spacing w:after="0"/>
              <w:rPr>
                <w:sz w:val="10"/>
                <w:szCs w:val="10"/>
                <w:color w:val="auto"/>
              </w:rPr>
            </w:pPr>
          </w:p>
        </w:tc>
        <w:tc>
          <w:tcPr>
            <w:tcW w:w="80" w:type="dxa"/>
            <w:vAlign w:val="bottom"/>
            <w:tcBorders>
              <w:top w:val="single" w:sz="8" w:color="auto"/>
            </w:tcBorders>
          </w:tcPr>
          <w:p>
            <w:pPr>
              <w:ind w:left="20"/>
              <w:spacing w:after="0" w:line="108" w:lineRule="exact"/>
              <w:rPr>
                <w:sz w:val="20"/>
                <w:szCs w:val="20"/>
                <w:color w:val="auto"/>
              </w:rPr>
            </w:pPr>
            <w:r>
              <w:rPr>
                <w:rFonts w:ascii="Times New Roman" w:cs="Times New Roman" w:eastAsia="Times New Roman" w:hAnsi="Times New Roman"/>
                <w:sz w:val="10"/>
                <w:szCs w:val="10"/>
                <w:color w:val="auto"/>
                <w:w w:val="79"/>
              </w:rPr>
              <w:t>$</w:t>
            </w:r>
          </w:p>
        </w:tc>
        <w:tc>
          <w:tcPr>
            <w:tcW w:w="400" w:type="dxa"/>
            <w:vAlign w:val="bottom"/>
            <w:tcBorders>
              <w:top w:val="single" w:sz="8" w:color="auto"/>
            </w:tcBorders>
          </w:tcPr>
          <w:p>
            <w:pPr>
              <w:ind w:left="20"/>
              <w:spacing w:after="0" w:line="108" w:lineRule="exact"/>
              <w:rPr>
                <w:sz w:val="20"/>
                <w:szCs w:val="20"/>
                <w:color w:val="auto"/>
              </w:rPr>
            </w:pPr>
            <w:r>
              <w:rPr>
                <w:rFonts w:ascii="Times New Roman" w:cs="Times New Roman" w:eastAsia="Times New Roman" w:hAnsi="Times New Roman"/>
                <w:sz w:val="10"/>
                <w:szCs w:val="10"/>
                <w:color w:val="auto"/>
                <w:w w:val="89"/>
              </w:rPr>
              <w:t>1,694,136</w:t>
            </w:r>
          </w:p>
        </w:tc>
        <w:tc>
          <w:tcPr>
            <w:tcW w:w="160" w:type="dxa"/>
            <w:vAlign w:val="bottom"/>
          </w:tcPr>
          <w:p>
            <w:pPr>
              <w:spacing w:after="0"/>
              <w:rPr>
                <w:sz w:val="10"/>
                <w:szCs w:val="10"/>
                <w:color w:val="auto"/>
              </w:rPr>
            </w:pPr>
          </w:p>
        </w:tc>
        <w:tc>
          <w:tcPr>
            <w:tcW w:w="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660" w:type="dxa"/>
            <w:vAlign w:val="bottom"/>
            <w:tcBorders>
              <w:top w:val="single" w:sz="8" w:color="auto"/>
            </w:tcBorders>
          </w:tcPr>
          <w:p>
            <w:pPr>
              <w:jc w:val="right"/>
              <w:spacing w:after="0" w:line="108" w:lineRule="exact"/>
              <w:rPr>
                <w:sz w:val="20"/>
                <w:szCs w:val="20"/>
                <w:color w:val="auto"/>
              </w:rPr>
            </w:pPr>
            <w:r>
              <w:rPr>
                <w:rFonts w:ascii="Times New Roman" w:cs="Times New Roman" w:eastAsia="Times New Roman" w:hAnsi="Times New Roman"/>
                <w:sz w:val="10"/>
                <w:szCs w:val="10"/>
                <w:color w:val="auto"/>
              </w:rPr>
              <w:t>(25,120,521</w:t>
            </w:r>
          </w:p>
        </w:tc>
        <w:tc>
          <w:tcPr>
            <w:tcW w:w="160" w:type="dxa"/>
            <w:vAlign w:val="bottom"/>
          </w:tcPr>
          <w:p>
            <w:pPr>
              <w:jc w:val="right"/>
              <w:ind w:right="78"/>
              <w:spacing w:after="0"/>
              <w:rPr>
                <w:sz w:val="20"/>
                <w:szCs w:val="20"/>
                <w:color w:val="auto"/>
              </w:rPr>
            </w:pPr>
            <w:r>
              <w:rPr>
                <w:rFonts w:ascii="Times New Roman" w:cs="Times New Roman" w:eastAsia="Times New Roman" w:hAnsi="Times New Roman"/>
                <w:sz w:val="8"/>
                <w:szCs w:val="8"/>
                <w:color w:val="auto"/>
                <w:w w:val="73"/>
              </w:rPr>
              <w:t>)</w:t>
            </w:r>
          </w:p>
        </w:tc>
        <w:tc>
          <w:tcPr>
            <w:tcW w:w="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660" w:type="dxa"/>
            <w:vAlign w:val="bottom"/>
            <w:tcBorders>
              <w:top w:val="single" w:sz="8" w:color="auto"/>
            </w:tcBorders>
            <w:gridSpan w:val="2"/>
          </w:tcPr>
          <w:p>
            <w:pPr>
              <w:jc w:val="right"/>
              <w:ind w:right="20"/>
              <w:spacing w:after="0" w:line="108" w:lineRule="exact"/>
              <w:rPr>
                <w:sz w:val="20"/>
                <w:szCs w:val="20"/>
                <w:color w:val="auto"/>
              </w:rPr>
            </w:pPr>
            <w:r>
              <w:rPr>
                <w:rFonts w:ascii="Times New Roman" w:cs="Times New Roman" w:eastAsia="Times New Roman" w:hAnsi="Times New Roman"/>
                <w:sz w:val="10"/>
                <w:szCs w:val="10"/>
                <w:color w:val="auto"/>
              </w:rPr>
              <w:t>(243,267</w:t>
            </w:r>
          </w:p>
        </w:tc>
        <w:tc>
          <w:tcPr>
            <w:tcW w:w="20" w:type="dxa"/>
            <w:vAlign w:val="bottom"/>
          </w:tcPr>
          <w:p>
            <w:pPr>
              <w:jc w:val="right"/>
              <w:spacing w:after="0"/>
              <w:rPr>
                <w:sz w:val="20"/>
                <w:szCs w:val="20"/>
                <w:color w:val="auto"/>
              </w:rPr>
            </w:pPr>
            <w:r>
              <w:rPr>
                <w:rFonts w:ascii="Times New Roman" w:cs="Times New Roman" w:eastAsia="Times New Roman" w:hAnsi="Times New Roman"/>
                <w:sz w:val="1"/>
                <w:szCs w:val="1"/>
                <w:color w:val="auto"/>
                <w:w w:val="4294967281"/>
              </w:rPr>
              <w:t>)</w:t>
            </w:r>
          </w:p>
        </w:tc>
        <w:tc>
          <w:tcPr>
            <w:tcW w:w="0" w:type="dxa"/>
            <w:vAlign w:val="bottom"/>
          </w:tcPr>
          <w:p>
            <w:pPr>
              <w:spacing w:after="0"/>
              <w:rPr>
                <w:sz w:val="1"/>
                <w:szCs w:val="1"/>
                <w:color w:val="auto"/>
              </w:rPr>
            </w:pPr>
          </w:p>
        </w:tc>
      </w:tr>
      <w:tr>
        <w:trPr>
          <w:trHeight w:val="288"/>
        </w:trPr>
        <w:tc>
          <w:tcPr>
            <w:tcW w:w="46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Borders>
              <w:top w:val="single" w:sz="8" w:color="auto"/>
            </w:tcBorders>
          </w:tcPr>
          <w:p>
            <w:pPr>
              <w:jc w:val="right"/>
              <w:ind w:right="111"/>
              <w:spacing w:after="0"/>
              <w:rPr>
                <w:sz w:val="20"/>
                <w:szCs w:val="20"/>
                <w:color w:val="auto"/>
              </w:rPr>
            </w:pPr>
            <w:r>
              <w:rPr>
                <w:rFonts w:ascii="Times New Roman" w:cs="Times New Roman" w:eastAsia="Times New Roman" w:hAnsi="Times New Roman"/>
                <w:sz w:val="12"/>
                <w:szCs w:val="12"/>
                <w:color w:val="auto"/>
              </w:rPr>
              <w:t>17</w:t>
            </w:r>
          </w:p>
        </w:tc>
        <w:tc>
          <w:tcPr>
            <w:tcW w:w="120" w:type="dxa"/>
            <w:vAlign w:val="bottom"/>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-1528445</wp:posOffset>
            </wp:positionH>
            <wp:positionV relativeFrom="paragraph">
              <wp:posOffset>-628015</wp:posOffset>
            </wp:positionV>
            <wp:extent cx="7178040" cy="6858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8040" cy="68580"/>
                    </a:xfrm>
                    <a:prstGeom prst="rect">
                      <a:avLst/>
                    </a:prstGeom>
                    <a:noFill/>
                  </pic:spPr>
                </pic:pic>
              </a:graphicData>
            </a:graphic>
          </wp:anchor>
        </w:drawing>
        <w:drawing>
          <wp:anchor simplePos="0" relativeHeight="251657728" behindDoc="1" locked="0" layoutInCell="0" allowOverlap="1">
            <wp:simplePos x="0" y="0"/>
            <wp:positionH relativeFrom="column">
              <wp:posOffset>-1528445</wp:posOffset>
            </wp:positionH>
            <wp:positionV relativeFrom="paragraph">
              <wp:posOffset>-496570</wp:posOffset>
            </wp:positionV>
            <wp:extent cx="7178040" cy="914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8040" cy="91440"/>
                    </a:xfrm>
                    <a:prstGeom prst="rect">
                      <a:avLst/>
                    </a:prstGeom>
                    <a:noFill/>
                  </pic:spPr>
                </pic:pic>
              </a:graphicData>
            </a:graphic>
          </wp:anchor>
        </w:drawing>
        <w:drawing>
          <wp:anchor simplePos="0" relativeHeight="251657728" behindDoc="1" locked="0" layoutInCell="0" allowOverlap="1">
            <wp:simplePos x="0" y="0"/>
            <wp:positionH relativeFrom="column">
              <wp:posOffset>-1528445</wp:posOffset>
            </wp:positionH>
            <wp:positionV relativeFrom="paragraph">
              <wp:posOffset>-342265</wp:posOffset>
            </wp:positionV>
            <wp:extent cx="7178040" cy="6858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8040" cy="68580"/>
                    </a:xfrm>
                    <a:prstGeom prst="rect">
                      <a:avLst/>
                    </a:prstGeom>
                    <a:noFill/>
                  </pic:spPr>
                </pic:pic>
              </a:graphicData>
            </a:graphic>
          </wp:anchor>
        </w:drawing>
        <w:drawing>
          <wp:anchor simplePos="0" relativeHeight="251657728" behindDoc="1" locked="0" layoutInCell="0" allowOverlap="1">
            <wp:simplePos x="0" y="0"/>
            <wp:positionH relativeFrom="column">
              <wp:posOffset>-1528445</wp:posOffset>
            </wp:positionH>
            <wp:positionV relativeFrom="paragraph">
              <wp:posOffset>0</wp:posOffset>
            </wp:positionV>
            <wp:extent cx="7178040" cy="571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2">
            <w:col w:w="1680" w:space="720"/>
            <w:col w:w="8860"/>
          </w:cols>
          <w:pgMar w:left="300" w:top="485" w:right="339" w:bottom="1440" w:gutter="0" w:footer="0" w:header="0"/>
        </w:sectPr>
      </w:pPr>
    </w:p>
    <w:bookmarkStart w:id="21" w:name="page22"/>
    <w:bookmarkEnd w:id="21"/>
    <w:p>
      <w:pPr>
        <w:jc w:val="center"/>
        <w:ind w:left="2720"/>
        <w:spacing w:after="0"/>
        <w:rPr>
          <w:sz w:val="20"/>
          <w:szCs w:val="20"/>
          <w:color w:val="auto"/>
        </w:rPr>
      </w:pPr>
      <w:r>
        <w:rPr>
          <w:rFonts w:ascii="Times New Roman" w:cs="Times New Roman" w:eastAsia="Times New Roman" w:hAnsi="Times New Roman"/>
          <w:sz w:val="12"/>
          <w:szCs w:val="12"/>
          <w:b w:val="1"/>
          <w:bCs w:val="1"/>
          <w:color w:val="auto"/>
        </w:rPr>
        <w:t>CLEARDOC, INC. AND SUBSIDIARY</w:t>
      </w:r>
    </w:p>
    <w:p>
      <w:pPr>
        <w:spacing w:after="0" w:line="150" w:lineRule="exact"/>
        <w:rPr>
          <w:sz w:val="20"/>
          <w:szCs w:val="20"/>
          <w:color w:val="auto"/>
        </w:rPr>
      </w:pPr>
    </w:p>
    <w:p>
      <w:pPr>
        <w:jc w:val="center"/>
        <w:ind w:left="2720"/>
        <w:spacing w:after="0"/>
        <w:rPr>
          <w:sz w:val="20"/>
          <w:szCs w:val="20"/>
          <w:color w:val="auto"/>
        </w:rPr>
      </w:pPr>
      <w:r>
        <w:rPr>
          <w:rFonts w:ascii="Times New Roman" w:cs="Times New Roman" w:eastAsia="Times New Roman" w:hAnsi="Times New Roman"/>
          <w:sz w:val="11"/>
          <w:szCs w:val="11"/>
          <w:b w:val="1"/>
          <w:bCs w:val="1"/>
          <w:color w:val="auto"/>
        </w:rPr>
        <w:t>CONSOLIDATED STATEMENT OF CASH FLOWS</w:t>
      </w:r>
    </w:p>
    <w:p>
      <w:pPr>
        <w:spacing w:after="0" w:line="166"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2"/>
          <w:szCs w:val="12"/>
          <w:color w:val="auto"/>
        </w:rPr>
        <w:t>Year ended December 31, 2022</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CASH FLOWS FROM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-77470</wp:posOffset>
            </wp:positionV>
            <wp:extent cx="7178040" cy="914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8040" cy="91440"/>
                    </a:xfrm>
                    <a:prstGeom prst="rect">
                      <a:avLst/>
                    </a:prstGeom>
                    <a:noFill/>
                  </pic:spPr>
                </pic:pic>
              </a:graphicData>
            </a:graphic>
          </wp:anchor>
        </w:drawing>
      </w:r>
    </w:p>
    <w:p>
      <w:pPr>
        <w:spacing w:after="0" w:line="13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2"/>
          <w:szCs w:val="12"/>
          <w:color w:val="auto"/>
        </w:rPr>
        <w:t>Net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-80010</wp:posOffset>
            </wp:positionV>
            <wp:extent cx="7178040" cy="914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8040" cy="91440"/>
                    </a:xfrm>
                    <a:prstGeom prst="rect">
                      <a:avLst/>
                    </a:prstGeom>
                    <a:noFill/>
                  </pic:spPr>
                </pic:pic>
              </a:graphicData>
            </a:graphic>
          </wp:anchor>
        </w:drawing>
      </w:r>
    </w:p>
    <w:p>
      <w:pPr>
        <w:ind w:left="120"/>
        <w:spacing w:after="0"/>
        <w:rPr>
          <w:sz w:val="20"/>
          <w:szCs w:val="20"/>
          <w:color w:val="auto"/>
        </w:rPr>
      </w:pPr>
      <w:r>
        <w:rPr>
          <w:rFonts w:ascii="Times New Roman" w:cs="Times New Roman" w:eastAsia="Times New Roman" w:hAnsi="Times New Roman"/>
          <w:sz w:val="12"/>
          <w:szCs w:val="12"/>
          <w:color w:val="auto"/>
        </w:rPr>
        <w:t>Adjustments to reconcile net loss to net cash flows from operating activities:</w:t>
      </w:r>
    </w:p>
    <w:p>
      <w:pPr>
        <w:spacing w:after="0" w:line="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2"/>
          <w:szCs w:val="12"/>
          <w:color w:val="auto"/>
        </w:rPr>
        <w:t>Depreciation and amortization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-86995</wp:posOffset>
            </wp:positionV>
            <wp:extent cx="7178040" cy="914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8040" cy="91440"/>
                    </a:xfrm>
                    <a:prstGeom prst="rect">
                      <a:avLst/>
                    </a:prstGeom>
                    <a:noFill/>
                  </pic:spPr>
                </pic:pic>
              </a:graphicData>
            </a:graphic>
          </wp:anchor>
        </w:drawing>
      </w:r>
    </w:p>
    <w:p>
      <w:pPr>
        <w:ind w:left="240"/>
        <w:spacing w:after="0"/>
        <w:rPr>
          <w:sz w:val="20"/>
          <w:szCs w:val="20"/>
          <w:color w:val="auto"/>
        </w:rPr>
      </w:pPr>
      <w:r>
        <w:rPr>
          <w:rFonts w:ascii="Times New Roman" w:cs="Times New Roman" w:eastAsia="Times New Roman" w:hAnsi="Times New Roman"/>
          <w:sz w:val="12"/>
          <w:szCs w:val="12"/>
          <w:color w:val="auto"/>
        </w:rPr>
        <w:t>Provision for doubtful accounts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3810</wp:posOffset>
            </wp:positionV>
            <wp:extent cx="7178040" cy="914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8040" cy="91440"/>
                    </a:xfrm>
                    <a:prstGeom prst="rect">
                      <a:avLst/>
                    </a:prstGeom>
                    <a:noFill/>
                  </pic:spPr>
                </pic:pic>
              </a:graphicData>
            </a:graphic>
          </wp:anchor>
        </w:drawing>
      </w:r>
    </w:p>
    <w:p>
      <w:pPr>
        <w:ind w:left="240"/>
        <w:spacing w:after="0"/>
        <w:rPr>
          <w:sz w:val="20"/>
          <w:szCs w:val="20"/>
          <w:color w:val="auto"/>
        </w:rPr>
      </w:pPr>
      <w:r>
        <w:rPr>
          <w:rFonts w:ascii="Times New Roman" w:cs="Times New Roman" w:eastAsia="Times New Roman" w:hAnsi="Times New Roman"/>
          <w:sz w:val="12"/>
          <w:szCs w:val="12"/>
          <w:color w:val="auto"/>
        </w:rPr>
        <w:t>Amortization of deferred sales commissions</w:t>
      </w:r>
    </w:p>
    <w:p>
      <w:pPr>
        <w:spacing w:after="0" w:line="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2"/>
          <w:szCs w:val="12"/>
          <w:color w:val="auto"/>
        </w:rPr>
        <w:t>Amortization of deferred financing costs reflected as interest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3810</wp:posOffset>
            </wp:positionV>
            <wp:extent cx="7178040" cy="914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8040" cy="91440"/>
                    </a:xfrm>
                    <a:prstGeom prst="rect">
                      <a:avLst/>
                    </a:prstGeom>
                    <a:noFill/>
                  </pic:spPr>
                </pic:pic>
              </a:graphicData>
            </a:graphic>
          </wp:anchor>
        </w:drawing>
      </w:r>
    </w:p>
    <w:p>
      <w:pPr>
        <w:ind w:left="240"/>
        <w:spacing w:after="0"/>
        <w:rPr>
          <w:sz w:val="20"/>
          <w:szCs w:val="20"/>
          <w:color w:val="auto"/>
        </w:rPr>
      </w:pPr>
      <w:r>
        <w:rPr>
          <w:rFonts w:ascii="Times New Roman" w:cs="Times New Roman" w:eastAsia="Times New Roman" w:hAnsi="Times New Roman"/>
          <w:sz w:val="12"/>
          <w:szCs w:val="12"/>
          <w:color w:val="auto"/>
        </w:rPr>
        <w:t>Stock-based compensation</w:t>
      </w:r>
    </w:p>
    <w:p>
      <w:pPr>
        <w:spacing w:after="0" w:line="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2"/>
          <w:szCs w:val="12"/>
          <w:color w:val="auto"/>
        </w:rPr>
        <w:t>Stock-based compensation for earn-outs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3810</wp:posOffset>
            </wp:positionV>
            <wp:extent cx="7178040" cy="9144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8040" cy="91440"/>
                    </a:xfrm>
                    <a:prstGeom prst="rect">
                      <a:avLst/>
                    </a:prstGeom>
                    <a:noFill/>
                  </pic:spPr>
                </pic:pic>
              </a:graphicData>
            </a:graphic>
          </wp:anchor>
        </w:drawing>
      </w:r>
    </w:p>
    <w:p>
      <w:pPr>
        <w:ind w:left="240"/>
        <w:spacing w:after="0"/>
        <w:rPr>
          <w:sz w:val="20"/>
          <w:szCs w:val="20"/>
          <w:color w:val="auto"/>
        </w:rPr>
      </w:pPr>
      <w:r>
        <w:rPr>
          <w:rFonts w:ascii="Times New Roman" w:cs="Times New Roman" w:eastAsia="Times New Roman" w:hAnsi="Times New Roman"/>
          <w:sz w:val="12"/>
          <w:szCs w:val="12"/>
          <w:color w:val="auto"/>
        </w:rPr>
        <w:t>Loss on disposal of intangible assets</w:t>
      </w:r>
    </w:p>
    <w:p>
      <w:pPr>
        <w:spacing w:after="0" w:line="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2"/>
          <w:szCs w:val="12"/>
          <w:color w:val="auto"/>
        </w:rPr>
        <w:t>Change in operating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3810</wp:posOffset>
            </wp:positionV>
            <wp:extent cx="7178040" cy="914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8040" cy="91440"/>
                    </a:xfrm>
                    <a:prstGeom prst="rect">
                      <a:avLst/>
                    </a:prstGeom>
                    <a:noFill/>
                  </pic:spPr>
                </pic:pic>
              </a:graphicData>
            </a:graphic>
          </wp:anchor>
        </w:drawing>
      </w:r>
    </w:p>
    <w:p>
      <w:pPr>
        <w:ind w:left="240"/>
        <w:spacing w:after="0"/>
        <w:rPr>
          <w:sz w:val="20"/>
          <w:szCs w:val="20"/>
          <w:color w:val="auto"/>
        </w:rPr>
      </w:pPr>
      <w:r>
        <w:rPr>
          <w:rFonts w:ascii="Times New Roman" w:cs="Times New Roman" w:eastAsia="Times New Roman" w:hAnsi="Times New Roman"/>
          <w:sz w:val="12"/>
          <w:szCs w:val="12"/>
          <w:color w:val="auto"/>
        </w:rPr>
        <w:t>Accounts receivable</w:t>
      </w:r>
    </w:p>
    <w:p>
      <w:pPr>
        <w:spacing w:after="0" w:line="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2"/>
          <w:szCs w:val="12"/>
          <w:color w:val="auto"/>
        </w:rPr>
        <w:t>Deferred sales commissions</w:t>
      </w:r>
    </w:p>
    <w:p>
      <w:pPr>
        <w:spacing w:after="0" w:line="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2"/>
          <w:szCs w:val="12"/>
          <w:color w:val="auto"/>
        </w:rPr>
        <w:t>Prepaid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-86995</wp:posOffset>
            </wp:positionV>
            <wp:extent cx="7178040" cy="914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8040" cy="91440"/>
                    </a:xfrm>
                    <a:prstGeom prst="rect">
                      <a:avLst/>
                    </a:prstGeom>
                    <a:noFill/>
                  </pic:spPr>
                </pic:pic>
              </a:graphicData>
            </a:graphic>
          </wp:anchor>
        </w:drawing>
      </w:r>
    </w:p>
    <w:p>
      <w:pPr>
        <w:ind w:left="240"/>
        <w:spacing w:after="0"/>
        <w:rPr>
          <w:sz w:val="20"/>
          <w:szCs w:val="20"/>
          <w:color w:val="auto"/>
        </w:rPr>
      </w:pPr>
      <w:r>
        <w:rPr>
          <w:rFonts w:ascii="Times New Roman" w:cs="Times New Roman" w:eastAsia="Times New Roman" w:hAnsi="Times New Roman"/>
          <w:sz w:val="12"/>
          <w:szCs w:val="12"/>
          <w:color w:val="auto"/>
        </w:rPr>
        <w:t>Other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3810</wp:posOffset>
            </wp:positionV>
            <wp:extent cx="7178040" cy="9144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8040" cy="91440"/>
                    </a:xfrm>
                    <a:prstGeom prst="rect">
                      <a:avLst/>
                    </a:prstGeom>
                    <a:noFill/>
                  </pic:spPr>
                </pic:pic>
              </a:graphicData>
            </a:graphic>
          </wp:anchor>
        </w:drawing>
      </w:r>
    </w:p>
    <w:p>
      <w:pPr>
        <w:spacing w:after="0" w:line="1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2"/>
          <w:szCs w:val="12"/>
          <w:color w:val="auto"/>
        </w:rPr>
        <w:t>Change in operating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9144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8040" cy="91440"/>
                    </a:xfrm>
                    <a:prstGeom prst="rect">
                      <a:avLst/>
                    </a:prstGeom>
                    <a:noFill/>
                  </pic:spPr>
                </pic:pic>
              </a:graphicData>
            </a:graphic>
          </wp:anchor>
        </w:drawing>
      </w:r>
    </w:p>
    <w:p>
      <w:pPr>
        <w:ind w:left="360"/>
        <w:spacing w:after="0"/>
        <w:rPr>
          <w:sz w:val="20"/>
          <w:szCs w:val="20"/>
          <w:color w:val="auto"/>
        </w:rPr>
      </w:pPr>
      <w:r>
        <w:rPr>
          <w:rFonts w:ascii="Times New Roman" w:cs="Times New Roman" w:eastAsia="Times New Roman" w:hAnsi="Times New Roman"/>
          <w:sz w:val="12"/>
          <w:szCs w:val="12"/>
          <w:color w:val="auto"/>
        </w:rPr>
        <w:t>Accounts payable</w:t>
      </w:r>
    </w:p>
    <w:p>
      <w:pPr>
        <w:spacing w:after="0" w:line="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2"/>
          <w:szCs w:val="12"/>
          <w:color w:val="auto"/>
        </w:rPr>
        <w:t>Accrued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3810</wp:posOffset>
            </wp:positionV>
            <wp:extent cx="7178040" cy="971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8040" cy="97155"/>
                    </a:xfrm>
                    <a:prstGeom prst="rect">
                      <a:avLst/>
                    </a:prstGeom>
                    <a:noFill/>
                  </pic:spPr>
                </pic:pic>
              </a:graphicData>
            </a:graphic>
          </wp:anchor>
        </w:drawing>
      </w:r>
    </w:p>
    <w:p>
      <w:pPr>
        <w:ind w:left="360"/>
        <w:spacing w:after="0"/>
        <w:rPr>
          <w:sz w:val="20"/>
          <w:szCs w:val="20"/>
          <w:color w:val="auto"/>
        </w:rPr>
      </w:pPr>
      <w:r>
        <w:rPr>
          <w:rFonts w:ascii="Times New Roman" w:cs="Times New Roman" w:eastAsia="Times New Roman" w:hAnsi="Times New Roman"/>
          <w:sz w:val="12"/>
          <w:szCs w:val="12"/>
          <w:color w:val="auto"/>
        </w:rPr>
        <w:t>Deferred revenue</w:t>
      </w:r>
    </w:p>
    <w:p>
      <w:pPr>
        <w:spacing w:after="0" w:line="15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2"/>
          <w:szCs w:val="12"/>
          <w:color w:val="auto"/>
        </w:rPr>
        <w:t>NET CASH FLOWS FROM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-80010</wp:posOffset>
            </wp:positionV>
            <wp:extent cx="7178040" cy="971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8040" cy="97155"/>
                    </a:xfrm>
                    <a:prstGeom prst="rect">
                      <a:avLst/>
                    </a:prstGeom>
                    <a:noFill/>
                  </pic:spPr>
                </pic:pic>
              </a:graphicData>
            </a:graphic>
          </wp:anchor>
        </w:drawing>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CASH FLOWS FROM 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-77470</wp:posOffset>
            </wp:positionV>
            <wp:extent cx="7178040" cy="9144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8040" cy="91440"/>
                    </a:xfrm>
                    <a:prstGeom prst="rect">
                      <a:avLst/>
                    </a:prstGeom>
                    <a:noFill/>
                  </pic:spPr>
                </pic:pic>
              </a:graphicData>
            </a:graphic>
          </wp:anchor>
        </w:drawing>
      </w:r>
    </w:p>
    <w:p>
      <w:pPr>
        <w:spacing w:after="0" w:line="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2"/>
          <w:szCs w:val="12"/>
          <w:color w:val="auto"/>
        </w:rPr>
        <w:t>Purchase of intangible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178040" cy="971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8040" cy="97155"/>
                    </a:xfrm>
                    <a:prstGeom prst="rect">
                      <a:avLst/>
                    </a:prstGeom>
                    <a:noFill/>
                  </pic:spPr>
                </pic:pic>
              </a:graphicData>
            </a:graphic>
          </wp:anchor>
        </w:drawing>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CASH FLOWS FROM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7178040" cy="9144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8040" cy="91440"/>
                    </a:xfrm>
                    <a:prstGeom prst="rect">
                      <a:avLst/>
                    </a:prstGeom>
                    <a:noFill/>
                  </pic:spPr>
                </pic:pic>
              </a:graphicData>
            </a:graphic>
          </wp:anchor>
        </w:drawing>
      </w:r>
    </w:p>
    <w:p>
      <w:pPr>
        <w:spacing w:after="0" w:line="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2"/>
          <w:szCs w:val="12"/>
          <w:color w:val="auto"/>
        </w:rPr>
        <w:t>Proceeds from exercise of stock options</w:t>
      </w:r>
    </w:p>
    <w:p>
      <w:pPr>
        <w:spacing w:after="0" w:line="13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2"/>
          <w:szCs w:val="12"/>
          <w:color w:val="auto"/>
        </w:rPr>
        <w:t>NET CHANGE IN CASH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-80010</wp:posOffset>
            </wp:positionV>
            <wp:extent cx="7178040" cy="9144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8040" cy="91440"/>
                    </a:xfrm>
                    <a:prstGeom prst="rect">
                      <a:avLst/>
                    </a:prstGeom>
                    <a:noFill/>
                  </pic:spPr>
                </pic:pic>
              </a:graphicData>
            </a:graphic>
          </wp:anchor>
        </w:drawing>
      </w:r>
    </w:p>
    <w:p>
      <w:pPr>
        <w:ind w:left="480"/>
        <w:spacing w:after="0"/>
        <w:rPr>
          <w:sz w:val="20"/>
          <w:szCs w:val="20"/>
          <w:color w:val="auto"/>
        </w:rPr>
      </w:pPr>
      <w:r>
        <w:rPr>
          <w:rFonts w:ascii="Times New Roman" w:cs="Times New Roman" w:eastAsia="Times New Roman" w:hAnsi="Times New Roman"/>
          <w:sz w:val="12"/>
          <w:szCs w:val="12"/>
          <w:color w:val="auto"/>
        </w:rPr>
        <w:t>CASH, BEGINNING OF YEAR</w:t>
      </w:r>
    </w:p>
    <w:p>
      <w:pPr>
        <w:spacing w:after="0" w:line="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2"/>
          <w:szCs w:val="12"/>
          <w:color w:val="auto"/>
        </w:rPr>
        <w:t>CASH, END OF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-81280</wp:posOffset>
            </wp:positionV>
            <wp:extent cx="7178040" cy="10858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8040" cy="108585"/>
                    </a:xfrm>
                    <a:prstGeom prst="rect">
                      <a:avLst/>
                    </a:prstGeom>
                    <a:noFill/>
                  </pic:spPr>
                </pic:pic>
              </a:graphicData>
            </a:graphic>
          </wp:anchor>
        </w:drawing>
      </w:r>
    </w:p>
    <w:p>
      <w:pPr>
        <w:spacing w:after="0" w:line="173"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2"/>
          <w:szCs w:val="1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spacing w:after="0"/>
        <w:tabs>
          <w:tab w:leader="none" w:pos="1360" w:val="left"/>
        </w:tabs>
        <w:rPr>
          <w:sz w:val="20"/>
          <w:szCs w:val="20"/>
          <w:color w:val="auto"/>
        </w:rPr>
      </w:pPr>
      <w:r>
        <w:rPr>
          <w:rFonts w:ascii="Times New Roman" w:cs="Times New Roman" w:eastAsia="Times New Roman" w:hAnsi="Times New Roman"/>
          <w:sz w:val="12"/>
          <w:szCs w:val="12"/>
          <w:color w:val="auto"/>
        </w:rPr>
        <w:t>$</w:t>
      </w:r>
      <w:r>
        <w:rPr>
          <w:sz w:val="20"/>
          <w:szCs w:val="20"/>
          <w:color w:val="auto"/>
        </w:rPr>
        <w:tab/>
      </w:r>
      <w:r>
        <w:rPr>
          <w:rFonts w:ascii="Times New Roman" w:cs="Times New Roman" w:eastAsia="Times New Roman" w:hAnsi="Times New Roman"/>
          <w:sz w:val="12"/>
          <w:szCs w:val="12"/>
          <w:color w:val="auto"/>
        </w:rPr>
        <w:t>(5,180,636)</w:t>
      </w:r>
    </w:p>
    <w:p>
      <w:pPr>
        <w:spacing w:after="0" w:line="150"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2"/>
          <w:szCs w:val="12"/>
          <w:color w:val="auto"/>
        </w:rPr>
        <w:t>131,682</w:t>
      </w:r>
    </w:p>
    <w:p>
      <w:pPr>
        <w:spacing w:after="0" w:line="1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2"/>
          <w:szCs w:val="12"/>
          <w:color w:val="auto"/>
        </w:rPr>
        <w:t>(44,660)</w:t>
      </w:r>
    </w:p>
    <w:p>
      <w:pPr>
        <w:spacing w:after="0" w:line="6"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2"/>
          <w:szCs w:val="12"/>
          <w:color w:val="auto"/>
        </w:rPr>
        <w:t>764,753</w:t>
      </w:r>
    </w:p>
    <w:p>
      <w:pPr>
        <w:spacing w:after="0" w:line="6"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2"/>
          <w:szCs w:val="12"/>
          <w:color w:val="auto"/>
        </w:rPr>
        <w:t>3,945</w:t>
      </w:r>
    </w:p>
    <w:p>
      <w:pPr>
        <w:spacing w:after="0" w:line="6"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2"/>
          <w:szCs w:val="12"/>
          <w:color w:val="auto"/>
        </w:rPr>
        <w:t>136,733</w:t>
      </w:r>
    </w:p>
    <w:p>
      <w:pPr>
        <w:spacing w:after="0" w:line="6"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2"/>
          <w:szCs w:val="12"/>
          <w:color w:val="auto"/>
        </w:rPr>
        <w:t>235,000</w:t>
      </w:r>
    </w:p>
    <w:p>
      <w:pPr>
        <w:spacing w:after="0" w:line="6"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2"/>
          <w:szCs w:val="12"/>
          <w:color w:val="auto"/>
        </w:rPr>
        <w:t>12,549</w:t>
      </w:r>
    </w:p>
    <w:p>
      <w:pPr>
        <w:spacing w:after="0" w:line="139"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2"/>
          <w:szCs w:val="12"/>
          <w:color w:val="auto"/>
        </w:rPr>
        <w:t>183,904</w:t>
      </w:r>
    </w:p>
    <w:p>
      <w:pPr>
        <w:spacing w:after="0" w:line="1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2"/>
          <w:szCs w:val="12"/>
          <w:color w:val="auto"/>
        </w:rPr>
        <w:t>(761,270)</w:t>
      </w:r>
    </w:p>
    <w:p>
      <w:pPr>
        <w:spacing w:after="0" w:line="6"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2"/>
          <w:szCs w:val="12"/>
          <w:color w:val="auto"/>
        </w:rPr>
        <w:t>137,303</w:t>
      </w:r>
    </w:p>
    <w:p>
      <w:pPr>
        <w:spacing w:after="0" w:line="6"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2"/>
          <w:szCs w:val="12"/>
          <w:color w:val="auto"/>
        </w:rPr>
        <w:t>1,500</w:t>
      </w:r>
    </w:p>
    <w:p>
      <w:pPr>
        <w:spacing w:after="0" w:line="283"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2"/>
          <w:szCs w:val="12"/>
          <w:color w:val="auto"/>
        </w:rPr>
        <w:t>24,736</w:t>
      </w:r>
    </w:p>
    <w:p>
      <w:pPr>
        <w:spacing w:after="0" w:line="17"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2"/>
          <w:szCs w:val="12"/>
          <w:color w:val="auto"/>
        </w:rPr>
        <w:t>145,216</w:t>
      </w:r>
    </w:p>
    <w:p>
      <w:pPr>
        <w:spacing w:after="0" w:line="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2"/>
          <w:szCs w:val="12"/>
          <w:color w:val="auto"/>
        </w:rPr>
        <w:t>(475,875</w:t>
      </w:r>
      <w:r>
        <w:rPr>
          <w:rFonts w:ascii="Times New Roman" w:cs="Times New Roman" w:eastAsia="Times New Roman" w:hAnsi="Times New Roman"/>
          <w:sz w:val="12"/>
          <w:szCs w:val="12"/>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9525</wp:posOffset>
            </wp:positionV>
            <wp:extent cx="1217295" cy="571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217295" cy="5715"/>
                    </a:xfrm>
                    <a:prstGeom prst="rect">
                      <a:avLst/>
                    </a:prstGeom>
                    <a:noFill/>
                  </pic:spPr>
                </pic:pic>
              </a:graphicData>
            </a:graphic>
          </wp:anchor>
        </w:drawing>
      </w:r>
    </w:p>
    <w:p>
      <w:pPr>
        <w:spacing w:after="0" w:line="13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2"/>
          <w:szCs w:val="12"/>
          <w:color w:val="auto"/>
        </w:rPr>
        <w:t>(4,685,120)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16510</wp:posOffset>
            </wp:positionV>
            <wp:extent cx="1217295" cy="571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217295" cy="5715"/>
                    </a:xfrm>
                    <a:prstGeom prst="rect">
                      <a:avLst/>
                    </a:prstGeom>
                    <a:noFill/>
                  </pic:spPr>
                </pic:pic>
              </a:graphicData>
            </a:graphic>
          </wp:anchor>
        </w:drawing>
      </w:r>
    </w:p>
    <w:p>
      <w:pPr>
        <w:spacing w:after="0" w:line="29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2"/>
          <w:szCs w:val="12"/>
          <w:color w:val="auto"/>
        </w:rPr>
        <w:t>(12,386)</w:t>
      </w:r>
    </w:p>
    <w:p>
      <w:pPr>
        <w:spacing w:after="0" w:line="312"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2"/>
          <w:szCs w:val="12"/>
          <w:color w:val="auto"/>
        </w:rPr>
        <w:t>11,397</w:t>
      </w:r>
    </w:p>
    <w:p>
      <w:pPr>
        <w:spacing w:after="0" w:line="15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2"/>
          <w:szCs w:val="12"/>
          <w:color w:val="auto"/>
        </w:rPr>
        <w:t>(4,686,109)</w:t>
      </w:r>
    </w:p>
    <w:p>
      <w:pPr>
        <w:spacing w:after="0" w:line="1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2"/>
          <w:szCs w:val="12"/>
          <w:color w:val="auto"/>
        </w:rPr>
        <w:t>6,652,256</w:t>
      </w:r>
    </w:p>
    <w:p>
      <w:pPr>
        <w:spacing w:after="0" w:line="22" w:lineRule="exact"/>
        <w:rPr>
          <w:sz w:val="20"/>
          <w:szCs w:val="20"/>
          <w:color w:val="auto"/>
        </w:rPr>
      </w:pPr>
    </w:p>
    <w:p>
      <w:pPr>
        <w:spacing w:after="0"/>
        <w:tabs>
          <w:tab w:leader="none" w:pos="1400" w:val="left"/>
        </w:tabs>
        <w:rPr>
          <w:sz w:val="20"/>
          <w:szCs w:val="20"/>
          <w:color w:val="auto"/>
        </w:rPr>
      </w:pPr>
      <w:r>
        <w:rPr>
          <w:rFonts w:ascii="Times New Roman" w:cs="Times New Roman" w:eastAsia="Times New Roman" w:hAnsi="Times New Roman"/>
          <w:sz w:val="12"/>
          <w:szCs w:val="12"/>
          <w:color w:val="auto"/>
        </w:rPr>
        <w:t>$</w:t>
      </w:r>
      <w:r>
        <w:rPr>
          <w:sz w:val="20"/>
          <w:szCs w:val="20"/>
          <w:color w:val="auto"/>
        </w:rPr>
        <w:tab/>
      </w:r>
      <w:r>
        <w:rPr>
          <w:rFonts w:ascii="Times New Roman" w:cs="Times New Roman" w:eastAsia="Times New Roman" w:hAnsi="Times New Roman"/>
          <w:sz w:val="12"/>
          <w:szCs w:val="12"/>
          <w:color w:val="auto"/>
        </w:rPr>
        <w:t>1,966,147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22225</wp:posOffset>
            </wp:positionV>
            <wp:extent cx="1217295" cy="571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217295" cy="5715"/>
                    </a:xfrm>
                    <a:prstGeom prst="rect">
                      <a:avLst/>
                    </a:prstGeom>
                    <a:noFill/>
                  </pic:spPr>
                </pic:pic>
              </a:graphicData>
            </a:graphic>
          </wp:anchor>
        </w:drawing>
      </w:r>
    </w:p>
    <w:p>
      <w:pPr>
        <w:sectPr>
          <w:pgSz w:w="11900" w:h="16838" w:orient="portrait"/>
          <w:cols w:equalWidth="0" w:num="2">
            <w:col w:w="8560" w:space="720"/>
            <w:col w:w="1940"/>
          </w:cols>
          <w:pgMar w:left="300" w:top="485" w:right="37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2"/>
          <w:szCs w:val="12"/>
          <w:b w:val="1"/>
          <w:bCs w:val="1"/>
          <w:u w:val="single" w:color="auto"/>
          <w:color w:val="auto"/>
        </w:rPr>
        <w:t>(1) Summary of significant accounting policies</w:t>
      </w:r>
    </w:p>
    <w:p>
      <w:pPr>
        <w:spacing w:after="0" w:line="150" w:lineRule="exact"/>
        <w:rPr>
          <w:sz w:val="20"/>
          <w:szCs w:val="20"/>
          <w:color w:val="auto"/>
        </w:rPr>
      </w:pPr>
    </w:p>
    <w:p>
      <w:pPr>
        <w:jc w:val="both"/>
        <w:ind w:left="420"/>
        <w:spacing w:after="0" w:line="286" w:lineRule="auto"/>
        <w:rPr>
          <w:sz w:val="20"/>
          <w:szCs w:val="20"/>
          <w:color w:val="auto"/>
        </w:rPr>
      </w:pPr>
      <w:r>
        <w:rPr>
          <w:rFonts w:ascii="Times New Roman" w:cs="Times New Roman" w:eastAsia="Times New Roman" w:hAnsi="Times New Roman"/>
          <w:sz w:val="12"/>
          <w:szCs w:val="12"/>
          <w:b w:val="1"/>
          <w:bCs w:val="1"/>
          <w:color w:val="auto"/>
        </w:rPr>
        <w:t xml:space="preserve">Principles of consolidation </w:t>
      </w:r>
      <w:r>
        <w:rPr>
          <w:rFonts w:ascii="Times New Roman" w:cs="Times New Roman" w:eastAsia="Times New Roman" w:hAnsi="Times New Roman"/>
          <w:sz w:val="12"/>
          <w:szCs w:val="12"/>
          <w:color w:val="auto"/>
        </w:rPr>
        <w:t>– The accompanying consolidated financial statements include the accounts of ClearDoc, Inc., a Delaware corporation incorporated on February 9, 2017, and its wholly owned subsidiary, Balloon</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Technologies, Inc. (collectively, the “Company”). All intercompany profits, transactions and balances have been eliminated in consolidation.</w:t>
      </w:r>
    </w:p>
    <w:p>
      <w:pPr>
        <w:spacing w:after="0" w:line="103" w:lineRule="exact"/>
        <w:rPr>
          <w:sz w:val="20"/>
          <w:szCs w:val="20"/>
          <w:color w:val="auto"/>
        </w:rPr>
      </w:pPr>
    </w:p>
    <w:p>
      <w:pPr>
        <w:jc w:val="both"/>
        <w:ind w:left="420" w:right="20"/>
        <w:spacing w:after="0" w:line="286" w:lineRule="auto"/>
        <w:rPr>
          <w:sz w:val="20"/>
          <w:szCs w:val="20"/>
          <w:color w:val="auto"/>
        </w:rPr>
      </w:pPr>
      <w:r>
        <w:rPr>
          <w:rFonts w:ascii="Times New Roman" w:cs="Times New Roman" w:eastAsia="Times New Roman" w:hAnsi="Times New Roman"/>
          <w:sz w:val="12"/>
          <w:szCs w:val="12"/>
          <w:b w:val="1"/>
          <w:bCs w:val="1"/>
          <w:color w:val="auto"/>
        </w:rPr>
        <w:t xml:space="preserve">Nature of operations </w:t>
      </w:r>
      <w:r>
        <w:rPr>
          <w:rFonts w:ascii="Times New Roman" w:cs="Times New Roman" w:eastAsia="Times New Roman" w:hAnsi="Times New Roman"/>
          <w:sz w:val="12"/>
          <w:szCs w:val="12"/>
          <w:color w:val="auto"/>
        </w:rPr>
        <w:t>– The Company is a remote video capture technology provider headquartered in New York, New York. The Company provides subscription-based software as a service (“SaaS”) offering to enterprise,</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media, entertainment and agency teams to remotely control, direct, script, film, and collaborate on high-definition video projects from a mobile device or webcam.</w:t>
      </w:r>
    </w:p>
    <w:p>
      <w:pPr>
        <w:spacing w:after="0" w:line="103" w:lineRule="exact"/>
        <w:rPr>
          <w:sz w:val="20"/>
          <w:szCs w:val="20"/>
          <w:color w:val="auto"/>
        </w:rPr>
      </w:pPr>
    </w:p>
    <w:p>
      <w:pPr>
        <w:jc w:val="both"/>
        <w:ind w:left="420"/>
        <w:spacing w:after="0" w:line="259" w:lineRule="auto"/>
        <w:rPr>
          <w:sz w:val="20"/>
          <w:szCs w:val="20"/>
          <w:color w:val="auto"/>
        </w:rPr>
      </w:pPr>
      <w:r>
        <w:rPr>
          <w:rFonts w:ascii="Times New Roman" w:cs="Times New Roman" w:eastAsia="Times New Roman" w:hAnsi="Times New Roman"/>
          <w:sz w:val="12"/>
          <w:szCs w:val="12"/>
          <w:b w:val="1"/>
          <w:bCs w:val="1"/>
          <w:color w:val="auto"/>
        </w:rPr>
        <w:t xml:space="preserve">Use of estimates </w:t>
      </w:r>
      <w:r>
        <w:rPr>
          <w:rFonts w:ascii="Times New Roman" w:cs="Times New Roman" w:eastAsia="Times New Roman" w:hAnsi="Times New Roman"/>
          <w:sz w:val="12"/>
          <w:szCs w:val="12"/>
          <w:color w:val="auto"/>
        </w:rPr>
        <w:t>– The preparation of these consolidated financial statements in conformity with accounting principles generally accepted in the United States of America (“U.S. GAAP”) requires management to make</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estimates and assumptions that affect the reported amounts of assets and liabilities, and disclosures of contingent assets and liabilities, at the date of the consolidated financial statements and the reported amounts of revenues and expenses during the reporting period. Management’s significant estimates and assumptions include the average expected customer life used to calculate and amortize deferred sales commissions, determining whether the carrying value of identifiable intangible assets and goodwill is impaired, the fair value of stock option awards, accounting for internally developed software, allowance for doubtful accounts, allocation of payroll costs to cost of revenue, and the deferred income tax valuation allowance. Actual results could differ from those estimates.</w:t>
      </w:r>
    </w:p>
    <w:p>
      <w:pPr>
        <w:spacing w:after="0" w:line="119" w:lineRule="exact"/>
        <w:rPr>
          <w:sz w:val="20"/>
          <w:szCs w:val="20"/>
          <w:color w:val="auto"/>
        </w:rPr>
      </w:pPr>
    </w:p>
    <w:p>
      <w:pPr>
        <w:jc w:val="both"/>
        <w:ind w:left="420"/>
        <w:spacing w:after="0" w:line="286" w:lineRule="auto"/>
        <w:rPr>
          <w:sz w:val="20"/>
          <w:szCs w:val="20"/>
          <w:color w:val="auto"/>
        </w:rPr>
      </w:pPr>
      <w:r>
        <w:rPr>
          <w:rFonts w:ascii="Times New Roman" w:cs="Times New Roman" w:eastAsia="Times New Roman" w:hAnsi="Times New Roman"/>
          <w:sz w:val="12"/>
          <w:szCs w:val="12"/>
          <w:b w:val="1"/>
          <w:bCs w:val="1"/>
          <w:color w:val="auto"/>
        </w:rPr>
        <w:t xml:space="preserve">Cash </w:t>
      </w:r>
      <w:r>
        <w:rPr>
          <w:rFonts w:ascii="Times New Roman" w:cs="Times New Roman" w:eastAsia="Times New Roman" w:hAnsi="Times New Roman"/>
          <w:sz w:val="12"/>
          <w:szCs w:val="12"/>
          <w:color w:val="auto"/>
        </w:rPr>
        <w:t>– The Company’s cash consists of cash on hand and demand deposits held by financial institutions. At times, the Company maintains cash deposits in financial institutions in excess of federally insured limits. As of</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December 31, 2022, the uninsured portion of cash deposits held by financial institutions was $1,704,231. Management monitors the cash in excess of these limits and believes the risk of loss is negligible.</w:t>
      </w:r>
    </w:p>
    <w:p>
      <w:pPr>
        <w:spacing w:after="0" w:line="103" w:lineRule="exact"/>
        <w:rPr>
          <w:sz w:val="20"/>
          <w:szCs w:val="20"/>
          <w:color w:val="auto"/>
        </w:rPr>
      </w:pPr>
    </w:p>
    <w:p>
      <w:pPr>
        <w:jc w:val="both"/>
        <w:ind w:left="420"/>
        <w:spacing w:after="0" w:line="262" w:lineRule="auto"/>
        <w:rPr>
          <w:sz w:val="20"/>
          <w:szCs w:val="20"/>
          <w:color w:val="auto"/>
        </w:rPr>
      </w:pPr>
      <w:r>
        <w:rPr>
          <w:rFonts w:ascii="Times New Roman" w:cs="Times New Roman" w:eastAsia="Times New Roman" w:hAnsi="Times New Roman"/>
          <w:sz w:val="12"/>
          <w:szCs w:val="12"/>
          <w:b w:val="1"/>
          <w:bCs w:val="1"/>
          <w:color w:val="auto"/>
        </w:rPr>
        <w:t xml:space="preserve">Accounts receivable </w:t>
      </w:r>
      <w:r>
        <w:rPr>
          <w:rFonts w:ascii="Times New Roman" w:cs="Times New Roman" w:eastAsia="Times New Roman" w:hAnsi="Times New Roman"/>
          <w:sz w:val="12"/>
          <w:szCs w:val="12"/>
          <w:color w:val="auto"/>
        </w:rPr>
        <w:t>– The Company grants unsecured credit to all qualified customers. Billings and other consideration received on contracts in excess of related revenues recognized are recorded as advances from customers</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within deferred revenue. Interest is not charged on past due accounts. When necessary, the Company maintains an allowance for doubtful accounts based on historical collections and specific collection issues. If actual bad debts differ from the reserves calculated, the Company records an adjustment to bad debt expense in the period in which the difference occurs. As of December 31, 2022, the Company determined that an allowance for doubtful accounts was not necessary.</w:t>
      </w:r>
    </w:p>
    <w:p>
      <w:pPr>
        <w:spacing w:after="0" w:line="117" w:lineRule="exact"/>
        <w:rPr>
          <w:sz w:val="20"/>
          <w:szCs w:val="20"/>
          <w:color w:val="auto"/>
        </w:rPr>
      </w:pPr>
    </w:p>
    <w:p>
      <w:pPr>
        <w:jc w:val="both"/>
        <w:ind w:left="420"/>
        <w:spacing w:after="0" w:line="268" w:lineRule="auto"/>
        <w:rPr>
          <w:sz w:val="20"/>
          <w:szCs w:val="20"/>
          <w:color w:val="auto"/>
        </w:rPr>
      </w:pPr>
      <w:r>
        <w:rPr>
          <w:rFonts w:ascii="Times New Roman" w:cs="Times New Roman" w:eastAsia="Times New Roman" w:hAnsi="Times New Roman"/>
          <w:sz w:val="12"/>
          <w:szCs w:val="12"/>
          <w:b w:val="1"/>
          <w:bCs w:val="1"/>
          <w:color w:val="auto"/>
        </w:rPr>
        <w:t xml:space="preserve">Deferred sales commissions </w:t>
      </w:r>
      <w:r>
        <w:rPr>
          <w:rFonts w:ascii="Times New Roman" w:cs="Times New Roman" w:eastAsia="Times New Roman" w:hAnsi="Times New Roman"/>
          <w:sz w:val="12"/>
          <w:szCs w:val="12"/>
          <w:color w:val="auto"/>
        </w:rPr>
        <w:t>– Sales commissions earned by the Company’s sales force are considered incremental and recoverable costs of obtaining a contract with a customer. Sales commissions for initial contracts are</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deferred and then amortized on a straight-line basis over a period of benefit the Company has determined to be three years. The Company determined the period of benefit by taking into consideration the average contractual customer term, technology obsolescence and other factors.</w:t>
      </w:r>
    </w:p>
    <w:p>
      <w:pPr>
        <w:spacing w:after="0" w:line="1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485" w:right="299" w:bottom="1440" w:gutter="0" w:footer="0" w:header="0"/>
        </w:sectPr>
      </w:pPr>
    </w:p>
    <w:bookmarkStart w:id="23" w:name="page24"/>
    <w:bookmarkEnd w:id="23"/>
    <w:p>
      <w:pPr>
        <w:jc w:val="both"/>
        <w:spacing w:after="0" w:line="286" w:lineRule="auto"/>
        <w:rPr>
          <w:sz w:val="20"/>
          <w:szCs w:val="20"/>
          <w:color w:val="auto"/>
        </w:rPr>
      </w:pPr>
      <w:r>
        <w:rPr>
          <w:rFonts w:ascii="Times New Roman" w:cs="Times New Roman" w:eastAsia="Times New Roman" w:hAnsi="Times New Roman"/>
          <w:sz w:val="12"/>
          <w:szCs w:val="12"/>
          <w:b w:val="1"/>
          <w:bCs w:val="1"/>
          <w:color w:val="auto"/>
        </w:rPr>
        <w:t xml:space="preserve">Property and equipment, net </w:t>
      </w:r>
      <w:r>
        <w:rPr>
          <w:rFonts w:ascii="Times New Roman" w:cs="Times New Roman" w:eastAsia="Times New Roman" w:hAnsi="Times New Roman"/>
          <w:sz w:val="12"/>
          <w:szCs w:val="12"/>
          <w:color w:val="auto"/>
        </w:rPr>
        <w:t>– Property and equipment, which consists of computer equipment, is stated at cost less accumulated depreciation. Depreciation for computer equipment is charged to expense on the straight-line</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basis over a three-year estimated useful life. The Company does not own any other property and equipment as employees work remotely and an office building is not currently utilized.</w:t>
      </w:r>
    </w:p>
    <w:p>
      <w:pPr>
        <w:spacing w:after="0" w:line="10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2"/>
          <w:szCs w:val="12"/>
          <w:b w:val="1"/>
          <w:bCs w:val="1"/>
          <w:color w:val="auto"/>
        </w:rPr>
        <w:t xml:space="preserve">Goodwill </w:t>
      </w:r>
      <w:r>
        <w:rPr>
          <w:rFonts w:ascii="Times New Roman" w:cs="Times New Roman" w:eastAsia="Times New Roman" w:hAnsi="Times New Roman"/>
          <w:sz w:val="12"/>
          <w:szCs w:val="12"/>
          <w:color w:val="auto"/>
        </w:rPr>
        <w:t>– The Company has adopted ASU 2017-04,</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i w:val="1"/>
          <w:iCs w:val="1"/>
          <w:color w:val="auto"/>
        </w:rPr>
        <w:t>Intangibles – Goodwill and Other</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(Topic 350) – Simplifying the Test for Goodwill Impairment. Upon election of this accounting alternative for evaluating goodwill</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impairment triggering events, the Company performs a goodwill impairment triggering event evaluation only as of the end of each reporting period. The entity manages as one segment and integrates any acquired entities fully onto the Company’s platform, which is determined to be the reporting unit. A qualitative assessment is performed to determine whether the existence of events or circumstances leads to a determination that it is more likely than not the fair value of a reporting unit is less than the carrying amount, including goodwill. If, based on the evaluation, it is determined to be more likely than not that the fair value of a reporting unit is less than the carrying value, then goodwill is tested further for impairment. The quantitative impairment test consists of calculating the fair value of a reporting unit and comparing it to the carrying amount, including goodwill. The goodwill impairment loss, if any, is measured as the amount by which the carrying amount of a reporting unit, including goodwill, exceeds its fair value. Subsequent increases in goodwill value are not recognized in the consolidated financial statements.</w:t>
      </w:r>
    </w:p>
    <w:p>
      <w:pPr>
        <w:spacing w:after="0" w:line="122"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2"/>
          <w:szCs w:val="12"/>
          <w:b w:val="1"/>
          <w:bCs w:val="1"/>
          <w:color w:val="auto"/>
        </w:rPr>
        <w:t xml:space="preserve">Identifiable intangible assets, net </w:t>
      </w:r>
      <w:r>
        <w:rPr>
          <w:rFonts w:ascii="Times New Roman" w:cs="Times New Roman" w:eastAsia="Times New Roman" w:hAnsi="Times New Roman"/>
          <w:sz w:val="12"/>
          <w:szCs w:val="12"/>
          <w:color w:val="auto"/>
        </w:rPr>
        <w:t>– Identifiable intangible assets consist of video material licenses, a web domain, patents, trademarks, customer relationships, non- compete agreements, and technology, which are stated at</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cost, with the exception of assets acquired in a business combination which are capitalized at their initial fair values, and are being amortized ratably over their estimated useful lives. Identifiable intangible assets are amortized over the following estimated useful lives:</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8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10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Estimated</w:t>
            </w:r>
          </w:p>
        </w:tc>
      </w:tr>
      <w:tr>
        <w:trPr>
          <w:trHeight w:val="159"/>
        </w:trPr>
        <w:tc>
          <w:tcPr>
            <w:tcW w:w="842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Asset</w:t>
            </w:r>
          </w:p>
        </w:tc>
        <w:tc>
          <w:tcPr>
            <w:tcW w:w="210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Useful Life</w:t>
            </w:r>
          </w:p>
        </w:tc>
      </w:tr>
      <w:tr>
        <w:trPr>
          <w:trHeight w:val="133"/>
        </w:trPr>
        <w:tc>
          <w:tcPr>
            <w:tcW w:w="8220" w:type="dxa"/>
            <w:vAlign w:val="bottom"/>
            <w:tcBorders>
              <w:top w:val="single" w:sz="8" w:color="auto"/>
            </w:tcBorders>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Video material licenses</w:t>
            </w:r>
          </w:p>
        </w:tc>
        <w:tc>
          <w:tcPr>
            <w:tcW w:w="200" w:type="dxa"/>
            <w:vAlign w:val="bottom"/>
            <w:tcBorders>
              <w:top w:val="single" w:sz="8" w:color="CCEEFF"/>
            </w:tcBorders>
            <w:shd w:val="clear" w:color="auto" w:fill="CCEEFF"/>
          </w:tcPr>
          <w:p>
            <w:pPr>
              <w:spacing w:after="0"/>
              <w:rPr>
                <w:sz w:val="11"/>
                <w:szCs w:val="11"/>
                <w:color w:val="auto"/>
              </w:rPr>
            </w:pPr>
          </w:p>
        </w:tc>
        <w:tc>
          <w:tcPr>
            <w:tcW w:w="2100" w:type="dxa"/>
            <w:vAlign w:val="bottom"/>
            <w:tcBorders>
              <w:top w:val="single" w:sz="8" w:color="auto"/>
            </w:tcBorders>
            <w:shd w:val="clear" w:color="auto" w:fill="CCEEFF"/>
          </w:tcPr>
          <w:p>
            <w:pPr>
              <w:jc w:val="center"/>
              <w:spacing w:after="0" w:line="133" w:lineRule="exact"/>
              <w:rPr>
                <w:sz w:val="20"/>
                <w:szCs w:val="20"/>
                <w:color w:val="auto"/>
              </w:rPr>
            </w:pPr>
            <w:r>
              <w:rPr>
                <w:rFonts w:ascii="Times New Roman" w:cs="Times New Roman" w:eastAsia="Times New Roman" w:hAnsi="Times New Roman"/>
                <w:sz w:val="12"/>
                <w:szCs w:val="12"/>
                <w:color w:val="auto"/>
                <w:w w:val="98"/>
              </w:rPr>
              <w:t>5 years</w:t>
            </w:r>
          </w:p>
        </w:tc>
      </w:tr>
      <w:tr>
        <w:trPr>
          <w:trHeight w:val="144"/>
        </w:trPr>
        <w:tc>
          <w:tcPr>
            <w:tcW w:w="842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Web domain</w:t>
            </w:r>
          </w:p>
        </w:tc>
        <w:tc>
          <w:tcPr>
            <w:tcW w:w="210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15 years</w:t>
            </w:r>
          </w:p>
        </w:tc>
      </w:tr>
      <w:tr>
        <w:trPr>
          <w:trHeight w:val="144"/>
        </w:trPr>
        <w:tc>
          <w:tcPr>
            <w:tcW w:w="8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Patents</w:t>
            </w:r>
          </w:p>
        </w:tc>
        <w:tc>
          <w:tcPr>
            <w:tcW w:w="2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9"/>
              </w:rPr>
              <w:t>20 years</w:t>
            </w:r>
          </w:p>
        </w:tc>
      </w:tr>
      <w:tr>
        <w:trPr>
          <w:trHeight w:val="144"/>
        </w:trPr>
        <w:tc>
          <w:tcPr>
            <w:tcW w:w="842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Trademark</w:t>
            </w:r>
          </w:p>
        </w:tc>
        <w:tc>
          <w:tcPr>
            <w:tcW w:w="210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8"/>
              </w:rPr>
              <w:t>2 years</w:t>
            </w:r>
          </w:p>
        </w:tc>
      </w:tr>
      <w:tr>
        <w:trPr>
          <w:trHeight w:val="144"/>
        </w:trPr>
        <w:tc>
          <w:tcPr>
            <w:tcW w:w="8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Customer Relationships</w:t>
            </w:r>
          </w:p>
        </w:tc>
        <w:tc>
          <w:tcPr>
            <w:tcW w:w="2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8"/>
              </w:rPr>
              <w:t>3 years</w:t>
            </w:r>
          </w:p>
        </w:tc>
      </w:tr>
      <w:tr>
        <w:trPr>
          <w:trHeight w:val="144"/>
        </w:trPr>
        <w:tc>
          <w:tcPr>
            <w:tcW w:w="842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Existing Technology</w:t>
            </w:r>
          </w:p>
        </w:tc>
        <w:tc>
          <w:tcPr>
            <w:tcW w:w="210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8"/>
              </w:rPr>
              <w:t>5 years</w:t>
            </w:r>
          </w:p>
        </w:tc>
      </w:tr>
      <w:tr>
        <w:trPr>
          <w:trHeight w:val="144"/>
        </w:trPr>
        <w:tc>
          <w:tcPr>
            <w:tcW w:w="8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Non-Compete Agreements</w:t>
            </w:r>
          </w:p>
        </w:tc>
        <w:tc>
          <w:tcPr>
            <w:tcW w:w="2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8"/>
              </w:rPr>
              <w:t>3 years</w:t>
            </w:r>
          </w:p>
        </w:tc>
      </w:tr>
    </w:tbl>
    <w:p>
      <w:pPr>
        <w:spacing w:after="0" w:line="129" w:lineRule="exact"/>
        <w:rPr>
          <w:sz w:val="20"/>
          <w:szCs w:val="20"/>
          <w:color w:val="auto"/>
        </w:rPr>
      </w:pPr>
    </w:p>
    <w:p>
      <w:pPr>
        <w:ind w:right="20"/>
        <w:spacing w:after="0" w:line="268" w:lineRule="auto"/>
        <w:rPr>
          <w:sz w:val="20"/>
          <w:szCs w:val="20"/>
          <w:color w:val="auto"/>
        </w:rPr>
      </w:pPr>
      <w:r>
        <w:rPr>
          <w:rFonts w:ascii="Times New Roman" w:cs="Times New Roman" w:eastAsia="Times New Roman" w:hAnsi="Times New Roman"/>
          <w:sz w:val="12"/>
          <w:szCs w:val="12"/>
          <w:b w:val="1"/>
          <w:bCs w:val="1"/>
          <w:color w:val="auto"/>
        </w:rPr>
        <w:t xml:space="preserve">Impairment of long-lived assets </w:t>
      </w:r>
      <w:r>
        <w:rPr>
          <w:rFonts w:ascii="Times New Roman" w:cs="Times New Roman" w:eastAsia="Times New Roman" w:hAnsi="Times New Roman"/>
          <w:sz w:val="12"/>
          <w:szCs w:val="12"/>
          <w:color w:val="auto"/>
        </w:rPr>
        <w:t>– Management reviews long-lived assets, which includes property and equipment and identifiable definite lived intangible assets, for impairment when circumstances indicate the carrying</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amount of an asset may not be recoverable based on the undiscounted future cash flows of the asset. If the carrying amount of an asset may not be recoverable, a write-down to fair value is recorded. There was no impairment losses recognized during the year ended December 31, 2022.</w:t>
      </w:r>
    </w:p>
    <w:p>
      <w:pPr>
        <w:spacing w:after="0" w:line="114"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2"/>
          <w:szCs w:val="12"/>
          <w:b w:val="1"/>
          <w:bCs w:val="1"/>
          <w:color w:val="auto"/>
        </w:rPr>
        <w:t xml:space="preserve">Stock-based compensation </w:t>
      </w:r>
      <w:r>
        <w:rPr>
          <w:rFonts w:ascii="Times New Roman" w:cs="Times New Roman" w:eastAsia="Times New Roman" w:hAnsi="Times New Roman"/>
          <w:sz w:val="12"/>
          <w:szCs w:val="12"/>
          <w:color w:val="auto"/>
        </w:rPr>
        <w:t>– The Company measures stock-based compensation to employees at the grant date and recognizes compensation expense over the requisite service period. Stock-based compensation costs are</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included in operating expenses in the consolidated statement of operations.</w:t>
      </w:r>
    </w:p>
    <w:p>
      <w:pPr>
        <w:spacing w:after="0" w:line="107"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2"/>
          <w:szCs w:val="1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-271145</wp:posOffset>
            </wp:positionH>
            <wp:positionV relativeFrom="paragraph">
              <wp:posOffset>10795</wp:posOffset>
            </wp:positionV>
            <wp:extent cx="7178040" cy="571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0880"/>
          </w:cols>
          <w:pgMar w:left="720" w:top="485" w:right="299" w:bottom="1440" w:gutter="0" w:footer="0" w:header="0"/>
        </w:sectPr>
      </w:pPr>
    </w:p>
    <w:bookmarkStart w:id="24" w:name="page25"/>
    <w:bookmarkEnd w:id="24"/>
    <w:p>
      <w:pPr>
        <w:jc w:val="both"/>
        <w:ind w:right="20"/>
        <w:spacing w:after="0" w:line="268" w:lineRule="auto"/>
        <w:rPr>
          <w:sz w:val="20"/>
          <w:szCs w:val="20"/>
          <w:color w:val="auto"/>
        </w:rPr>
      </w:pPr>
      <w:r>
        <w:rPr>
          <w:rFonts w:ascii="Times New Roman" w:cs="Times New Roman" w:eastAsia="Times New Roman" w:hAnsi="Times New Roman"/>
          <w:sz w:val="12"/>
          <w:szCs w:val="12"/>
          <w:b w:val="1"/>
          <w:bCs w:val="1"/>
          <w:color w:val="auto"/>
        </w:rPr>
        <w:t xml:space="preserve">Income taxes </w:t>
      </w:r>
      <w:r>
        <w:rPr>
          <w:rFonts w:ascii="Times New Roman" w:cs="Times New Roman" w:eastAsia="Times New Roman" w:hAnsi="Times New Roman"/>
          <w:sz w:val="12"/>
          <w:szCs w:val="12"/>
          <w:color w:val="auto"/>
        </w:rPr>
        <w:t>– ClearDoc, Inc. and Balloon Technologies, Inc. are corporations. The Company utilizes the asset and liability method of accounting for income taxes in accordance with ASC 740-10,</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i w:val="1"/>
          <w:iCs w:val="1"/>
          <w:color w:val="auto"/>
        </w:rPr>
        <w:t>Income Taxes</w:t>
      </w:r>
      <w:r>
        <w:rPr>
          <w:rFonts w:ascii="Times New Roman" w:cs="Times New Roman" w:eastAsia="Times New Roman" w:hAnsi="Times New Roman"/>
          <w:sz w:val="12"/>
          <w:szCs w:val="12"/>
          <w:color w:val="auto"/>
        </w:rPr>
        <w:t>, under which</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deferred income taxes are determined based on the temporary differences between the consolidated financial statements and income tax basis of assets and liabilities using tax rates expected to be in effect during the years in which the basis differences reverse. A valuation allowance is recorded when it is more likely than not that some of the deferred income tax assets will not be realized.</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As the Company has net operating loss carry forwards for federal and state purposes, the statute of limitations remains open for all tax years to the extent the tax attributes are carried forward into future tax years.</w:t>
      </w:r>
    </w:p>
    <w:p>
      <w:pPr>
        <w:spacing w:after="0" w:line="148" w:lineRule="exact"/>
        <w:rPr>
          <w:sz w:val="20"/>
          <w:szCs w:val="20"/>
          <w:color w:val="auto"/>
        </w:rPr>
      </w:pPr>
    </w:p>
    <w:p>
      <w:pPr>
        <w:jc w:val="both"/>
        <w:ind w:firstLine="1"/>
        <w:spacing w:after="0" w:line="261" w:lineRule="auto"/>
        <w:rPr>
          <w:sz w:val="20"/>
          <w:szCs w:val="20"/>
          <w:color w:val="auto"/>
        </w:rPr>
      </w:pPr>
      <w:r>
        <w:rPr>
          <w:rFonts w:ascii="Times New Roman" w:cs="Times New Roman" w:eastAsia="Times New Roman" w:hAnsi="Times New Roman"/>
          <w:sz w:val="12"/>
          <w:szCs w:val="12"/>
          <w:color w:val="auto"/>
        </w:rPr>
        <w:t xml:space="preserve">The Company has adopted the standards requiring disclosure of uncertain income tax positions under ASC 740, </w:t>
      </w:r>
      <w:r>
        <w:rPr>
          <w:rFonts w:ascii="Times New Roman" w:cs="Times New Roman" w:eastAsia="Times New Roman" w:hAnsi="Times New Roman"/>
          <w:sz w:val="12"/>
          <w:szCs w:val="12"/>
          <w:i w:val="1"/>
          <w:iCs w:val="1"/>
          <w:color w:val="auto"/>
        </w:rPr>
        <w:t>Income Taxes</w:t>
      </w:r>
      <w:r>
        <w:rPr>
          <w:rFonts w:ascii="Times New Roman" w:cs="Times New Roman" w:eastAsia="Times New Roman" w:hAnsi="Times New Roman"/>
          <w:sz w:val="12"/>
          <w:szCs w:val="12"/>
          <w:color w:val="auto"/>
        </w:rPr>
        <w:t>. A company may recognize the tax benefit from an uncertain tax position only if it is more likely than not that the tax position will be sustained on examination by taxing authorities, based on the technical merits of the position. The tax benefits recognized in the consolidated financial statements from such a position are measured on the largest benefit that has a greater than 50% likelihood of being realized upon settlement. The Company has not identified any tax positions which are considered to be uncertain. There has been no interest or penalties recognized in the consolidated financial statements.</w:t>
      </w:r>
    </w:p>
    <w:p>
      <w:pPr>
        <w:spacing w:after="0" w:line="122"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2"/>
          <w:szCs w:val="12"/>
          <w:color w:val="auto"/>
        </w:rPr>
        <w:t>In addition, no tax positions exist for which it is reasonably possible that the total amounts of unrecognized tax benefits will significantly increase or decrease within the next 12 months. The Company files income tax returns in the U.S. federal jurisdiction and in various state jurisdictions. With few exceptions, the Company is no longer subject to income tax examination by the U.S. federal, state or local tax authorities for years before 2019. As the Company has indefinite lived net operating losses, the statute of limitations remains open until three years after the net operating losses are utilized.</w:t>
      </w:r>
    </w:p>
    <w:p>
      <w:pPr>
        <w:spacing w:after="0" w:line="11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2"/>
          <w:szCs w:val="12"/>
          <w:b w:val="1"/>
          <w:bCs w:val="1"/>
          <w:color w:val="auto"/>
        </w:rPr>
        <w:t xml:space="preserve">Revenue recognition </w:t>
      </w:r>
      <w:r>
        <w:rPr>
          <w:rFonts w:ascii="Times New Roman" w:cs="Times New Roman" w:eastAsia="Times New Roman" w:hAnsi="Times New Roman"/>
          <w:sz w:val="12"/>
          <w:szCs w:val="12"/>
          <w:color w:val="auto"/>
        </w:rPr>
        <w:t>– The Company primarily derives its revenues using a SaaS subscription model. Revenues are recognized by completing a five-step process: 1) identifying the contract with a customer, 2) identifying the</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performance obligations in the contract, 3) determining the transaction price, 4) allocating the transaction price to the performance obligations, and 5) recognizing revenue when or as the performance obligation is satisfied.</w:t>
      </w:r>
    </w:p>
    <w:p>
      <w:pPr>
        <w:spacing w:after="0" w:line="107"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2"/>
          <w:szCs w:val="12"/>
          <w:color w:val="auto"/>
        </w:rPr>
        <w:t>The Company primarily enters into fixed price subscription contracts with customers. Customers have the option of entering into monthly, one-year, or multi-year service agreements, which auto renew without discount for additional periods of the same duration as the initial term, unless either party requests termination in writing at least thirty days prior to the end of the initial service term. Subscription revenues are recognized ratably over the term of the service agreement, which is considered an output method, as the obligation of hosting the SaaS product is fulfilled over the course of the agreement. The Company does not charge for implementation or recognize any revenues upfront due to the minimal effort required.</w:t>
      </w:r>
    </w:p>
    <w:p>
      <w:pPr>
        <w:spacing w:after="0" w:line="122"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2"/>
          <w:szCs w:val="12"/>
          <w:color w:val="auto"/>
        </w:rPr>
        <w:t>Deferred revenue results from advance cash receipts from customers or advance billings of customers at the inception of the billing period for subscriptions and is recognized as revenue when revenue recognition criteria are met. Deferred revenue represents contract liabilities.</w:t>
      </w:r>
    </w:p>
    <w:p>
      <w:pPr>
        <w:spacing w:after="0" w:line="111"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2"/>
          <w:szCs w:val="1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-271145</wp:posOffset>
            </wp:positionH>
            <wp:positionV relativeFrom="paragraph">
              <wp:posOffset>10795</wp:posOffset>
            </wp:positionV>
            <wp:extent cx="7178040" cy="571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0880"/>
          </w:cols>
          <w:pgMar w:left="720" w:top="485" w:right="299" w:bottom="1440" w:gutter="0" w:footer="0" w:header="0"/>
        </w:sectPr>
      </w:pPr>
    </w:p>
    <w:bookmarkStart w:id="25" w:name="page26"/>
    <w:bookmarkEnd w:id="25"/>
    <w:tbl>
      <w:tblPr>
        <w:tblLayout w:type="fixed"/>
        <w:tblInd w:w="0" w:type="dxa"/>
        <w:tblCellMar>
          <w:top w:w="0" w:type="dxa"/>
          <w:left w:w="0" w:type="dxa"/>
          <w:bottom w:w="0" w:type="dxa"/>
          <w:right w:w="0" w:type="dxa"/>
        </w:tblCellMar>
      </w:tblPr>
      <w:tr>
        <w:trPr>
          <w:trHeight w:val="159"/>
        </w:trPr>
        <w:tc>
          <w:tcPr>
            <w:tcW w:w="652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 xml:space="preserve">Revenue recognition (continued) </w:t>
            </w:r>
            <w:r>
              <w:rPr>
                <w:rFonts w:ascii="Times New Roman" w:cs="Times New Roman" w:eastAsia="Times New Roman" w:hAnsi="Times New Roman"/>
                <w:sz w:val="12"/>
                <w:szCs w:val="12"/>
                <w:color w:val="auto"/>
              </w:rPr>
              <w:t>– The beginning and ending contract balances are as follows:</w:t>
            </w:r>
          </w:p>
        </w:tc>
        <w:tc>
          <w:tcPr>
            <w:tcW w:w="24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97"/>
        </w:trPr>
        <w:tc>
          <w:tcPr>
            <w:tcW w:w="6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80" w:type="dxa"/>
            <w:vAlign w:val="bottom"/>
            <w:gridSpan w:val="2"/>
          </w:tcPr>
          <w:p>
            <w:pPr>
              <w:jc w:val="right"/>
              <w:ind w:right="740"/>
              <w:spacing w:after="0"/>
              <w:rPr>
                <w:sz w:val="20"/>
                <w:szCs w:val="20"/>
                <w:color w:val="auto"/>
              </w:rPr>
            </w:pPr>
            <w:r>
              <w:rPr>
                <w:rFonts w:ascii="Times New Roman" w:cs="Times New Roman" w:eastAsia="Times New Roman" w:hAnsi="Times New Roman"/>
                <w:sz w:val="12"/>
                <w:szCs w:val="12"/>
                <w:b w:val="1"/>
                <w:bCs w:val="1"/>
                <w:color w:val="auto"/>
              </w:rPr>
              <w:t>December 31, 2022</w:t>
            </w:r>
          </w:p>
        </w:tc>
        <w:tc>
          <w:tcPr>
            <w:tcW w:w="280" w:type="dxa"/>
            <w:vAlign w:val="bottom"/>
          </w:tcPr>
          <w:p>
            <w:pPr>
              <w:spacing w:after="0"/>
              <w:rPr>
                <w:sz w:val="24"/>
                <w:szCs w:val="24"/>
                <w:color w:val="auto"/>
              </w:rPr>
            </w:pPr>
          </w:p>
        </w:tc>
        <w:tc>
          <w:tcPr>
            <w:tcW w:w="1600" w:type="dxa"/>
            <w:vAlign w:val="bottom"/>
            <w:gridSpan w:val="2"/>
          </w:tcPr>
          <w:p>
            <w:pPr>
              <w:ind w:left="200"/>
              <w:spacing w:after="0"/>
              <w:rPr>
                <w:sz w:val="20"/>
                <w:szCs w:val="20"/>
                <w:color w:val="auto"/>
              </w:rPr>
            </w:pPr>
            <w:r>
              <w:rPr>
                <w:rFonts w:ascii="Times New Roman" w:cs="Times New Roman" w:eastAsia="Times New Roman" w:hAnsi="Times New Roman"/>
                <w:sz w:val="12"/>
                <w:szCs w:val="12"/>
                <w:b w:val="1"/>
                <w:bCs w:val="1"/>
                <w:color w:val="auto"/>
              </w:rPr>
              <w:t>January 1, 2022</w:t>
            </w:r>
          </w:p>
        </w:tc>
      </w:tr>
      <w:tr>
        <w:trPr>
          <w:trHeight w:val="133"/>
        </w:trPr>
        <w:tc>
          <w:tcPr>
            <w:tcW w:w="6520" w:type="dxa"/>
            <w:vAlign w:val="bottom"/>
            <w:tcBorders>
              <w:top w:val="single" w:sz="8" w:color="CCEEFF"/>
            </w:tcBorders>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Accounts receivable, net</w:t>
            </w:r>
          </w:p>
        </w:tc>
        <w:tc>
          <w:tcPr>
            <w:tcW w:w="240" w:type="dxa"/>
            <w:vAlign w:val="bottom"/>
            <w:tcBorders>
              <w:top w:val="single" w:sz="8" w:color="auto"/>
            </w:tcBorders>
            <w:shd w:val="clear" w:color="auto" w:fill="CCEEFF"/>
          </w:tcPr>
          <w:p>
            <w:pPr>
              <w:jc w:val="right"/>
              <w:ind w:right="126"/>
              <w:spacing w:after="0"/>
              <w:rPr>
                <w:sz w:val="20"/>
                <w:szCs w:val="20"/>
                <w:color w:val="auto"/>
              </w:rPr>
            </w:pPr>
            <w:r>
              <w:rPr>
                <w:rFonts w:ascii="Times New Roman" w:cs="Times New Roman" w:eastAsia="Times New Roman" w:hAnsi="Times New Roman"/>
                <w:sz w:val="11"/>
                <w:szCs w:val="11"/>
                <w:color w:val="auto"/>
                <w:w w:val="71"/>
              </w:rPr>
              <w:t>$</w:t>
            </w:r>
          </w:p>
        </w:tc>
        <w:tc>
          <w:tcPr>
            <w:tcW w:w="156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915,946</w:t>
            </w:r>
          </w:p>
        </w:tc>
        <w:tc>
          <w:tcPr>
            <w:tcW w:w="320" w:type="dxa"/>
            <w:vAlign w:val="bottom"/>
            <w:tcBorders>
              <w:top w:val="single" w:sz="8" w:color="CCEEFF"/>
            </w:tcBorders>
            <w:shd w:val="clear" w:color="auto" w:fill="CCEEFF"/>
          </w:tcPr>
          <w:p>
            <w:pPr>
              <w:spacing w:after="0"/>
              <w:rPr>
                <w:sz w:val="11"/>
                <w:szCs w:val="11"/>
                <w:color w:val="auto"/>
              </w:rPr>
            </w:pPr>
          </w:p>
        </w:tc>
        <w:tc>
          <w:tcPr>
            <w:tcW w:w="280" w:type="dxa"/>
            <w:vAlign w:val="bottom"/>
            <w:tcBorders>
              <w:top w:val="single" w:sz="8" w:color="auto"/>
            </w:tcBorders>
            <w:shd w:val="clear" w:color="auto" w:fill="CCEEFF"/>
          </w:tcPr>
          <w:p>
            <w:pPr>
              <w:jc w:val="right"/>
              <w:ind w:right="166"/>
              <w:spacing w:after="0"/>
              <w:rPr>
                <w:sz w:val="20"/>
                <w:szCs w:val="20"/>
                <w:color w:val="auto"/>
              </w:rPr>
            </w:pPr>
            <w:r>
              <w:rPr>
                <w:rFonts w:ascii="Times New Roman" w:cs="Times New Roman" w:eastAsia="Times New Roman" w:hAnsi="Times New Roman"/>
                <w:sz w:val="11"/>
                <w:szCs w:val="11"/>
                <w:color w:val="auto"/>
                <w:w w:val="71"/>
              </w:rPr>
              <w:t>$</w:t>
            </w:r>
          </w:p>
        </w:tc>
        <w:tc>
          <w:tcPr>
            <w:tcW w:w="150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1,055,190</w:t>
            </w:r>
          </w:p>
        </w:tc>
        <w:tc>
          <w:tcPr>
            <w:tcW w:w="100" w:type="dxa"/>
            <w:vAlign w:val="bottom"/>
            <w:tcBorders>
              <w:top w:val="single" w:sz="8" w:color="CCEEFF"/>
            </w:tcBorders>
            <w:shd w:val="clear" w:color="auto" w:fill="CCEEFF"/>
          </w:tcPr>
          <w:p>
            <w:pPr>
              <w:spacing w:after="0"/>
              <w:rPr>
                <w:sz w:val="11"/>
                <w:szCs w:val="11"/>
                <w:color w:val="auto"/>
              </w:rPr>
            </w:pPr>
          </w:p>
        </w:tc>
      </w:tr>
      <w:tr>
        <w:trPr>
          <w:trHeight w:val="155"/>
        </w:trPr>
        <w:tc>
          <w:tcPr>
            <w:tcW w:w="6520" w:type="dxa"/>
            <w:vAlign w:val="bottom"/>
          </w:tcPr>
          <w:p>
            <w:pPr>
              <w:spacing w:after="0"/>
              <w:rPr>
                <w:sz w:val="20"/>
                <w:szCs w:val="20"/>
                <w:color w:val="auto"/>
              </w:rPr>
            </w:pPr>
            <w:r>
              <w:rPr>
                <w:rFonts w:ascii="Times New Roman" w:cs="Times New Roman" w:eastAsia="Times New Roman" w:hAnsi="Times New Roman"/>
                <w:sz w:val="12"/>
                <w:szCs w:val="12"/>
                <w:color w:val="auto"/>
              </w:rPr>
              <w:t>Deferred revenue</w:t>
            </w:r>
          </w:p>
        </w:tc>
        <w:tc>
          <w:tcPr>
            <w:tcW w:w="240" w:type="dxa"/>
            <w:vAlign w:val="bottom"/>
          </w:tcPr>
          <w:p>
            <w:pPr>
              <w:jc w:val="right"/>
              <w:ind w:right="126"/>
              <w:spacing w:after="0"/>
              <w:rPr>
                <w:sz w:val="20"/>
                <w:szCs w:val="20"/>
                <w:color w:val="auto"/>
              </w:rPr>
            </w:pPr>
            <w:r>
              <w:rPr>
                <w:rFonts w:ascii="Times New Roman" w:cs="Times New Roman" w:eastAsia="Times New Roman" w:hAnsi="Times New Roman"/>
                <w:sz w:val="11"/>
                <w:szCs w:val="11"/>
                <w:color w:val="auto"/>
                <w:w w:val="71"/>
              </w:rPr>
              <w:t>$</w:t>
            </w:r>
          </w:p>
        </w:tc>
        <w:tc>
          <w:tcPr>
            <w:tcW w:w="1880" w:type="dxa"/>
            <w:vAlign w:val="bottom"/>
            <w:gridSpan w:val="2"/>
          </w:tcPr>
          <w:p>
            <w:pPr>
              <w:jc w:val="right"/>
              <w:ind w:right="320"/>
              <w:spacing w:after="0"/>
              <w:rPr>
                <w:sz w:val="20"/>
                <w:szCs w:val="20"/>
                <w:color w:val="auto"/>
              </w:rPr>
            </w:pPr>
            <w:r>
              <w:rPr>
                <w:rFonts w:ascii="Times New Roman" w:cs="Times New Roman" w:eastAsia="Times New Roman" w:hAnsi="Times New Roman"/>
                <w:sz w:val="12"/>
                <w:szCs w:val="12"/>
                <w:color w:val="auto"/>
              </w:rPr>
              <w:t>3,764,427</w:t>
            </w:r>
          </w:p>
        </w:tc>
        <w:tc>
          <w:tcPr>
            <w:tcW w:w="280" w:type="dxa"/>
            <w:vAlign w:val="bottom"/>
          </w:tcPr>
          <w:p>
            <w:pPr>
              <w:jc w:val="right"/>
              <w:ind w:right="166"/>
              <w:spacing w:after="0"/>
              <w:rPr>
                <w:sz w:val="20"/>
                <w:szCs w:val="20"/>
                <w:color w:val="auto"/>
              </w:rPr>
            </w:pPr>
            <w:r>
              <w:rPr>
                <w:rFonts w:ascii="Times New Roman" w:cs="Times New Roman" w:eastAsia="Times New Roman" w:hAnsi="Times New Roman"/>
                <w:sz w:val="11"/>
                <w:szCs w:val="11"/>
                <w:color w:val="auto"/>
                <w:w w:val="71"/>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4,240,303</w:t>
            </w:r>
          </w:p>
        </w:tc>
        <w:tc>
          <w:tcPr>
            <w:tcW w:w="100" w:type="dxa"/>
            <w:vAlign w:val="bottom"/>
          </w:tcPr>
          <w:p>
            <w:pPr>
              <w:spacing w:after="0"/>
              <w:rPr>
                <w:sz w:val="13"/>
                <w:szCs w:val="13"/>
                <w:color w:val="auto"/>
              </w:rPr>
            </w:pPr>
          </w:p>
        </w:tc>
      </w:tr>
    </w:tbl>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Of the $4,240,303 deferred revenue opening balance as of January 1, 2022, $4,205,099 was recognized as revenue in 2022.</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xml:space="preserve">The following FASB ASC 606, </w:t>
      </w:r>
      <w:r>
        <w:rPr>
          <w:rFonts w:ascii="Times New Roman" w:cs="Times New Roman" w:eastAsia="Times New Roman" w:hAnsi="Times New Roman"/>
          <w:sz w:val="12"/>
          <w:szCs w:val="12"/>
          <w:i w:val="1"/>
          <w:iCs w:val="1"/>
          <w:color w:val="auto"/>
        </w:rPr>
        <w:t>Revenue from Contracts with Customers</w:t>
      </w:r>
      <w:r>
        <w:rPr>
          <w:rFonts w:ascii="Times New Roman" w:cs="Times New Roman" w:eastAsia="Times New Roman" w:hAnsi="Times New Roman"/>
          <w:sz w:val="12"/>
          <w:szCs w:val="12"/>
          <w:color w:val="auto"/>
        </w:rPr>
        <w:t>, practical expedients are utilized:</w:t>
      </w:r>
    </w:p>
    <w:p>
      <w:pPr>
        <w:spacing w:after="0" w:line="152" w:lineRule="exact"/>
        <w:rPr>
          <w:sz w:val="20"/>
          <w:szCs w:val="20"/>
          <w:color w:val="auto"/>
        </w:rPr>
      </w:pPr>
    </w:p>
    <w:p>
      <w:pPr>
        <w:ind w:left="440" w:hanging="220"/>
        <w:spacing w:after="0" w:line="259" w:lineRule="auto"/>
        <w:tabs>
          <w:tab w:leader="none" w:pos="440" w:val="left"/>
        </w:tabs>
        <w:numPr>
          <w:ilvl w:val="0"/>
          <w:numId w:val="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When an unconditional right to consideration from a customer in an amount that corresponds directly with the value of performance completed to date exists, revenue is recognized equal to the amount to which there is a right to invoice for services performed.</w:t>
      </w:r>
    </w:p>
    <w:p>
      <w:pPr>
        <w:spacing w:after="0" w:line="1" w:lineRule="exact"/>
        <w:rPr>
          <w:rFonts w:ascii="Times New Roman" w:cs="Times New Roman" w:eastAsia="Times New Roman" w:hAnsi="Times New Roman"/>
          <w:sz w:val="12"/>
          <w:szCs w:val="12"/>
          <w:color w:val="auto"/>
        </w:rPr>
      </w:pPr>
    </w:p>
    <w:p>
      <w:pPr>
        <w:ind w:left="440" w:hanging="220"/>
        <w:spacing w:after="0"/>
        <w:tabs>
          <w:tab w:leader="none" w:pos="440" w:val="left"/>
        </w:tabs>
        <w:numPr>
          <w:ilvl w:val="0"/>
          <w:numId w:val="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When the Company transfers goods or services to a customer and payment from the customer is expected within one year or less, a significant financing component is presumed not to exist.</w:t>
      </w:r>
    </w:p>
    <w:p>
      <w:pPr>
        <w:spacing w:after="0" w:line="6" w:lineRule="exact"/>
        <w:rPr>
          <w:rFonts w:ascii="Times New Roman" w:cs="Times New Roman" w:eastAsia="Times New Roman" w:hAnsi="Times New Roman"/>
          <w:sz w:val="12"/>
          <w:szCs w:val="12"/>
          <w:color w:val="auto"/>
        </w:rPr>
      </w:pPr>
    </w:p>
    <w:p>
      <w:pPr>
        <w:ind w:left="440" w:right="20" w:hanging="220"/>
        <w:spacing w:after="0" w:line="260" w:lineRule="auto"/>
        <w:tabs>
          <w:tab w:leader="none" w:pos="440" w:val="left"/>
        </w:tabs>
        <w:numPr>
          <w:ilvl w:val="0"/>
          <w:numId w:val="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As a result of an accounting policy election, all taxes assessed by governmental authorities that are collected by the Company from its customers (use taxes, value added taxes, some excise taxes), are excluded from the measurement of the transaction price.</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 xml:space="preserve">Cost of revenue </w:t>
      </w:r>
      <w:r>
        <w:rPr>
          <w:rFonts w:ascii="Times New Roman" w:cs="Times New Roman" w:eastAsia="Times New Roman" w:hAnsi="Times New Roman"/>
          <w:sz w:val="12"/>
          <w:szCs w:val="12"/>
          <w:color w:val="auto"/>
        </w:rPr>
        <w:t>– Cost of revenue primarily consists of salaries and wages, hosting, and other software expenses associated with providing services to customers.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 xml:space="preserve">Advertising costs </w:t>
      </w:r>
      <w:r>
        <w:rPr>
          <w:rFonts w:ascii="Times New Roman" w:cs="Times New Roman" w:eastAsia="Times New Roman" w:hAnsi="Times New Roman"/>
          <w:sz w:val="12"/>
          <w:szCs w:val="12"/>
          <w:color w:val="auto"/>
        </w:rPr>
        <w:t>– Advertising costs are expensed when incurred. Advertising expense for the year ended December 31, 2022, was $652,280.</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 xml:space="preserve">R&amp;D costs </w:t>
      </w:r>
      <w:r>
        <w:rPr>
          <w:rFonts w:ascii="Times New Roman" w:cs="Times New Roman" w:eastAsia="Times New Roman" w:hAnsi="Times New Roman"/>
          <w:sz w:val="12"/>
          <w:szCs w:val="12"/>
          <w:color w:val="auto"/>
        </w:rPr>
        <w:t>– R&amp;D costs are expensed when incurred. R&amp;D expense for the year ended December 31, 2022, was $3,090,698.</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 xml:space="preserve">Adoption of new accounting standard </w:t>
      </w:r>
      <w:r>
        <w:rPr>
          <w:rFonts w:ascii="Times New Roman" w:cs="Times New Roman" w:eastAsia="Times New Roman" w:hAnsi="Times New Roman"/>
          <w:sz w:val="12"/>
          <w:szCs w:val="12"/>
          <w:color w:val="auto"/>
        </w:rPr>
        <w:t>– The Company adopted FASB ASC Topic 842,</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i w:val="1"/>
          <w:iCs w:val="1"/>
          <w:color w:val="auto"/>
        </w:rPr>
        <w:t>Leases</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(“Topic 842”) effective January 1, 2022, using the modified retrospective transition method.</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The Company elected the following practical expedients with respect to the adoption of ASC Topic 842:</w:t>
      </w:r>
    </w:p>
    <w:p>
      <w:pPr>
        <w:spacing w:after="0" w:line="150" w:lineRule="exact"/>
        <w:rPr>
          <w:sz w:val="20"/>
          <w:szCs w:val="20"/>
          <w:color w:val="auto"/>
        </w:rPr>
      </w:pPr>
    </w:p>
    <w:p>
      <w:pPr>
        <w:ind w:left="440" w:hanging="220"/>
        <w:spacing w:after="0"/>
        <w:tabs>
          <w:tab w:leader="none" w:pos="440" w:val="left"/>
        </w:tabs>
        <w:numPr>
          <w:ilvl w:val="0"/>
          <w:numId w:val="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Company did not reassess whether any expired or existing contracts are or contain leases.</w:t>
      </w:r>
    </w:p>
    <w:p>
      <w:pPr>
        <w:spacing w:after="0" w:line="16" w:lineRule="exact"/>
        <w:rPr>
          <w:rFonts w:ascii="Times New Roman" w:cs="Times New Roman" w:eastAsia="Times New Roman" w:hAnsi="Times New Roman"/>
          <w:sz w:val="12"/>
          <w:szCs w:val="12"/>
          <w:color w:val="auto"/>
        </w:rPr>
      </w:pPr>
    </w:p>
    <w:p>
      <w:pPr>
        <w:ind w:left="440" w:hanging="220"/>
        <w:spacing w:after="0"/>
        <w:tabs>
          <w:tab w:leader="none" w:pos="440" w:val="left"/>
        </w:tabs>
        <w:numPr>
          <w:ilvl w:val="0"/>
          <w:numId w:val="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Company did not reassess the lease classification for any expired or existing leases.</w:t>
      </w:r>
    </w:p>
    <w:p>
      <w:pPr>
        <w:spacing w:after="0" w:line="6" w:lineRule="exact"/>
        <w:rPr>
          <w:rFonts w:ascii="Times New Roman" w:cs="Times New Roman" w:eastAsia="Times New Roman" w:hAnsi="Times New Roman"/>
          <w:sz w:val="12"/>
          <w:szCs w:val="12"/>
          <w:color w:val="auto"/>
        </w:rPr>
      </w:pPr>
    </w:p>
    <w:p>
      <w:pPr>
        <w:ind w:left="440" w:hanging="220"/>
        <w:spacing w:after="0"/>
        <w:tabs>
          <w:tab w:leader="none" w:pos="440" w:val="left"/>
        </w:tabs>
        <w:numPr>
          <w:ilvl w:val="0"/>
          <w:numId w:val="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Company did not reassess initial direct costs for any existing leases.</w:t>
      </w:r>
    </w:p>
    <w:p>
      <w:pPr>
        <w:spacing w:after="0" w:line="6" w:lineRule="exact"/>
        <w:rPr>
          <w:rFonts w:ascii="Times New Roman" w:cs="Times New Roman" w:eastAsia="Times New Roman" w:hAnsi="Times New Roman"/>
          <w:sz w:val="12"/>
          <w:szCs w:val="12"/>
          <w:color w:val="auto"/>
        </w:rPr>
      </w:pPr>
    </w:p>
    <w:p>
      <w:pPr>
        <w:jc w:val="both"/>
        <w:ind w:left="440" w:hanging="220"/>
        <w:spacing w:after="0" w:line="255" w:lineRule="auto"/>
        <w:tabs>
          <w:tab w:leader="none" w:pos="440" w:val="left"/>
        </w:tabs>
        <w:numPr>
          <w:ilvl w:val="0"/>
          <w:numId w:val="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Company elected to apply for the short-term lease exception for all applicable classes of underlying assets. Lease with an initial term of 12 months or less, that do not include an option to purchase the underlying assets that are reasonably certain to be exercised, are not recorded on the balance sheet. The Company’s short-term lease costs do not reflect ongoing short-term lease commitments. Total short-term lease expense, included in operating expense, for the year ended December 31, 2022, was $29,958.</w:t>
      </w:r>
    </w:p>
    <w:p>
      <w:pPr>
        <w:spacing w:after="0" w:line="125"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2"/>
          <w:szCs w:val="1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-271145</wp:posOffset>
            </wp:positionH>
            <wp:positionV relativeFrom="paragraph">
              <wp:posOffset>10795</wp:posOffset>
            </wp:positionV>
            <wp:extent cx="7178040" cy="571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0880"/>
          </w:cols>
          <w:pgMar w:left="720" w:top="485" w:right="299" w:bottom="1440" w:gutter="0" w:footer="0" w:header="0"/>
        </w:sectPr>
      </w:pPr>
    </w:p>
    <w:bookmarkStart w:id="26" w:name="page27"/>
    <w:bookmarkEnd w:id="26"/>
    <w:p>
      <w:pPr>
        <w:jc w:val="both"/>
        <w:spacing w:after="0" w:line="286" w:lineRule="auto"/>
        <w:rPr>
          <w:sz w:val="20"/>
          <w:szCs w:val="20"/>
          <w:color w:val="auto"/>
        </w:rPr>
      </w:pPr>
      <w:r>
        <w:rPr>
          <w:rFonts w:ascii="Times New Roman" w:cs="Times New Roman" w:eastAsia="Times New Roman" w:hAnsi="Times New Roman"/>
          <w:sz w:val="12"/>
          <w:szCs w:val="12"/>
          <w:b w:val="1"/>
          <w:bCs w:val="1"/>
          <w:color w:val="auto"/>
        </w:rPr>
        <w:t xml:space="preserve">Leases </w:t>
      </w:r>
      <w:r>
        <w:rPr>
          <w:rFonts w:ascii="Times New Roman" w:cs="Times New Roman" w:eastAsia="Times New Roman" w:hAnsi="Times New Roman"/>
          <w:sz w:val="12"/>
          <w:szCs w:val="12"/>
          <w:color w:val="auto"/>
        </w:rPr>
        <w:t>– The Company determines if an arrangement is a lease at inception. Operating leases are included in operating lease right-of-use (“ROU”) assets, other current liabilities, and operating lease liabilities on the</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consolidated balance sheet.</w:t>
      </w:r>
    </w:p>
    <w:p>
      <w:pPr>
        <w:spacing w:after="0" w:line="107"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2"/>
          <w:szCs w:val="12"/>
          <w:color w:val="auto"/>
        </w:rPr>
        <w:t>Operating lease ROU assets and operating lease liabilities are recognized based on the present value of the lease payments over the lease term at commencement date. The operating lease ROU asset also includes initial direct costs incurred by the lessee and any lease payments made to the lessor before the commencement date and exclude any lease incentives received.</w:t>
      </w:r>
    </w:p>
    <w:p>
      <w:pPr>
        <w:spacing w:after="0" w:line="111" w:lineRule="exact"/>
        <w:rPr>
          <w:sz w:val="20"/>
          <w:szCs w:val="20"/>
          <w:color w:val="auto"/>
        </w:rPr>
      </w:pPr>
    </w:p>
    <w:p>
      <w:pPr>
        <w:jc w:val="both"/>
        <w:ind w:right="20"/>
        <w:spacing w:after="0" w:line="279" w:lineRule="auto"/>
        <w:rPr>
          <w:sz w:val="20"/>
          <w:szCs w:val="20"/>
          <w:color w:val="auto"/>
        </w:rPr>
      </w:pPr>
      <w:r>
        <w:rPr>
          <w:rFonts w:ascii="Times New Roman" w:cs="Times New Roman" w:eastAsia="Times New Roman" w:hAnsi="Times New Roman"/>
          <w:sz w:val="12"/>
          <w:szCs w:val="12"/>
          <w:color w:val="auto"/>
        </w:rPr>
        <w:t>The lease terms consist of the following: any non-cancelable periods, periods covered by an option to extend the lease if the Company is reasonably certain to exercise that option and periods covered by an option to terminate the lease if the Company is reasonably certain not to exercise that option.</w:t>
      </w:r>
    </w:p>
    <w:p>
      <w:pPr>
        <w:spacing w:after="0" w:line="107"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2"/>
          <w:szCs w:val="12"/>
          <w:b w:val="1"/>
          <w:bCs w:val="1"/>
          <w:color w:val="auto"/>
        </w:rPr>
        <w:t xml:space="preserve">Going concern assessment </w:t>
      </w:r>
      <w:r>
        <w:rPr>
          <w:rFonts w:ascii="Times New Roman" w:cs="Times New Roman" w:eastAsia="Times New Roman" w:hAnsi="Times New Roman"/>
          <w:sz w:val="12"/>
          <w:szCs w:val="12"/>
          <w:color w:val="auto"/>
        </w:rPr>
        <w:t>– Management annually evaluates whether there are conditions or events, considered in the aggregate, that indicate it is probable that substantial doubt about the Company’s ability to continue as a</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going concern exists within one year of the date that the consolidated financial statements are available to be issued. This evaluation is based on relevant conditions and events that are known or reasonably knowable on the date that the consolidated financial statements are available to be issued.</w:t>
      </w:r>
    </w:p>
    <w:p>
      <w:pPr>
        <w:spacing w:after="0" w:line="118"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2"/>
          <w:szCs w:val="12"/>
          <w:color w:val="auto"/>
        </w:rPr>
        <w:t>As a growth stage company, in accordance with the plan to grow the business, the Company has historically relied upon financing from its majority owner for significant investments across all functional areas and therefore has not generated operating cash flow sufficiently to support the business. Management expects that its existing cash-on- hand and cash flows generated from operations combined with additional cost cutting measures, if necessary, will provide sufficient liquidity to fund the operations of the Company for 12 months from the date these consolidated financial statements are available to be issued. There are market and macro conditions that could affect actual results and if the Company is unable to achieve planned revenue increases or sufficient expense reductions to provide cash flows to maintain operations or compliance with debt covenants, then the Company will need to raise additional capital or debt.</w:t>
      </w:r>
    </w:p>
    <w:p>
      <w:pPr>
        <w:spacing w:after="0" w:line="121" w:lineRule="exact"/>
        <w:rPr>
          <w:sz w:val="20"/>
          <w:szCs w:val="20"/>
          <w:color w:val="auto"/>
        </w:rPr>
      </w:pPr>
    </w:p>
    <w:p>
      <w:pPr>
        <w:jc w:val="both"/>
        <w:ind w:firstLine="1"/>
        <w:spacing w:after="0" w:line="257" w:lineRule="auto"/>
        <w:rPr>
          <w:sz w:val="20"/>
          <w:szCs w:val="20"/>
          <w:color w:val="auto"/>
        </w:rPr>
      </w:pPr>
      <w:r>
        <w:rPr>
          <w:rFonts w:ascii="Times New Roman" w:cs="Times New Roman" w:eastAsia="Times New Roman" w:hAnsi="Times New Roman"/>
          <w:sz w:val="12"/>
          <w:szCs w:val="12"/>
          <w:b w:val="1"/>
          <w:bCs w:val="1"/>
          <w:color w:val="auto"/>
        </w:rPr>
        <w:t xml:space="preserve">Accounting for acquisitions </w:t>
      </w:r>
      <w:r>
        <w:rPr>
          <w:rFonts w:ascii="Times New Roman" w:cs="Times New Roman" w:eastAsia="Times New Roman" w:hAnsi="Times New Roman"/>
          <w:sz w:val="12"/>
          <w:szCs w:val="12"/>
          <w:color w:val="auto"/>
        </w:rPr>
        <w:t>- Management accounts for acquisitions of businesses in accordance with FASB ASC Topic 805,</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i w:val="1"/>
          <w:iCs w:val="1"/>
          <w:color w:val="auto"/>
        </w:rPr>
        <w:t>Business Combinations</w:t>
      </w:r>
      <w:r>
        <w:rPr>
          <w:rFonts w:ascii="Times New Roman" w:cs="Times New Roman" w:eastAsia="Times New Roman" w:hAnsi="Times New Roman"/>
          <w:sz w:val="12"/>
          <w:szCs w:val="12"/>
          <w:color w:val="auto"/>
        </w:rPr>
        <w:t>. The Company records the fair value of all identifiable assets acquired and</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liabilities assumed. The Company determines the fair value of tangible assets generally using valuation techniques that consider comparable market transactions and other available information. As final information regarding the fair value of the assets acquired and liabilities assumed is received and estimates are refined, appropriate adjustments will be made in no case later than twelve months after the acquisition date. Transaction costs and fees incurred related to acquisitions are expensed as incurred. The Company determines the fair value of identified intangible assets using valuation techniques that consider comparable market transactions, weighted average cost of capital, discounted cash flow techniques, and other available information. The Company allocates the purchase price based on the fair value of the identifiable tangible and intangible assets and liabilities. The difference between total cost of the acquisition and the sum of the fair values of the acquired tangible and identifiable intangible assets less assumed liabilities is recorded as goodwill or bargain purchase gain.</w:t>
      </w:r>
    </w:p>
    <w:p>
      <w:pPr>
        <w:spacing w:after="0" w:line="125"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2"/>
          <w:szCs w:val="1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-271145</wp:posOffset>
            </wp:positionH>
            <wp:positionV relativeFrom="paragraph">
              <wp:posOffset>10795</wp:posOffset>
            </wp:positionV>
            <wp:extent cx="7178040" cy="571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0880"/>
          </w:cols>
          <w:pgMar w:left="720" w:top="485" w:right="299" w:bottom="1440" w:gutter="0" w:footer="0" w:header="0"/>
        </w:sectPr>
      </w:pPr>
    </w:p>
    <w:bookmarkStart w:id="27" w:name="page28"/>
    <w:bookmarkEnd w:id="27"/>
    <w:tbl>
      <w:tblPr>
        <w:tblLayout w:type="fixed"/>
        <w:tblInd w:w="0" w:type="dxa"/>
        <w:tblCellMar>
          <w:top w:w="0" w:type="dxa"/>
          <w:left w:w="0" w:type="dxa"/>
          <w:bottom w:w="0" w:type="dxa"/>
          <w:right w:w="0" w:type="dxa"/>
        </w:tblCellMar>
      </w:tblPr>
      <w:tr>
        <w:trPr>
          <w:trHeight w:val="138"/>
        </w:trPr>
        <w:tc>
          <w:tcPr>
            <w:tcW w:w="4860" w:type="dxa"/>
            <w:vAlign w:val="bottom"/>
            <w:gridSpan w:val="6"/>
          </w:tcPr>
          <w:p>
            <w:pPr>
              <w:spacing w:after="0"/>
              <w:rPr>
                <w:sz w:val="20"/>
                <w:szCs w:val="20"/>
                <w:color w:val="auto"/>
              </w:rPr>
            </w:pPr>
            <w:r>
              <w:rPr>
                <w:rFonts w:ascii="Times New Roman" w:cs="Times New Roman" w:eastAsia="Times New Roman" w:hAnsi="Times New Roman"/>
                <w:sz w:val="12"/>
                <w:szCs w:val="12"/>
                <w:b w:val="1"/>
                <w:bCs w:val="1"/>
                <w:color w:val="auto"/>
              </w:rPr>
              <w:t>(2) Property and equipment, net</w:t>
            </w:r>
          </w:p>
        </w:tc>
        <w:tc>
          <w:tcPr>
            <w:tcW w:w="13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r>
      <w:tr>
        <w:trPr>
          <w:trHeight w:val="20"/>
        </w:trPr>
        <w:tc>
          <w:tcPr>
            <w:tcW w:w="1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295"/>
        </w:trPr>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44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Property and equipment, net consists of the following as of December 31, 2022:</w:t>
            </w:r>
          </w:p>
        </w:tc>
        <w:tc>
          <w:tcPr>
            <w:tcW w:w="13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144"/>
        </w:trPr>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r>
      <w:tr>
        <w:trPr>
          <w:trHeight w:val="144"/>
        </w:trPr>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4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2"/>
                <w:szCs w:val="12"/>
                <w:color w:val="auto"/>
              </w:rPr>
              <w:t>Computer equipment</w:t>
            </w:r>
          </w:p>
        </w:tc>
        <w:tc>
          <w:tcPr>
            <w:tcW w:w="134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w:t>
            </w:r>
          </w:p>
        </w:tc>
        <w:tc>
          <w:tcPr>
            <w:tcW w:w="1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12,282</w:t>
            </w:r>
          </w:p>
        </w:tc>
        <w:tc>
          <w:tcPr>
            <w:tcW w:w="360" w:type="dxa"/>
            <w:vAlign w:val="bottom"/>
          </w:tcPr>
          <w:p>
            <w:pPr>
              <w:spacing w:after="0"/>
              <w:rPr>
                <w:sz w:val="12"/>
                <w:szCs w:val="12"/>
                <w:color w:val="auto"/>
              </w:rPr>
            </w:pPr>
          </w:p>
        </w:tc>
      </w:tr>
      <w:tr>
        <w:trPr>
          <w:trHeight w:val="144"/>
        </w:trPr>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44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Accumulated depreciation</w:t>
            </w:r>
          </w:p>
        </w:tc>
        <w:tc>
          <w:tcPr>
            <w:tcW w:w="13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(3,848)</w:t>
            </w:r>
          </w:p>
        </w:tc>
        <w:tc>
          <w:tcPr>
            <w:tcW w:w="360" w:type="dxa"/>
            <w:vAlign w:val="bottom"/>
          </w:tcPr>
          <w:p>
            <w:pPr>
              <w:spacing w:after="0"/>
              <w:rPr>
                <w:sz w:val="12"/>
                <w:szCs w:val="12"/>
                <w:color w:val="auto"/>
              </w:rPr>
            </w:pPr>
          </w:p>
        </w:tc>
      </w:tr>
      <w:tr>
        <w:trPr>
          <w:trHeight w:val="153"/>
        </w:trPr>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440" w:type="dxa"/>
            <w:vAlign w:val="bottom"/>
            <w:tcBorders>
              <w:top w:val="single" w:sz="8" w:color="CCEEFF"/>
              <w:bottom w:val="single" w:sz="8" w:color="CCEEFF"/>
            </w:tcBorders>
            <w:gridSpan w:val="3"/>
            <w:shd w:val="clear" w:color="auto" w:fill="CCEEFF"/>
          </w:tcPr>
          <w:p>
            <w:pPr>
              <w:ind w:left="120"/>
              <w:spacing w:after="0" w:line="133" w:lineRule="exact"/>
              <w:rPr>
                <w:sz w:val="20"/>
                <w:szCs w:val="20"/>
                <w:color w:val="auto"/>
              </w:rPr>
            </w:pPr>
            <w:r>
              <w:rPr>
                <w:rFonts w:ascii="Times New Roman" w:cs="Times New Roman" w:eastAsia="Times New Roman" w:hAnsi="Times New Roman"/>
                <w:sz w:val="12"/>
                <w:szCs w:val="12"/>
                <w:color w:val="auto"/>
              </w:rPr>
              <w:t>Property and equipment, net</w:t>
            </w:r>
          </w:p>
        </w:tc>
        <w:tc>
          <w:tcPr>
            <w:tcW w:w="1340" w:type="dxa"/>
            <w:vAlign w:val="bottom"/>
            <w:tcBorders>
              <w:top w:val="single" w:sz="8" w:color="CCEEFF"/>
              <w:bottom w:val="single" w:sz="8" w:color="CCEEFF"/>
            </w:tcBorders>
            <w:shd w:val="clear" w:color="auto" w:fill="CCEEFF"/>
          </w:tcPr>
          <w:p>
            <w:pPr>
              <w:spacing w:after="0"/>
              <w:rPr>
                <w:sz w:val="13"/>
                <w:szCs w:val="13"/>
                <w:color w:val="auto"/>
              </w:rPr>
            </w:pPr>
          </w:p>
        </w:tc>
        <w:tc>
          <w:tcPr>
            <w:tcW w:w="440" w:type="dxa"/>
            <w:vAlign w:val="bottom"/>
            <w:tcBorders>
              <w:top w:val="single" w:sz="8" w:color="CCEEFF"/>
              <w:bottom w:val="single" w:sz="8" w:color="CCEEFF"/>
            </w:tcBorders>
            <w:shd w:val="clear" w:color="auto" w:fill="CCEEFF"/>
          </w:tcPr>
          <w:p>
            <w:pPr>
              <w:spacing w:after="0"/>
              <w:rPr>
                <w:sz w:val="13"/>
                <w:szCs w:val="13"/>
                <w:color w:val="auto"/>
              </w:rPr>
            </w:pPr>
          </w:p>
        </w:tc>
        <w:tc>
          <w:tcPr>
            <w:tcW w:w="320" w:type="dxa"/>
            <w:vAlign w:val="bottom"/>
            <w:tcBorders>
              <w:top w:val="single" w:sz="8" w:color="CCEEFF"/>
              <w:bottom w:val="single" w:sz="8" w:color="CCEEFF"/>
            </w:tcBorders>
            <w:shd w:val="clear" w:color="auto" w:fill="CCEEFF"/>
          </w:tcPr>
          <w:p>
            <w:pPr>
              <w:spacing w:after="0"/>
              <w:rPr>
                <w:sz w:val="13"/>
                <w:szCs w:val="13"/>
                <w:color w:val="auto"/>
              </w:rPr>
            </w:pPr>
          </w:p>
        </w:tc>
        <w:tc>
          <w:tcPr>
            <w:tcW w:w="320" w:type="dxa"/>
            <w:vAlign w:val="bottom"/>
            <w:tcBorders>
              <w:top w:val="single" w:sz="8" w:color="CCEEFF"/>
              <w:bottom w:val="single" w:sz="8" w:color="CCEEFF"/>
            </w:tcBorders>
            <w:shd w:val="clear" w:color="auto" w:fill="CCEEFF"/>
          </w:tcPr>
          <w:p>
            <w:pPr>
              <w:spacing w:after="0"/>
              <w:rPr>
                <w:sz w:val="13"/>
                <w:szCs w:val="13"/>
                <w:color w:val="auto"/>
              </w:rPr>
            </w:pPr>
          </w:p>
        </w:tc>
        <w:tc>
          <w:tcPr>
            <w:tcW w:w="1480" w:type="dxa"/>
            <w:vAlign w:val="bottom"/>
            <w:tcBorders>
              <w:top w:val="single" w:sz="8" w:color="CCEEFF"/>
              <w:bottom w:val="single" w:sz="8" w:color="CCEEFF"/>
            </w:tcBorders>
            <w:shd w:val="clear" w:color="auto" w:fill="CCEEFF"/>
          </w:tcPr>
          <w:p>
            <w:pPr>
              <w:spacing w:after="0"/>
              <w:rPr>
                <w:sz w:val="13"/>
                <w:szCs w:val="13"/>
                <w:color w:val="auto"/>
              </w:rPr>
            </w:pPr>
          </w:p>
        </w:tc>
        <w:tc>
          <w:tcPr>
            <w:tcW w:w="80" w:type="dxa"/>
            <w:vAlign w:val="bottom"/>
            <w:tcBorders>
              <w:top w:val="single" w:sz="8" w:color="CCEEFF"/>
              <w:bottom w:val="single" w:sz="8" w:color="CCEEFF"/>
            </w:tcBorders>
            <w:shd w:val="clear" w:color="auto" w:fill="CCEEFF"/>
          </w:tcPr>
          <w:p>
            <w:pPr>
              <w:spacing w:after="0"/>
              <w:rPr>
                <w:sz w:val="13"/>
                <w:szCs w:val="13"/>
                <w:color w:val="auto"/>
              </w:rPr>
            </w:pPr>
          </w:p>
        </w:tc>
        <w:tc>
          <w:tcPr>
            <w:tcW w:w="220" w:type="dxa"/>
            <w:vAlign w:val="bottom"/>
            <w:tcBorders>
              <w:top w:val="single" w:sz="8" w:color="CCEEFF"/>
              <w:bottom w:val="single" w:sz="8" w:color="CCEEFF"/>
            </w:tcBorders>
            <w:shd w:val="clear" w:color="auto" w:fill="CCEEFF"/>
          </w:tcPr>
          <w:p>
            <w:pPr>
              <w:spacing w:after="0"/>
              <w:rPr>
                <w:sz w:val="13"/>
                <w:szCs w:val="13"/>
                <w:color w:val="auto"/>
              </w:rPr>
            </w:pPr>
          </w:p>
        </w:tc>
        <w:tc>
          <w:tcPr>
            <w:tcW w:w="280" w:type="dxa"/>
            <w:vAlign w:val="bottom"/>
            <w:tcBorders>
              <w:top w:val="single" w:sz="8" w:color="auto"/>
              <w:bottom w:val="single" w:sz="8" w:color="auto"/>
            </w:tcBorders>
            <w:gridSpan w:val="2"/>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w:t>
            </w:r>
          </w:p>
        </w:tc>
        <w:tc>
          <w:tcPr>
            <w:tcW w:w="150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8,433</w:t>
            </w: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360" w:type="dxa"/>
            <w:vAlign w:val="bottom"/>
          </w:tcPr>
          <w:p>
            <w:pPr>
              <w:spacing w:after="0"/>
              <w:rPr>
                <w:sz w:val="13"/>
                <w:szCs w:val="13"/>
                <w:color w:val="auto"/>
              </w:rPr>
            </w:pPr>
          </w:p>
        </w:tc>
      </w:tr>
      <w:tr>
        <w:trPr>
          <w:trHeight w:val="275"/>
        </w:trPr>
        <w:tc>
          <w:tcPr>
            <w:tcW w:w="1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444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Depreciation expense for the year ended December 31, 2022, was $2,456.</w:t>
            </w:r>
          </w:p>
        </w:tc>
        <w:tc>
          <w:tcPr>
            <w:tcW w:w="13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r>
      <w:tr>
        <w:trPr>
          <w:trHeight w:val="261"/>
        </w:trPr>
        <w:tc>
          <w:tcPr>
            <w:tcW w:w="4860" w:type="dxa"/>
            <w:vAlign w:val="bottom"/>
            <w:gridSpan w:val="6"/>
          </w:tcPr>
          <w:p>
            <w:pPr>
              <w:spacing w:after="0"/>
              <w:rPr>
                <w:sz w:val="20"/>
                <w:szCs w:val="20"/>
                <w:color w:val="auto"/>
              </w:rPr>
            </w:pPr>
            <w:r>
              <w:rPr>
                <w:rFonts w:ascii="Times New Roman" w:cs="Times New Roman" w:eastAsia="Times New Roman" w:hAnsi="Times New Roman"/>
                <w:sz w:val="12"/>
                <w:szCs w:val="12"/>
                <w:b w:val="1"/>
                <w:bCs w:val="1"/>
                <w:color w:val="auto"/>
              </w:rPr>
              <w:t>(3) Goodwill and identifiable intangible assets, net</w:t>
            </w:r>
          </w:p>
        </w:tc>
        <w:tc>
          <w:tcPr>
            <w:tcW w:w="13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r>
      <w:tr>
        <w:trPr>
          <w:trHeight w:val="20"/>
        </w:trPr>
        <w:tc>
          <w:tcPr>
            <w:tcW w:w="1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380" w:type="dxa"/>
            <w:vAlign w:val="bottom"/>
            <w:gridSpan w:val="3"/>
            <w:shd w:val="clear" w:color="auto" w:fill="000000"/>
          </w:tcPr>
          <w:p>
            <w:pPr>
              <w:spacing w:after="0" w:line="20" w:lineRule="exact"/>
              <w:rPr>
                <w:sz w:val="1"/>
                <w:szCs w:val="1"/>
                <w:color w:val="auto"/>
              </w:rPr>
            </w:pPr>
          </w:p>
        </w:tc>
        <w:tc>
          <w:tcPr>
            <w:tcW w:w="366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295"/>
        </w:trPr>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40" w:type="dxa"/>
            <w:vAlign w:val="bottom"/>
            <w:gridSpan w:val="5"/>
          </w:tcPr>
          <w:p>
            <w:pPr>
              <w:ind w:left="260"/>
              <w:spacing w:after="0"/>
              <w:rPr>
                <w:sz w:val="20"/>
                <w:szCs w:val="20"/>
                <w:color w:val="auto"/>
              </w:rPr>
            </w:pPr>
            <w:r>
              <w:rPr>
                <w:rFonts w:ascii="Times New Roman" w:cs="Times New Roman" w:eastAsia="Times New Roman" w:hAnsi="Times New Roman"/>
                <w:sz w:val="12"/>
                <w:szCs w:val="12"/>
                <w:color w:val="auto"/>
              </w:rPr>
              <w:t>Identifiable intangible assets and goodwill consisted of the following as of December 31, 2022:</w:t>
            </w:r>
          </w:p>
        </w:tc>
        <w:tc>
          <w:tcPr>
            <w:tcW w:w="4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273"/>
        </w:trPr>
        <w:tc>
          <w:tcPr>
            <w:tcW w:w="1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2320" w:type="dxa"/>
            <w:vAlign w:val="bottom"/>
          </w:tcPr>
          <w:p>
            <w:pPr>
              <w:spacing w:after="0"/>
              <w:rPr>
                <w:sz w:val="23"/>
                <w:szCs w:val="23"/>
                <w:color w:val="auto"/>
              </w:rPr>
            </w:pPr>
          </w:p>
        </w:tc>
        <w:tc>
          <w:tcPr>
            <w:tcW w:w="1340" w:type="dxa"/>
            <w:vAlign w:val="bottom"/>
          </w:tcPr>
          <w:p>
            <w:pPr>
              <w:jc w:val="right"/>
              <w:ind w:right="2"/>
              <w:spacing w:after="0"/>
              <w:rPr>
                <w:sz w:val="20"/>
                <w:szCs w:val="20"/>
                <w:color w:val="auto"/>
              </w:rPr>
            </w:pPr>
            <w:r>
              <w:rPr>
                <w:rFonts w:ascii="Times New Roman" w:cs="Times New Roman" w:eastAsia="Times New Roman" w:hAnsi="Times New Roman"/>
                <w:sz w:val="12"/>
                <w:szCs w:val="12"/>
                <w:b w:val="1"/>
                <w:bCs w:val="1"/>
                <w:color w:val="auto"/>
              </w:rPr>
              <w:t>Gross Carrying</w:t>
            </w:r>
          </w:p>
        </w:tc>
        <w:tc>
          <w:tcPr>
            <w:tcW w:w="4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780" w:type="dxa"/>
            <w:vAlign w:val="bottom"/>
            <w:gridSpan w:val="3"/>
          </w:tcPr>
          <w:p>
            <w:pPr>
              <w:ind w:left="240"/>
              <w:spacing w:after="0"/>
              <w:rPr>
                <w:sz w:val="20"/>
                <w:szCs w:val="20"/>
                <w:color w:val="auto"/>
              </w:rPr>
            </w:pPr>
            <w:r>
              <w:rPr>
                <w:rFonts w:ascii="Times New Roman" w:cs="Times New Roman" w:eastAsia="Times New Roman" w:hAnsi="Times New Roman"/>
                <w:sz w:val="12"/>
                <w:szCs w:val="12"/>
                <w:b w:val="1"/>
                <w:bCs w:val="1"/>
                <w:color w:val="auto"/>
              </w:rPr>
              <w:t>Accumulated</w:t>
            </w:r>
          </w:p>
        </w:tc>
        <w:tc>
          <w:tcPr>
            <w:tcW w:w="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r>
      <w:tr>
        <w:trPr>
          <w:trHeight w:val="159"/>
        </w:trPr>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320" w:type="dxa"/>
            <w:vAlign w:val="bottom"/>
          </w:tcPr>
          <w:p>
            <w:pPr>
              <w:spacing w:after="0"/>
              <w:rPr>
                <w:sz w:val="13"/>
                <w:szCs w:val="13"/>
                <w:color w:val="auto"/>
              </w:rPr>
            </w:pPr>
          </w:p>
        </w:tc>
        <w:tc>
          <w:tcPr>
            <w:tcW w:w="1340" w:type="dxa"/>
            <w:vAlign w:val="bottom"/>
          </w:tcPr>
          <w:p>
            <w:pPr>
              <w:jc w:val="right"/>
              <w:ind w:right="182"/>
              <w:spacing w:after="0"/>
              <w:rPr>
                <w:sz w:val="20"/>
                <w:szCs w:val="20"/>
                <w:color w:val="auto"/>
              </w:rPr>
            </w:pPr>
            <w:r>
              <w:rPr>
                <w:rFonts w:ascii="Times New Roman" w:cs="Times New Roman" w:eastAsia="Times New Roman" w:hAnsi="Times New Roman"/>
                <w:sz w:val="12"/>
                <w:szCs w:val="12"/>
                <w:b w:val="1"/>
                <w:bCs w:val="1"/>
                <w:color w:val="auto"/>
              </w:rPr>
              <w:t>Amount</w:t>
            </w:r>
          </w:p>
        </w:tc>
        <w:tc>
          <w:tcPr>
            <w:tcW w:w="4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780" w:type="dxa"/>
            <w:vAlign w:val="bottom"/>
            <w:gridSpan w:val="3"/>
          </w:tcPr>
          <w:p>
            <w:pPr>
              <w:ind w:left="240"/>
              <w:spacing w:after="0"/>
              <w:rPr>
                <w:sz w:val="20"/>
                <w:szCs w:val="20"/>
                <w:color w:val="auto"/>
              </w:rPr>
            </w:pPr>
            <w:r>
              <w:rPr>
                <w:rFonts w:ascii="Times New Roman" w:cs="Times New Roman" w:eastAsia="Times New Roman" w:hAnsi="Times New Roman"/>
                <w:sz w:val="12"/>
                <w:szCs w:val="12"/>
                <w:b w:val="1"/>
                <w:bCs w:val="1"/>
                <w:color w:val="auto"/>
              </w:rPr>
              <w:t>Amortization</w:t>
            </w: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00" w:type="dxa"/>
            <w:vAlign w:val="bottom"/>
            <w:gridSpan w:val="2"/>
          </w:tcPr>
          <w:p>
            <w:pPr>
              <w:jc w:val="right"/>
              <w:ind w:right="600"/>
              <w:spacing w:after="0"/>
              <w:rPr>
                <w:sz w:val="20"/>
                <w:szCs w:val="20"/>
                <w:color w:val="auto"/>
              </w:rPr>
            </w:pPr>
            <w:r>
              <w:rPr>
                <w:rFonts w:ascii="Times New Roman" w:cs="Times New Roman" w:eastAsia="Times New Roman" w:hAnsi="Times New Roman"/>
                <w:sz w:val="12"/>
                <w:szCs w:val="12"/>
                <w:b w:val="1"/>
                <w:bCs w:val="1"/>
                <w:color w:val="auto"/>
              </w:rPr>
              <w:t>Intangibles, net</w:t>
            </w:r>
          </w:p>
        </w:tc>
        <w:tc>
          <w:tcPr>
            <w:tcW w:w="360" w:type="dxa"/>
            <w:vAlign w:val="bottom"/>
          </w:tcPr>
          <w:p>
            <w:pPr>
              <w:spacing w:after="0"/>
              <w:rPr>
                <w:sz w:val="13"/>
                <w:szCs w:val="13"/>
                <w:color w:val="auto"/>
              </w:rPr>
            </w:pPr>
          </w:p>
        </w:tc>
      </w:tr>
      <w:tr>
        <w:trPr>
          <w:trHeight w:val="133"/>
        </w:trPr>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40" w:type="dxa"/>
            <w:vAlign w:val="bottom"/>
            <w:tcBorders>
              <w:top w:val="single" w:sz="8" w:color="CCEEFF"/>
            </w:tcBorders>
            <w:gridSpan w:val="3"/>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Video Material Licenses</w:t>
            </w:r>
          </w:p>
        </w:tc>
        <w:tc>
          <w:tcPr>
            <w:tcW w:w="1340" w:type="dxa"/>
            <w:vAlign w:val="bottom"/>
            <w:tcBorders>
              <w:top w:val="single" w:sz="8" w:color="auto"/>
            </w:tcBorders>
            <w:shd w:val="clear" w:color="auto" w:fill="CCEEFF"/>
          </w:tcPr>
          <w:p>
            <w:pPr>
              <w:jc w:val="right"/>
              <w:ind w:right="1222"/>
              <w:spacing w:after="0"/>
              <w:rPr>
                <w:sz w:val="20"/>
                <w:szCs w:val="20"/>
                <w:color w:val="auto"/>
              </w:rPr>
            </w:pPr>
            <w:r>
              <w:rPr>
                <w:rFonts w:ascii="Times New Roman" w:cs="Times New Roman" w:eastAsia="Times New Roman" w:hAnsi="Times New Roman"/>
                <w:sz w:val="11"/>
                <w:szCs w:val="11"/>
                <w:color w:val="auto"/>
                <w:w w:val="71"/>
              </w:rPr>
              <w:t>$</w:t>
            </w:r>
          </w:p>
        </w:tc>
        <w:tc>
          <w:tcPr>
            <w:tcW w:w="44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12,386</w:t>
            </w:r>
          </w:p>
        </w:tc>
        <w:tc>
          <w:tcPr>
            <w:tcW w:w="320" w:type="dxa"/>
            <w:vAlign w:val="bottom"/>
            <w:tcBorders>
              <w:top w:val="single" w:sz="8" w:color="CCEEFF"/>
            </w:tcBorders>
            <w:shd w:val="clear" w:color="auto" w:fill="CCEEFF"/>
          </w:tcPr>
          <w:p>
            <w:pPr>
              <w:spacing w:after="0"/>
              <w:rPr>
                <w:sz w:val="11"/>
                <w:szCs w:val="11"/>
                <w:color w:val="auto"/>
              </w:rPr>
            </w:pPr>
          </w:p>
        </w:tc>
        <w:tc>
          <w:tcPr>
            <w:tcW w:w="320" w:type="dxa"/>
            <w:vAlign w:val="bottom"/>
            <w:tcBorders>
              <w:top w:val="single" w:sz="8" w:color="auto"/>
            </w:tcBorders>
            <w:shd w:val="clear" w:color="auto" w:fill="CCEEFF"/>
          </w:tcPr>
          <w:p>
            <w:pPr>
              <w:jc w:val="right"/>
              <w:ind w:right="206"/>
              <w:spacing w:after="0"/>
              <w:rPr>
                <w:sz w:val="20"/>
                <w:szCs w:val="20"/>
                <w:color w:val="auto"/>
              </w:rPr>
            </w:pPr>
            <w:r>
              <w:rPr>
                <w:rFonts w:ascii="Times New Roman" w:cs="Times New Roman" w:eastAsia="Times New Roman" w:hAnsi="Times New Roman"/>
                <w:sz w:val="11"/>
                <w:szCs w:val="11"/>
                <w:color w:val="auto"/>
                <w:w w:val="71"/>
              </w:rPr>
              <w:t>$</w:t>
            </w:r>
          </w:p>
        </w:tc>
        <w:tc>
          <w:tcPr>
            <w:tcW w:w="148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(619)</w:t>
            </w:r>
          </w:p>
        </w:tc>
        <w:tc>
          <w:tcPr>
            <w:tcW w:w="80" w:type="dxa"/>
            <w:vAlign w:val="bottom"/>
            <w:tcBorders>
              <w:top w:val="single" w:sz="8" w:color="CCEEFF"/>
            </w:tcBorders>
            <w:shd w:val="clear" w:color="auto" w:fill="CCEEFF"/>
          </w:tcPr>
          <w:p>
            <w:pPr>
              <w:spacing w:after="0"/>
              <w:rPr>
                <w:sz w:val="11"/>
                <w:szCs w:val="11"/>
                <w:color w:val="auto"/>
              </w:rPr>
            </w:pPr>
          </w:p>
        </w:tc>
        <w:tc>
          <w:tcPr>
            <w:tcW w:w="2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260" w:type="dxa"/>
            <w:vAlign w:val="bottom"/>
            <w:tcBorders>
              <w:top w:val="single" w:sz="8" w:color="auto"/>
            </w:tcBorders>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w:t>
            </w:r>
          </w:p>
        </w:tc>
        <w:tc>
          <w:tcPr>
            <w:tcW w:w="150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11,767</w:t>
            </w:r>
          </w:p>
        </w:tc>
        <w:tc>
          <w:tcPr>
            <w:tcW w:w="100" w:type="dxa"/>
            <w:vAlign w:val="bottom"/>
            <w:tcBorders>
              <w:top w:val="single" w:sz="8" w:color="CCEEFF"/>
            </w:tcBorders>
            <w:shd w:val="clear" w:color="auto" w:fill="CCEEFF"/>
          </w:tcPr>
          <w:p>
            <w:pPr>
              <w:spacing w:after="0"/>
              <w:rPr>
                <w:sz w:val="11"/>
                <w:szCs w:val="11"/>
                <w:color w:val="auto"/>
              </w:rPr>
            </w:pPr>
          </w:p>
        </w:tc>
        <w:tc>
          <w:tcPr>
            <w:tcW w:w="360" w:type="dxa"/>
            <w:vAlign w:val="bottom"/>
          </w:tcPr>
          <w:p>
            <w:pPr>
              <w:spacing w:after="0"/>
              <w:rPr>
                <w:sz w:val="11"/>
                <w:szCs w:val="11"/>
                <w:color w:val="auto"/>
              </w:rPr>
            </w:pPr>
          </w:p>
        </w:tc>
      </w:tr>
      <w:tr>
        <w:trPr>
          <w:trHeight w:val="144"/>
        </w:trPr>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44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Web domain</w:t>
            </w:r>
          </w:p>
        </w:tc>
        <w:tc>
          <w:tcPr>
            <w:tcW w:w="1340" w:type="dxa"/>
            <w:vAlign w:val="bottom"/>
          </w:tcPr>
          <w:p>
            <w:pPr>
              <w:spacing w:after="0"/>
              <w:rPr>
                <w:sz w:val="12"/>
                <w:szCs w:val="12"/>
                <w:color w:val="auto"/>
              </w:rPr>
            </w:pPr>
          </w:p>
        </w:tc>
        <w:tc>
          <w:tcPr>
            <w:tcW w:w="760" w:type="dxa"/>
            <w:vAlign w:val="bottom"/>
            <w:gridSpan w:val="2"/>
          </w:tcPr>
          <w:p>
            <w:pPr>
              <w:jc w:val="right"/>
              <w:ind w:right="320"/>
              <w:spacing w:after="0"/>
              <w:rPr>
                <w:sz w:val="20"/>
                <w:szCs w:val="20"/>
                <w:color w:val="auto"/>
              </w:rPr>
            </w:pPr>
            <w:r>
              <w:rPr>
                <w:rFonts w:ascii="Times New Roman" w:cs="Times New Roman" w:eastAsia="Times New Roman" w:hAnsi="Times New Roman"/>
                <w:sz w:val="12"/>
                <w:szCs w:val="12"/>
                <w:color w:val="auto"/>
              </w:rPr>
              <w:t>3,078</w:t>
            </w:r>
          </w:p>
        </w:tc>
        <w:tc>
          <w:tcPr>
            <w:tcW w:w="320" w:type="dxa"/>
            <w:vAlign w:val="bottom"/>
          </w:tcPr>
          <w:p>
            <w:pPr>
              <w:spacing w:after="0"/>
              <w:rPr>
                <w:sz w:val="12"/>
                <w:szCs w:val="12"/>
                <w:color w:val="auto"/>
              </w:rPr>
            </w:pPr>
          </w:p>
        </w:tc>
        <w:tc>
          <w:tcPr>
            <w:tcW w:w="156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(1,077)</w:t>
            </w: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2,001</w:t>
            </w: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r>
      <w:tr>
        <w:trPr>
          <w:trHeight w:val="144"/>
        </w:trPr>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4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2"/>
                <w:szCs w:val="12"/>
                <w:color w:val="auto"/>
              </w:rPr>
              <w:t>Patents</w:t>
            </w:r>
          </w:p>
        </w:tc>
        <w:tc>
          <w:tcPr>
            <w:tcW w:w="134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2"/>
                <w:szCs w:val="12"/>
                <w:color w:val="auto"/>
              </w:rPr>
              <w:t>85,839</w:t>
            </w:r>
          </w:p>
        </w:tc>
        <w:tc>
          <w:tcPr>
            <w:tcW w:w="320" w:type="dxa"/>
            <w:vAlign w:val="bottom"/>
            <w:shd w:val="clear" w:color="auto" w:fill="CCEEFF"/>
          </w:tcPr>
          <w:p>
            <w:pPr>
              <w:spacing w:after="0"/>
              <w:rPr>
                <w:sz w:val="12"/>
                <w:szCs w:val="12"/>
                <w:color w:val="auto"/>
              </w:rPr>
            </w:pPr>
          </w:p>
        </w:tc>
        <w:tc>
          <w:tcPr>
            <w:tcW w:w="15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(5,068)</w:t>
            </w:r>
          </w:p>
        </w:tc>
        <w:tc>
          <w:tcPr>
            <w:tcW w:w="2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80,771</w:t>
            </w:r>
          </w:p>
        </w:tc>
        <w:tc>
          <w:tcPr>
            <w:tcW w:w="360" w:type="dxa"/>
            <w:vAlign w:val="bottom"/>
          </w:tcPr>
          <w:p>
            <w:pPr>
              <w:spacing w:after="0"/>
              <w:rPr>
                <w:sz w:val="12"/>
                <w:szCs w:val="12"/>
                <w:color w:val="auto"/>
              </w:rPr>
            </w:pPr>
          </w:p>
        </w:tc>
      </w:tr>
      <w:tr>
        <w:trPr>
          <w:trHeight w:val="144"/>
        </w:trPr>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44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Trademark - Routine IP Based</w:t>
            </w:r>
          </w:p>
        </w:tc>
        <w:tc>
          <w:tcPr>
            <w:tcW w:w="1340" w:type="dxa"/>
            <w:vAlign w:val="bottom"/>
          </w:tcPr>
          <w:p>
            <w:pPr>
              <w:spacing w:after="0"/>
              <w:rPr>
                <w:sz w:val="12"/>
                <w:szCs w:val="12"/>
                <w:color w:val="auto"/>
              </w:rPr>
            </w:pPr>
          </w:p>
        </w:tc>
        <w:tc>
          <w:tcPr>
            <w:tcW w:w="760" w:type="dxa"/>
            <w:vAlign w:val="bottom"/>
            <w:gridSpan w:val="2"/>
          </w:tcPr>
          <w:p>
            <w:pPr>
              <w:jc w:val="right"/>
              <w:ind w:right="320"/>
              <w:spacing w:after="0"/>
              <w:rPr>
                <w:sz w:val="20"/>
                <w:szCs w:val="20"/>
                <w:color w:val="auto"/>
              </w:rPr>
            </w:pPr>
            <w:r>
              <w:rPr>
                <w:rFonts w:ascii="Times New Roman" w:cs="Times New Roman" w:eastAsia="Times New Roman" w:hAnsi="Times New Roman"/>
                <w:sz w:val="12"/>
                <w:szCs w:val="12"/>
                <w:color w:val="auto"/>
              </w:rPr>
              <w:t>2,000</w:t>
            </w:r>
          </w:p>
        </w:tc>
        <w:tc>
          <w:tcPr>
            <w:tcW w:w="320" w:type="dxa"/>
            <w:vAlign w:val="bottom"/>
          </w:tcPr>
          <w:p>
            <w:pPr>
              <w:spacing w:after="0"/>
              <w:rPr>
                <w:sz w:val="12"/>
                <w:szCs w:val="12"/>
                <w:color w:val="auto"/>
              </w:rPr>
            </w:pPr>
          </w:p>
        </w:tc>
        <w:tc>
          <w:tcPr>
            <w:tcW w:w="156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(1,417)</w:t>
            </w: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583</w:t>
            </w: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r>
      <w:tr>
        <w:trPr>
          <w:trHeight w:val="144"/>
        </w:trPr>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4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2"/>
                <w:szCs w:val="12"/>
                <w:color w:val="auto"/>
              </w:rPr>
              <w:t>Customer Relationships - Existing</w:t>
            </w:r>
          </w:p>
        </w:tc>
        <w:tc>
          <w:tcPr>
            <w:tcW w:w="134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2"/>
                <w:szCs w:val="12"/>
                <w:color w:val="auto"/>
              </w:rPr>
              <w:t>69,000</w:t>
            </w:r>
          </w:p>
        </w:tc>
        <w:tc>
          <w:tcPr>
            <w:tcW w:w="320" w:type="dxa"/>
            <w:vAlign w:val="bottom"/>
            <w:shd w:val="clear" w:color="auto" w:fill="CCEEFF"/>
          </w:tcPr>
          <w:p>
            <w:pPr>
              <w:spacing w:after="0"/>
              <w:rPr>
                <w:sz w:val="12"/>
                <w:szCs w:val="12"/>
                <w:color w:val="auto"/>
              </w:rPr>
            </w:pPr>
          </w:p>
        </w:tc>
        <w:tc>
          <w:tcPr>
            <w:tcW w:w="15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(32,583)</w:t>
            </w:r>
          </w:p>
        </w:tc>
        <w:tc>
          <w:tcPr>
            <w:tcW w:w="2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36,417</w:t>
            </w:r>
          </w:p>
        </w:tc>
        <w:tc>
          <w:tcPr>
            <w:tcW w:w="360" w:type="dxa"/>
            <w:vAlign w:val="bottom"/>
          </w:tcPr>
          <w:p>
            <w:pPr>
              <w:spacing w:after="0"/>
              <w:rPr>
                <w:sz w:val="12"/>
                <w:szCs w:val="12"/>
                <w:color w:val="auto"/>
              </w:rPr>
            </w:pPr>
          </w:p>
        </w:tc>
      </w:tr>
      <w:tr>
        <w:trPr>
          <w:trHeight w:val="144"/>
        </w:trPr>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44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Existing Technology - Routine IP Based</w:t>
            </w:r>
          </w:p>
        </w:tc>
        <w:tc>
          <w:tcPr>
            <w:tcW w:w="1340" w:type="dxa"/>
            <w:vAlign w:val="bottom"/>
          </w:tcPr>
          <w:p>
            <w:pPr>
              <w:spacing w:after="0"/>
              <w:rPr>
                <w:sz w:val="12"/>
                <w:szCs w:val="12"/>
                <w:color w:val="auto"/>
              </w:rPr>
            </w:pPr>
          </w:p>
        </w:tc>
        <w:tc>
          <w:tcPr>
            <w:tcW w:w="760" w:type="dxa"/>
            <w:vAlign w:val="bottom"/>
            <w:gridSpan w:val="2"/>
          </w:tcPr>
          <w:p>
            <w:pPr>
              <w:jc w:val="right"/>
              <w:ind w:right="320"/>
              <w:spacing w:after="0"/>
              <w:rPr>
                <w:sz w:val="20"/>
                <w:szCs w:val="20"/>
                <w:color w:val="auto"/>
              </w:rPr>
            </w:pPr>
            <w:r>
              <w:rPr>
                <w:rFonts w:ascii="Times New Roman" w:cs="Times New Roman" w:eastAsia="Times New Roman" w:hAnsi="Times New Roman"/>
                <w:sz w:val="12"/>
                <w:szCs w:val="12"/>
                <w:color w:val="auto"/>
              </w:rPr>
              <w:t>480,000</w:t>
            </w:r>
          </w:p>
        </w:tc>
        <w:tc>
          <w:tcPr>
            <w:tcW w:w="320" w:type="dxa"/>
            <w:vAlign w:val="bottom"/>
          </w:tcPr>
          <w:p>
            <w:pPr>
              <w:spacing w:after="0"/>
              <w:rPr>
                <w:sz w:val="12"/>
                <w:szCs w:val="12"/>
                <w:color w:val="auto"/>
              </w:rPr>
            </w:pPr>
          </w:p>
        </w:tc>
        <w:tc>
          <w:tcPr>
            <w:tcW w:w="156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(136,000)</w:t>
            </w: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344,000</w:t>
            </w: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r>
      <w:tr>
        <w:trPr>
          <w:trHeight w:val="144"/>
        </w:trPr>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4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2"/>
                <w:szCs w:val="12"/>
                <w:color w:val="auto"/>
              </w:rPr>
              <w:t>Non-Compete Agreements</w:t>
            </w:r>
          </w:p>
        </w:tc>
        <w:tc>
          <w:tcPr>
            <w:tcW w:w="134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2"/>
                <w:szCs w:val="12"/>
                <w:color w:val="auto"/>
              </w:rPr>
              <w:t>10,000</w:t>
            </w:r>
          </w:p>
        </w:tc>
        <w:tc>
          <w:tcPr>
            <w:tcW w:w="320" w:type="dxa"/>
            <w:vAlign w:val="bottom"/>
            <w:shd w:val="clear" w:color="auto" w:fill="CCEEFF"/>
          </w:tcPr>
          <w:p>
            <w:pPr>
              <w:spacing w:after="0"/>
              <w:rPr>
                <w:sz w:val="12"/>
                <w:szCs w:val="12"/>
                <w:color w:val="auto"/>
              </w:rPr>
            </w:pPr>
          </w:p>
        </w:tc>
        <w:tc>
          <w:tcPr>
            <w:tcW w:w="15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(4,722)</w:t>
            </w:r>
          </w:p>
        </w:tc>
        <w:tc>
          <w:tcPr>
            <w:tcW w:w="2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5,278</w:t>
            </w:r>
          </w:p>
        </w:tc>
        <w:tc>
          <w:tcPr>
            <w:tcW w:w="100" w:type="dxa"/>
            <w:vAlign w:val="bottom"/>
            <w:shd w:val="clear" w:color="auto" w:fill="CCEEFF"/>
          </w:tcPr>
          <w:p>
            <w:pPr>
              <w:spacing w:after="0"/>
              <w:rPr>
                <w:sz w:val="12"/>
                <w:szCs w:val="12"/>
                <w:color w:val="auto"/>
              </w:rPr>
            </w:pPr>
          </w:p>
        </w:tc>
        <w:tc>
          <w:tcPr>
            <w:tcW w:w="360" w:type="dxa"/>
            <w:vAlign w:val="bottom"/>
          </w:tcPr>
          <w:p>
            <w:pPr>
              <w:spacing w:after="0"/>
              <w:rPr>
                <w:sz w:val="12"/>
                <w:szCs w:val="12"/>
                <w:color w:val="auto"/>
              </w:rPr>
            </w:pPr>
          </w:p>
        </w:tc>
      </w:tr>
      <w:tr>
        <w:trPr>
          <w:trHeight w:val="144"/>
        </w:trPr>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44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Goodwill</w:t>
            </w:r>
          </w:p>
        </w:tc>
        <w:tc>
          <w:tcPr>
            <w:tcW w:w="1340" w:type="dxa"/>
            <w:vAlign w:val="bottom"/>
          </w:tcPr>
          <w:p>
            <w:pPr>
              <w:spacing w:after="0"/>
              <w:rPr>
                <w:sz w:val="12"/>
                <w:szCs w:val="12"/>
                <w:color w:val="auto"/>
              </w:rPr>
            </w:pPr>
          </w:p>
        </w:tc>
        <w:tc>
          <w:tcPr>
            <w:tcW w:w="760" w:type="dxa"/>
            <w:vAlign w:val="bottom"/>
            <w:gridSpan w:val="2"/>
          </w:tcPr>
          <w:p>
            <w:pPr>
              <w:jc w:val="right"/>
              <w:ind w:right="320"/>
              <w:spacing w:after="0"/>
              <w:rPr>
                <w:sz w:val="20"/>
                <w:szCs w:val="20"/>
                <w:color w:val="auto"/>
              </w:rPr>
            </w:pPr>
            <w:r>
              <w:rPr>
                <w:rFonts w:ascii="Times New Roman" w:cs="Times New Roman" w:eastAsia="Times New Roman" w:hAnsi="Times New Roman"/>
                <w:sz w:val="12"/>
                <w:szCs w:val="12"/>
                <w:color w:val="auto"/>
              </w:rPr>
              <w:t>312,883</w:t>
            </w:r>
          </w:p>
        </w:tc>
        <w:tc>
          <w:tcPr>
            <w:tcW w:w="320" w:type="dxa"/>
            <w:vAlign w:val="bottom"/>
          </w:tcPr>
          <w:p>
            <w:pPr>
              <w:spacing w:after="0"/>
              <w:rPr>
                <w:sz w:val="12"/>
                <w:szCs w:val="12"/>
                <w:color w:val="auto"/>
              </w:rPr>
            </w:pPr>
          </w:p>
        </w:tc>
        <w:tc>
          <w:tcPr>
            <w:tcW w:w="156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312,883</w:t>
            </w: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r>
      <w:tr>
        <w:trPr>
          <w:trHeight w:val="140"/>
        </w:trPr>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440" w:type="dxa"/>
            <w:vAlign w:val="bottom"/>
            <w:tcBorders>
              <w:top w:val="single" w:sz="8" w:color="CCEEFF"/>
              <w:bottom w:val="single" w:sz="8" w:color="CCEEFF"/>
            </w:tcBorders>
            <w:gridSpan w:val="3"/>
            <w:shd w:val="clear" w:color="auto" w:fill="CCEEFF"/>
          </w:tcPr>
          <w:p>
            <w:pPr>
              <w:ind w:left="120"/>
              <w:spacing w:after="0" w:line="133" w:lineRule="exact"/>
              <w:rPr>
                <w:sz w:val="20"/>
                <w:szCs w:val="20"/>
                <w:color w:val="auto"/>
              </w:rPr>
            </w:pPr>
            <w:r>
              <w:rPr>
                <w:rFonts w:ascii="Times New Roman" w:cs="Times New Roman" w:eastAsia="Times New Roman" w:hAnsi="Times New Roman"/>
                <w:sz w:val="12"/>
                <w:szCs w:val="12"/>
                <w:color w:val="auto"/>
              </w:rPr>
              <w:t>Totals</w:t>
            </w:r>
          </w:p>
        </w:tc>
        <w:tc>
          <w:tcPr>
            <w:tcW w:w="1340" w:type="dxa"/>
            <w:vAlign w:val="bottom"/>
            <w:tcBorders>
              <w:top w:val="single" w:sz="8" w:color="auto"/>
              <w:bottom w:val="single" w:sz="8" w:color="auto"/>
            </w:tcBorders>
            <w:shd w:val="clear" w:color="auto" w:fill="CCEEFF"/>
          </w:tcPr>
          <w:p>
            <w:pPr>
              <w:jc w:val="right"/>
              <w:ind w:right="1222"/>
              <w:spacing w:after="0"/>
              <w:rPr>
                <w:sz w:val="20"/>
                <w:szCs w:val="20"/>
                <w:color w:val="auto"/>
              </w:rPr>
            </w:pPr>
            <w:r>
              <w:rPr>
                <w:rFonts w:ascii="Times New Roman" w:cs="Times New Roman" w:eastAsia="Times New Roman" w:hAnsi="Times New Roman"/>
                <w:sz w:val="11"/>
                <w:szCs w:val="11"/>
                <w:color w:val="auto"/>
                <w:w w:val="71"/>
              </w:rPr>
              <w:t>$</w:t>
            </w:r>
          </w:p>
        </w:tc>
        <w:tc>
          <w:tcPr>
            <w:tcW w:w="44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975,186</w:t>
            </w:r>
          </w:p>
        </w:tc>
        <w:tc>
          <w:tcPr>
            <w:tcW w:w="320" w:type="dxa"/>
            <w:vAlign w:val="bottom"/>
            <w:tcBorders>
              <w:top w:val="single" w:sz="8" w:color="CCEEFF"/>
              <w:bottom w:val="single" w:sz="8" w:color="CCEEFF"/>
            </w:tcBorders>
            <w:shd w:val="clear" w:color="auto" w:fill="CCEEFF"/>
          </w:tcPr>
          <w:p>
            <w:pPr>
              <w:spacing w:after="0"/>
              <w:rPr>
                <w:sz w:val="12"/>
                <w:szCs w:val="12"/>
                <w:color w:val="auto"/>
              </w:rPr>
            </w:pPr>
          </w:p>
        </w:tc>
        <w:tc>
          <w:tcPr>
            <w:tcW w:w="320" w:type="dxa"/>
            <w:vAlign w:val="bottom"/>
            <w:tcBorders>
              <w:top w:val="single" w:sz="8" w:color="auto"/>
              <w:bottom w:val="single" w:sz="8" w:color="auto"/>
            </w:tcBorders>
            <w:shd w:val="clear" w:color="auto" w:fill="CCEEFF"/>
          </w:tcPr>
          <w:p>
            <w:pPr>
              <w:jc w:val="right"/>
              <w:ind w:right="206"/>
              <w:spacing w:after="0"/>
              <w:rPr>
                <w:sz w:val="20"/>
                <w:szCs w:val="20"/>
                <w:color w:val="auto"/>
              </w:rPr>
            </w:pPr>
            <w:r>
              <w:rPr>
                <w:rFonts w:ascii="Times New Roman" w:cs="Times New Roman" w:eastAsia="Times New Roman" w:hAnsi="Times New Roman"/>
                <w:sz w:val="11"/>
                <w:szCs w:val="11"/>
                <w:color w:val="auto"/>
                <w:w w:val="71"/>
              </w:rPr>
              <w:t>$</w:t>
            </w:r>
          </w:p>
        </w:tc>
        <w:tc>
          <w:tcPr>
            <w:tcW w:w="148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(181,486)</w:t>
            </w: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220" w:type="dxa"/>
            <w:vAlign w:val="bottom"/>
            <w:tcBorders>
              <w:top w:val="single" w:sz="8" w:color="CCEEFF"/>
              <w:bottom w:val="single" w:sz="8" w:color="CCEEFF"/>
            </w:tcBorders>
            <w:shd w:val="clear" w:color="auto" w:fill="CCEEFF"/>
          </w:tcPr>
          <w:p>
            <w:pPr>
              <w:spacing w:after="0"/>
              <w:rPr>
                <w:sz w:val="12"/>
                <w:szCs w:val="12"/>
                <w:color w:val="auto"/>
              </w:rPr>
            </w:pP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260" w:type="dxa"/>
            <w:vAlign w:val="bottom"/>
            <w:tcBorders>
              <w:top w:val="single" w:sz="8" w:color="auto"/>
              <w:bottom w:val="single" w:sz="8" w:color="auto"/>
            </w:tcBorders>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w:t>
            </w:r>
          </w:p>
        </w:tc>
        <w:tc>
          <w:tcPr>
            <w:tcW w:w="150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793,700</w:t>
            </w: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360" w:type="dxa"/>
            <w:vAlign w:val="bottom"/>
          </w:tcPr>
          <w:p>
            <w:pPr>
              <w:spacing w:after="0"/>
              <w:rPr>
                <w:sz w:val="12"/>
                <w:szCs w:val="12"/>
                <w:color w:val="auto"/>
              </w:rPr>
            </w:pPr>
          </w:p>
        </w:tc>
      </w:tr>
      <w:tr>
        <w:trPr>
          <w:trHeight w:val="288"/>
        </w:trPr>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780" w:type="dxa"/>
            <w:vAlign w:val="bottom"/>
            <w:gridSpan w:val="4"/>
          </w:tcPr>
          <w:p>
            <w:pPr>
              <w:spacing w:after="0"/>
              <w:rPr>
                <w:sz w:val="20"/>
                <w:szCs w:val="20"/>
                <w:color w:val="auto"/>
              </w:rPr>
            </w:pPr>
            <w:r>
              <w:rPr>
                <w:rFonts w:ascii="Times New Roman" w:cs="Times New Roman" w:eastAsia="Times New Roman" w:hAnsi="Times New Roman"/>
                <w:sz w:val="12"/>
                <w:szCs w:val="12"/>
                <w:color w:val="auto"/>
              </w:rPr>
              <w:t>Amortization expense charged to operations for the year ended December 31, 2022, was $129,226.</w:t>
            </w:r>
          </w:p>
        </w:tc>
        <w:tc>
          <w:tcPr>
            <w:tcW w:w="4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288"/>
        </w:trPr>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700" w:type="dxa"/>
            <w:vAlign w:val="bottom"/>
            <w:gridSpan w:val="4"/>
          </w:tcPr>
          <w:p>
            <w:pPr>
              <w:ind w:left="260"/>
              <w:spacing w:after="0"/>
              <w:rPr>
                <w:sz w:val="20"/>
                <w:szCs w:val="20"/>
                <w:color w:val="auto"/>
              </w:rPr>
            </w:pPr>
            <w:r>
              <w:rPr>
                <w:rFonts w:ascii="Times New Roman" w:cs="Times New Roman" w:eastAsia="Times New Roman" w:hAnsi="Times New Roman"/>
                <w:sz w:val="12"/>
                <w:szCs w:val="12"/>
                <w:color w:val="auto"/>
              </w:rPr>
              <w:t>Estimated amortization expense for each of the next five years and thereafter is as follows:</w:t>
            </w:r>
          </w:p>
        </w:tc>
        <w:tc>
          <w:tcPr>
            <w:tcW w:w="13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297"/>
        </w:trPr>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44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2"/>
                <w:szCs w:val="12"/>
                <w:color w:val="auto"/>
              </w:rPr>
              <w:t>Years ending December 31:</w:t>
            </w:r>
          </w:p>
        </w:tc>
        <w:tc>
          <w:tcPr>
            <w:tcW w:w="134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2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260" w:type="dxa"/>
            <w:vAlign w:val="bottom"/>
            <w:tcBorders>
              <w:bottom w:val="single" w:sz="8" w:color="CCEEFF"/>
            </w:tcBorders>
          </w:tcPr>
          <w:p>
            <w:pPr>
              <w:spacing w:after="0"/>
              <w:rPr>
                <w:sz w:val="24"/>
                <w:szCs w:val="24"/>
                <w:color w:val="auto"/>
              </w:rPr>
            </w:pPr>
          </w:p>
        </w:tc>
        <w:tc>
          <w:tcPr>
            <w:tcW w:w="150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60" w:type="dxa"/>
            <w:vAlign w:val="bottom"/>
          </w:tcPr>
          <w:p>
            <w:pPr>
              <w:spacing w:after="0"/>
              <w:rPr>
                <w:sz w:val="24"/>
                <w:szCs w:val="24"/>
                <w:color w:val="auto"/>
              </w:rPr>
            </w:pPr>
          </w:p>
        </w:tc>
      </w:tr>
      <w:tr>
        <w:trPr>
          <w:trHeight w:val="133"/>
        </w:trPr>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2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2023</w:t>
            </w:r>
          </w:p>
        </w:tc>
        <w:tc>
          <w:tcPr>
            <w:tcW w:w="900" w:type="dxa"/>
            <w:vAlign w:val="bottom"/>
            <w:shd w:val="clear" w:color="auto" w:fill="CCEEFF"/>
          </w:tcPr>
          <w:p>
            <w:pPr>
              <w:spacing w:after="0"/>
              <w:rPr>
                <w:sz w:val="11"/>
                <w:szCs w:val="11"/>
                <w:color w:val="auto"/>
              </w:rPr>
            </w:pPr>
          </w:p>
        </w:tc>
        <w:tc>
          <w:tcPr>
            <w:tcW w:w="2320" w:type="dxa"/>
            <w:vAlign w:val="bottom"/>
            <w:shd w:val="clear" w:color="auto" w:fill="CCEEFF"/>
          </w:tcPr>
          <w:p>
            <w:pPr>
              <w:spacing w:after="0"/>
              <w:rPr>
                <w:sz w:val="11"/>
                <w:szCs w:val="11"/>
                <w:color w:val="auto"/>
              </w:rPr>
            </w:pPr>
          </w:p>
        </w:tc>
        <w:tc>
          <w:tcPr>
            <w:tcW w:w="134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80" w:type="dxa"/>
            <w:vAlign w:val="bottom"/>
            <w:gridSpan w:val="2"/>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w:t>
            </w:r>
          </w:p>
        </w:tc>
        <w:tc>
          <w:tcPr>
            <w:tcW w:w="150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130,087</w:t>
            </w:r>
          </w:p>
        </w:tc>
        <w:tc>
          <w:tcPr>
            <w:tcW w:w="100" w:type="dxa"/>
            <w:vAlign w:val="bottom"/>
            <w:shd w:val="clear" w:color="auto" w:fill="CCEEFF"/>
          </w:tcPr>
          <w:p>
            <w:pPr>
              <w:spacing w:after="0"/>
              <w:rPr>
                <w:sz w:val="11"/>
                <w:szCs w:val="11"/>
                <w:color w:val="auto"/>
              </w:rPr>
            </w:pPr>
          </w:p>
        </w:tc>
        <w:tc>
          <w:tcPr>
            <w:tcW w:w="360" w:type="dxa"/>
            <w:vAlign w:val="bottom"/>
          </w:tcPr>
          <w:p>
            <w:pPr>
              <w:spacing w:after="0"/>
              <w:rPr>
                <w:sz w:val="11"/>
                <w:szCs w:val="11"/>
                <w:color w:val="auto"/>
              </w:rPr>
            </w:pPr>
          </w:p>
        </w:tc>
      </w:tr>
      <w:tr>
        <w:trPr>
          <w:trHeight w:val="144"/>
        </w:trPr>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20" w:type="dxa"/>
            <w:vAlign w:val="bottom"/>
          </w:tcPr>
          <w:p>
            <w:pPr>
              <w:spacing w:after="0"/>
              <w:rPr>
                <w:sz w:val="20"/>
                <w:szCs w:val="20"/>
                <w:color w:val="auto"/>
              </w:rPr>
            </w:pPr>
            <w:r>
              <w:rPr>
                <w:rFonts w:ascii="Times New Roman" w:cs="Times New Roman" w:eastAsia="Times New Roman" w:hAnsi="Times New Roman"/>
                <w:sz w:val="12"/>
                <w:szCs w:val="12"/>
                <w:color w:val="auto"/>
              </w:rPr>
              <w:t>2024</w:t>
            </w:r>
          </w:p>
        </w:tc>
        <w:tc>
          <w:tcPr>
            <w:tcW w:w="90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118,565</w:t>
            </w: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r>
      <w:tr>
        <w:trPr>
          <w:trHeight w:val="144"/>
        </w:trPr>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2025</w:t>
            </w:r>
          </w:p>
        </w:tc>
        <w:tc>
          <w:tcPr>
            <w:tcW w:w="900" w:type="dxa"/>
            <w:vAlign w:val="bottom"/>
            <w:shd w:val="clear" w:color="auto" w:fill="CCEEFF"/>
          </w:tcPr>
          <w:p>
            <w:pPr>
              <w:spacing w:after="0"/>
              <w:rPr>
                <w:sz w:val="12"/>
                <w:szCs w:val="12"/>
                <w:color w:val="auto"/>
              </w:rPr>
            </w:pPr>
          </w:p>
        </w:tc>
        <w:tc>
          <w:tcPr>
            <w:tcW w:w="2320" w:type="dxa"/>
            <w:vAlign w:val="bottom"/>
            <w:shd w:val="clear" w:color="auto" w:fill="CCEEFF"/>
          </w:tcPr>
          <w:p>
            <w:pPr>
              <w:spacing w:after="0"/>
              <w:rPr>
                <w:sz w:val="12"/>
                <w:szCs w:val="12"/>
                <w:color w:val="auto"/>
              </w:rPr>
            </w:pPr>
          </w:p>
        </w:tc>
        <w:tc>
          <w:tcPr>
            <w:tcW w:w="134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103,204</w:t>
            </w:r>
          </w:p>
        </w:tc>
        <w:tc>
          <w:tcPr>
            <w:tcW w:w="100" w:type="dxa"/>
            <w:vAlign w:val="bottom"/>
            <w:shd w:val="clear" w:color="auto" w:fill="CCEEFF"/>
          </w:tcPr>
          <w:p>
            <w:pPr>
              <w:spacing w:after="0"/>
              <w:rPr>
                <w:sz w:val="12"/>
                <w:szCs w:val="12"/>
                <w:color w:val="auto"/>
              </w:rPr>
            </w:pPr>
          </w:p>
        </w:tc>
        <w:tc>
          <w:tcPr>
            <w:tcW w:w="360" w:type="dxa"/>
            <w:vAlign w:val="bottom"/>
          </w:tcPr>
          <w:p>
            <w:pPr>
              <w:spacing w:after="0"/>
              <w:rPr>
                <w:sz w:val="12"/>
                <w:szCs w:val="12"/>
                <w:color w:val="auto"/>
              </w:rPr>
            </w:pPr>
          </w:p>
        </w:tc>
      </w:tr>
      <w:tr>
        <w:trPr>
          <w:trHeight w:val="144"/>
        </w:trPr>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20" w:type="dxa"/>
            <w:vAlign w:val="bottom"/>
          </w:tcPr>
          <w:p>
            <w:pPr>
              <w:spacing w:after="0"/>
              <w:rPr>
                <w:sz w:val="20"/>
                <w:szCs w:val="20"/>
                <w:color w:val="auto"/>
              </w:rPr>
            </w:pPr>
            <w:r>
              <w:rPr>
                <w:rFonts w:ascii="Times New Roman" w:cs="Times New Roman" w:eastAsia="Times New Roman" w:hAnsi="Times New Roman"/>
                <w:sz w:val="12"/>
                <w:szCs w:val="12"/>
                <w:color w:val="auto"/>
              </w:rPr>
              <w:t>2026</w:t>
            </w:r>
          </w:p>
        </w:tc>
        <w:tc>
          <w:tcPr>
            <w:tcW w:w="90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63,204</w:t>
            </w:r>
          </w:p>
        </w:tc>
        <w:tc>
          <w:tcPr>
            <w:tcW w:w="360" w:type="dxa"/>
            <w:vAlign w:val="bottom"/>
          </w:tcPr>
          <w:p>
            <w:pPr>
              <w:spacing w:after="0"/>
              <w:rPr>
                <w:sz w:val="12"/>
                <w:szCs w:val="12"/>
                <w:color w:val="auto"/>
              </w:rPr>
            </w:pPr>
          </w:p>
        </w:tc>
      </w:tr>
      <w:tr>
        <w:trPr>
          <w:trHeight w:val="144"/>
        </w:trPr>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2027</w:t>
            </w:r>
          </w:p>
        </w:tc>
        <w:tc>
          <w:tcPr>
            <w:tcW w:w="900" w:type="dxa"/>
            <w:vAlign w:val="bottom"/>
            <w:shd w:val="clear" w:color="auto" w:fill="CCEEFF"/>
          </w:tcPr>
          <w:p>
            <w:pPr>
              <w:spacing w:after="0"/>
              <w:rPr>
                <w:sz w:val="12"/>
                <w:szCs w:val="12"/>
                <w:color w:val="auto"/>
              </w:rPr>
            </w:pPr>
          </w:p>
        </w:tc>
        <w:tc>
          <w:tcPr>
            <w:tcW w:w="2320" w:type="dxa"/>
            <w:vAlign w:val="bottom"/>
            <w:shd w:val="clear" w:color="auto" w:fill="CCEEFF"/>
          </w:tcPr>
          <w:p>
            <w:pPr>
              <w:spacing w:after="0"/>
              <w:rPr>
                <w:sz w:val="12"/>
                <w:szCs w:val="12"/>
                <w:color w:val="auto"/>
              </w:rPr>
            </w:pPr>
          </w:p>
        </w:tc>
        <w:tc>
          <w:tcPr>
            <w:tcW w:w="134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6,585</w:t>
            </w:r>
          </w:p>
        </w:tc>
        <w:tc>
          <w:tcPr>
            <w:tcW w:w="100" w:type="dxa"/>
            <w:vAlign w:val="bottom"/>
            <w:shd w:val="clear" w:color="auto" w:fill="CCEEFF"/>
          </w:tcPr>
          <w:p>
            <w:pPr>
              <w:spacing w:after="0"/>
              <w:rPr>
                <w:sz w:val="12"/>
                <w:szCs w:val="12"/>
                <w:color w:val="auto"/>
              </w:rPr>
            </w:pPr>
          </w:p>
        </w:tc>
        <w:tc>
          <w:tcPr>
            <w:tcW w:w="360" w:type="dxa"/>
            <w:vAlign w:val="bottom"/>
          </w:tcPr>
          <w:p>
            <w:pPr>
              <w:spacing w:after="0"/>
              <w:rPr>
                <w:sz w:val="12"/>
                <w:szCs w:val="12"/>
                <w:color w:val="auto"/>
              </w:rPr>
            </w:pPr>
          </w:p>
        </w:tc>
      </w:tr>
      <w:tr>
        <w:trPr>
          <w:trHeight w:val="153"/>
        </w:trPr>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44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Thereafter</w:t>
            </w:r>
          </w:p>
        </w:tc>
        <w:tc>
          <w:tcPr>
            <w:tcW w:w="13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0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59,170</w:t>
            </w:r>
          </w:p>
        </w:tc>
        <w:tc>
          <w:tcPr>
            <w:tcW w:w="360" w:type="dxa"/>
            <w:vAlign w:val="bottom"/>
          </w:tcPr>
          <w:p>
            <w:pPr>
              <w:spacing w:after="0"/>
              <w:rPr>
                <w:sz w:val="13"/>
                <w:szCs w:val="13"/>
                <w:color w:val="auto"/>
              </w:rPr>
            </w:pPr>
          </w:p>
        </w:tc>
      </w:tr>
      <w:tr>
        <w:trPr>
          <w:trHeight w:val="162"/>
        </w:trPr>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440" w:type="dxa"/>
            <w:vAlign w:val="bottom"/>
            <w:tcBorders>
              <w:top w:val="single" w:sz="8" w:color="CCEEFF"/>
              <w:bottom w:val="single" w:sz="8" w:color="CCEEFF"/>
            </w:tcBorders>
            <w:gridSpan w:val="3"/>
            <w:shd w:val="clear" w:color="auto" w:fill="CCEEFF"/>
          </w:tcPr>
          <w:p>
            <w:pPr>
              <w:ind w:left="120"/>
              <w:spacing w:after="0" w:line="135" w:lineRule="exact"/>
              <w:rPr>
                <w:sz w:val="20"/>
                <w:szCs w:val="20"/>
                <w:color w:val="auto"/>
              </w:rPr>
            </w:pPr>
            <w:r>
              <w:rPr>
                <w:rFonts w:ascii="Times New Roman" w:cs="Times New Roman" w:eastAsia="Times New Roman" w:hAnsi="Times New Roman"/>
                <w:sz w:val="12"/>
                <w:szCs w:val="12"/>
                <w:color w:val="auto"/>
              </w:rPr>
              <w:t>Total</w:t>
            </w:r>
          </w:p>
        </w:tc>
        <w:tc>
          <w:tcPr>
            <w:tcW w:w="1340" w:type="dxa"/>
            <w:vAlign w:val="bottom"/>
            <w:tcBorders>
              <w:top w:val="single" w:sz="8" w:color="CCEEFF"/>
              <w:bottom w:val="single" w:sz="8" w:color="CCEEFF"/>
            </w:tcBorders>
            <w:shd w:val="clear" w:color="auto" w:fill="CCEEFF"/>
          </w:tcPr>
          <w:p>
            <w:pPr>
              <w:spacing w:after="0"/>
              <w:rPr>
                <w:sz w:val="14"/>
                <w:szCs w:val="14"/>
                <w:color w:val="auto"/>
              </w:rPr>
            </w:pPr>
          </w:p>
        </w:tc>
        <w:tc>
          <w:tcPr>
            <w:tcW w:w="440" w:type="dxa"/>
            <w:vAlign w:val="bottom"/>
            <w:tcBorders>
              <w:top w:val="single" w:sz="8" w:color="CCEEFF"/>
              <w:bottom w:val="single" w:sz="8" w:color="CCEEFF"/>
            </w:tcBorders>
            <w:shd w:val="clear" w:color="auto" w:fill="CCEEFF"/>
          </w:tcPr>
          <w:p>
            <w:pPr>
              <w:spacing w:after="0"/>
              <w:rPr>
                <w:sz w:val="14"/>
                <w:szCs w:val="14"/>
                <w:color w:val="auto"/>
              </w:rPr>
            </w:pPr>
          </w:p>
        </w:tc>
        <w:tc>
          <w:tcPr>
            <w:tcW w:w="320" w:type="dxa"/>
            <w:vAlign w:val="bottom"/>
            <w:tcBorders>
              <w:top w:val="single" w:sz="8" w:color="CCEEFF"/>
              <w:bottom w:val="single" w:sz="8" w:color="CCEEFF"/>
            </w:tcBorders>
            <w:shd w:val="clear" w:color="auto" w:fill="CCEEFF"/>
          </w:tcPr>
          <w:p>
            <w:pPr>
              <w:spacing w:after="0"/>
              <w:rPr>
                <w:sz w:val="14"/>
                <w:szCs w:val="14"/>
                <w:color w:val="auto"/>
              </w:rPr>
            </w:pPr>
          </w:p>
        </w:tc>
        <w:tc>
          <w:tcPr>
            <w:tcW w:w="320" w:type="dxa"/>
            <w:vAlign w:val="bottom"/>
            <w:tcBorders>
              <w:top w:val="single" w:sz="8" w:color="CCEEFF"/>
              <w:bottom w:val="single" w:sz="8" w:color="CCEEFF"/>
            </w:tcBorders>
            <w:shd w:val="clear" w:color="auto" w:fill="CCEEFF"/>
          </w:tcPr>
          <w:p>
            <w:pPr>
              <w:spacing w:after="0"/>
              <w:rPr>
                <w:sz w:val="14"/>
                <w:szCs w:val="14"/>
                <w:color w:val="auto"/>
              </w:rPr>
            </w:pPr>
          </w:p>
        </w:tc>
        <w:tc>
          <w:tcPr>
            <w:tcW w:w="1480" w:type="dxa"/>
            <w:vAlign w:val="bottom"/>
            <w:tcBorders>
              <w:top w:val="single" w:sz="8" w:color="CCEEFF"/>
              <w:bottom w:val="single" w:sz="8" w:color="CCEEFF"/>
            </w:tcBorders>
            <w:shd w:val="clear" w:color="auto" w:fill="CCEEFF"/>
          </w:tcPr>
          <w:p>
            <w:pPr>
              <w:spacing w:after="0"/>
              <w:rPr>
                <w:sz w:val="14"/>
                <w:szCs w:val="14"/>
                <w:color w:val="auto"/>
              </w:rPr>
            </w:pP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220" w:type="dxa"/>
            <w:vAlign w:val="bottom"/>
            <w:tcBorders>
              <w:top w:val="single" w:sz="8" w:color="CCEEFF"/>
              <w:bottom w:val="single" w:sz="8" w:color="CCEEFF"/>
            </w:tcBorders>
            <w:shd w:val="clear" w:color="auto" w:fill="CCEEFF"/>
          </w:tcPr>
          <w:p>
            <w:pPr>
              <w:spacing w:after="0"/>
              <w:rPr>
                <w:sz w:val="14"/>
                <w:szCs w:val="14"/>
                <w:color w:val="auto"/>
              </w:rPr>
            </w:pPr>
          </w:p>
        </w:tc>
        <w:tc>
          <w:tcPr>
            <w:tcW w:w="280" w:type="dxa"/>
            <w:vAlign w:val="bottom"/>
            <w:tcBorders>
              <w:top w:val="single" w:sz="8" w:color="auto"/>
              <w:bottom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w:t>
            </w: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480,815</w:t>
            </w: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360" w:type="dxa"/>
            <w:vAlign w:val="bottom"/>
          </w:tcPr>
          <w:p>
            <w:pPr>
              <w:spacing w:after="0"/>
              <w:rPr>
                <w:sz w:val="14"/>
                <w:szCs w:val="14"/>
                <w:color w:val="auto"/>
              </w:rPr>
            </w:pPr>
          </w:p>
        </w:tc>
      </w:tr>
      <w:tr>
        <w:trPr>
          <w:trHeight w:val="275"/>
        </w:trPr>
        <w:tc>
          <w:tcPr>
            <w:tcW w:w="14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spacing w:after="0"/>
              <w:rPr>
                <w:sz w:val="23"/>
                <w:szCs w:val="23"/>
                <w:color w:val="auto"/>
              </w:rPr>
            </w:pPr>
          </w:p>
        </w:tc>
        <w:tc>
          <w:tcPr>
            <w:tcW w:w="2320" w:type="dxa"/>
            <w:vAlign w:val="bottom"/>
            <w:tcBorders>
              <w:bottom w:val="single" w:sz="8" w:color="auto"/>
            </w:tcBorders>
          </w:tcPr>
          <w:p>
            <w:pPr>
              <w:spacing w:after="0"/>
              <w:rPr>
                <w:sz w:val="23"/>
                <w:szCs w:val="23"/>
                <w:color w:val="auto"/>
              </w:rPr>
            </w:pPr>
          </w:p>
        </w:tc>
        <w:tc>
          <w:tcPr>
            <w:tcW w:w="1340" w:type="dxa"/>
            <w:vAlign w:val="bottom"/>
            <w:tcBorders>
              <w:bottom w:val="single" w:sz="8" w:color="auto"/>
            </w:tcBorders>
          </w:tcPr>
          <w:p>
            <w:pPr>
              <w:jc w:val="right"/>
              <w:ind w:right="442"/>
              <w:spacing w:after="0"/>
              <w:rPr>
                <w:sz w:val="20"/>
                <w:szCs w:val="20"/>
                <w:color w:val="auto"/>
              </w:rPr>
            </w:pPr>
            <w:r>
              <w:rPr>
                <w:rFonts w:ascii="Times New Roman" w:cs="Times New Roman" w:eastAsia="Times New Roman" w:hAnsi="Times New Roman"/>
                <w:sz w:val="12"/>
                <w:szCs w:val="12"/>
                <w:color w:val="auto"/>
              </w:rPr>
              <w:t>24</w:t>
            </w:r>
          </w:p>
        </w:tc>
        <w:tc>
          <w:tcPr>
            <w:tcW w:w="440" w:type="dxa"/>
            <w:vAlign w:val="bottom"/>
            <w:tcBorders>
              <w:bottom w:val="single" w:sz="8" w:color="auto"/>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480" w:type="dxa"/>
            <w:vAlign w:val="bottom"/>
            <w:tcBorders>
              <w:bottom w:val="single" w:sz="8" w:color="auto"/>
            </w:tcBorders>
          </w:tcPr>
          <w:p>
            <w:pPr>
              <w:spacing w:after="0"/>
              <w:rPr>
                <w:sz w:val="23"/>
                <w:szCs w:val="23"/>
                <w:color w:val="auto"/>
              </w:rPr>
            </w:pPr>
          </w:p>
        </w:tc>
        <w:tc>
          <w:tcPr>
            <w:tcW w:w="80" w:type="dxa"/>
            <w:vAlign w:val="bottom"/>
            <w:tcBorders>
              <w:bottom w:val="single" w:sz="8" w:color="auto"/>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50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r>
    </w:tbl>
    <w:p>
      <w:pPr>
        <w:sectPr>
          <w:pgSz w:w="11900" w:h="16838" w:orient="portrait"/>
          <w:cols w:equalWidth="0" w:num="1">
            <w:col w:w="11300"/>
          </w:cols>
          <w:pgMar w:left="300" w:top="479" w:right="29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2"/>
          <w:szCs w:val="12"/>
          <w:b w:val="1"/>
          <w:bCs w:val="1"/>
          <w:u w:val="single" w:color="auto"/>
          <w:color w:val="auto"/>
        </w:rPr>
        <w:t>(4) Credit facility</w:t>
      </w:r>
    </w:p>
    <w:p>
      <w:pPr>
        <w:spacing w:after="0" w:line="154" w:lineRule="exact"/>
        <w:rPr>
          <w:sz w:val="20"/>
          <w:szCs w:val="20"/>
          <w:color w:val="auto"/>
        </w:rPr>
      </w:pPr>
    </w:p>
    <w:p>
      <w:pPr>
        <w:jc w:val="both"/>
        <w:ind w:left="420"/>
        <w:spacing w:after="0" w:line="265" w:lineRule="auto"/>
        <w:rPr>
          <w:sz w:val="20"/>
          <w:szCs w:val="20"/>
          <w:color w:val="auto"/>
        </w:rPr>
      </w:pPr>
      <w:r>
        <w:rPr>
          <w:rFonts w:ascii="Times New Roman" w:cs="Times New Roman" w:eastAsia="Times New Roman" w:hAnsi="Times New Roman"/>
          <w:sz w:val="12"/>
          <w:szCs w:val="12"/>
          <w:color w:val="auto"/>
        </w:rPr>
        <w:t>The Company entered into a credit facility agreement with Signature Bank on November 12, 2021, which allowed for a line of credit and term loan. The line of credit allowed for borrowings up to $10,000,000, was collateralized by substantially all assets of the Company, and was subject to a borrowing base calculation and other restrictions. The line of credit matured on May 12, 2023, and carried interest at the greater of the Prime rate plus .75%, or 4% (8.25% as of December 31, 2022). As of December 31, 2022, there were no borrowings against the line of credit portion of the credit facility.</w:t>
      </w:r>
    </w:p>
    <w:p>
      <w:pPr>
        <w:spacing w:after="0" w:line="119" w:lineRule="exact"/>
        <w:rPr>
          <w:sz w:val="20"/>
          <w:szCs w:val="20"/>
          <w:color w:val="auto"/>
        </w:rPr>
      </w:pPr>
    </w:p>
    <w:p>
      <w:pPr>
        <w:jc w:val="both"/>
        <w:ind w:left="420"/>
        <w:spacing w:after="0" w:line="279" w:lineRule="auto"/>
        <w:rPr>
          <w:sz w:val="20"/>
          <w:szCs w:val="20"/>
          <w:color w:val="auto"/>
        </w:rPr>
      </w:pPr>
      <w:r>
        <w:rPr>
          <w:rFonts w:ascii="Times New Roman" w:cs="Times New Roman" w:eastAsia="Times New Roman" w:hAnsi="Times New Roman"/>
          <w:sz w:val="12"/>
          <w:szCs w:val="12"/>
          <w:color w:val="auto"/>
        </w:rPr>
        <w:t>Subsequent to year end Signature Bank was placed into receivership on March 12, 2023, resulting in the Company having no additional access to the line of credit and no renewal of the line of credit maturity date of May 12, 2023.</w:t>
      </w:r>
    </w:p>
    <w:p>
      <w:pPr>
        <w:spacing w:after="0" w:line="111" w:lineRule="exact"/>
        <w:rPr>
          <w:sz w:val="20"/>
          <w:szCs w:val="20"/>
          <w:color w:val="auto"/>
        </w:rPr>
      </w:pPr>
    </w:p>
    <w:p>
      <w:pPr>
        <w:jc w:val="both"/>
        <w:ind w:left="420"/>
        <w:spacing w:after="0" w:line="260" w:lineRule="auto"/>
        <w:rPr>
          <w:sz w:val="20"/>
          <w:szCs w:val="20"/>
          <w:color w:val="auto"/>
        </w:rPr>
      </w:pPr>
      <w:r>
        <w:rPr>
          <w:rFonts w:ascii="Times New Roman" w:cs="Times New Roman" w:eastAsia="Times New Roman" w:hAnsi="Times New Roman"/>
          <w:sz w:val="12"/>
          <w:szCs w:val="12"/>
          <w:color w:val="auto"/>
        </w:rPr>
        <w:t>The term loan allowed for borrowings up to $5,000,000, carried interest at the greater of the Prime rate plus .75%, or 4% (8.25% as of December 31, 2022), and has a maturity date of November 12, 2025. As of December 31, 2022, there were no borrowings against the term loan portion of the credit facility. Subsequent to year end, the Company borrowed $750,000 against the term loan borrowing limit. Once Signature Bank was placed into receivership on March 12, 2023, the Company no longer has access to the remaining borrowing limit originally allowed under the term loan portion of the credit facility, but maintained the outstanding loan drawn in 2023 and is making repayments as required under the agreement.</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u w:val="single" w:color="auto"/>
          <w:color w:val="auto"/>
        </w:rPr>
        <w:t>(5) Mezzanine equity</w:t>
      </w:r>
    </w:p>
    <w:p>
      <w:pPr>
        <w:spacing w:after="0" w:line="150" w:lineRule="exact"/>
        <w:rPr>
          <w:sz w:val="20"/>
          <w:szCs w:val="20"/>
          <w:color w:val="auto"/>
        </w:rPr>
      </w:pPr>
    </w:p>
    <w:p>
      <w:pPr>
        <w:jc w:val="both"/>
        <w:ind w:left="420"/>
        <w:spacing w:after="0" w:line="286" w:lineRule="auto"/>
        <w:rPr>
          <w:sz w:val="20"/>
          <w:szCs w:val="20"/>
          <w:color w:val="auto"/>
        </w:rPr>
      </w:pPr>
      <w:r>
        <w:rPr>
          <w:rFonts w:ascii="Times New Roman" w:cs="Times New Roman" w:eastAsia="Times New Roman" w:hAnsi="Times New Roman"/>
          <w:sz w:val="12"/>
          <w:szCs w:val="12"/>
          <w:b w:val="1"/>
          <w:bCs w:val="1"/>
          <w:color w:val="auto"/>
        </w:rPr>
        <w:t xml:space="preserve">Preferred stock </w:t>
      </w:r>
      <w:r>
        <w:rPr>
          <w:rFonts w:ascii="Times New Roman" w:cs="Times New Roman" w:eastAsia="Times New Roman" w:hAnsi="Times New Roman"/>
          <w:sz w:val="12"/>
          <w:szCs w:val="12"/>
          <w:color w:val="auto"/>
        </w:rPr>
        <w:t>– The Company has authorized the issuance of five classes of preferred stock: Series A convertible preferred stock (“Series A”), Series Seed 1 convertible preferred stock, Series Seed 2 convertible preferred</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stock, Series Seed 3 convertible preferred stock, and Series Seed 4 convertible preferred stock (collectively known as “Series Seed”).</w:t>
      </w:r>
    </w:p>
    <w:p>
      <w:pPr>
        <w:spacing w:after="0" w:line="107" w:lineRule="exact"/>
        <w:rPr>
          <w:sz w:val="20"/>
          <w:szCs w:val="20"/>
          <w:color w:val="auto"/>
        </w:rPr>
      </w:pPr>
    </w:p>
    <w:p>
      <w:pPr>
        <w:jc w:val="both"/>
        <w:ind w:left="420" w:firstLine="1"/>
        <w:spacing w:after="0" w:line="279" w:lineRule="auto"/>
        <w:rPr>
          <w:sz w:val="20"/>
          <w:szCs w:val="20"/>
          <w:color w:val="auto"/>
        </w:rPr>
      </w:pPr>
      <w:r>
        <w:rPr>
          <w:rFonts w:ascii="Times New Roman" w:cs="Times New Roman" w:eastAsia="Times New Roman" w:hAnsi="Times New Roman"/>
          <w:sz w:val="12"/>
          <w:szCs w:val="12"/>
          <w:color w:val="auto"/>
        </w:rPr>
        <w:t>The holders of preferred stock are entitled to vote with common stockholders as a single class. Preferred stockholders are entitled to a number of votes equivalent to the eligible number of common shares they would have upon exercising their conversion option.</w:t>
      </w:r>
    </w:p>
    <w:p>
      <w:pPr>
        <w:spacing w:after="0" w:line="111" w:lineRule="exact"/>
        <w:rPr>
          <w:sz w:val="20"/>
          <w:szCs w:val="20"/>
          <w:color w:val="auto"/>
        </w:rPr>
      </w:pPr>
    </w:p>
    <w:p>
      <w:pPr>
        <w:jc w:val="both"/>
        <w:ind w:left="420"/>
        <w:spacing w:after="0" w:line="265" w:lineRule="auto"/>
        <w:rPr>
          <w:sz w:val="20"/>
          <w:szCs w:val="20"/>
          <w:color w:val="auto"/>
        </w:rPr>
      </w:pPr>
      <w:r>
        <w:rPr>
          <w:rFonts w:ascii="Times New Roman" w:cs="Times New Roman" w:eastAsia="Times New Roman" w:hAnsi="Times New Roman"/>
          <w:sz w:val="12"/>
          <w:szCs w:val="12"/>
          <w:color w:val="auto"/>
        </w:rPr>
        <w:t>The holders of Series A and Series Seed preferred stock may convert their shares to common stock at a price equal to the original issue price of each respective class of preferred stock. The conversion price of each class of preferred stock may be adjusted from time-to-time pursuant to the second amended and restated certificate of incorporation. Per the second amended and restated certificate of incorporation, conversion rights are terminated upon liquidation.</w:t>
      </w:r>
    </w:p>
    <w:p>
      <w:pPr>
        <w:spacing w:after="0" w:line="119" w:lineRule="exact"/>
        <w:rPr>
          <w:sz w:val="20"/>
          <w:szCs w:val="20"/>
          <w:color w:val="auto"/>
        </w:rPr>
      </w:pPr>
    </w:p>
    <w:p>
      <w:pPr>
        <w:jc w:val="both"/>
        <w:ind w:left="420" w:right="20"/>
        <w:spacing w:after="0" w:line="279" w:lineRule="auto"/>
        <w:rPr>
          <w:sz w:val="20"/>
          <w:szCs w:val="20"/>
          <w:color w:val="auto"/>
        </w:rPr>
      </w:pPr>
      <w:r>
        <w:rPr>
          <w:rFonts w:ascii="Times New Roman" w:cs="Times New Roman" w:eastAsia="Times New Roman" w:hAnsi="Times New Roman"/>
          <w:sz w:val="12"/>
          <w:szCs w:val="12"/>
          <w:color w:val="auto"/>
        </w:rPr>
        <w:t>The Series A preferred stock has a liquidation preference equal to the greater of one times the original issue price plus any dividends declared but unpaid thereon, or the equivalent of the amount payable had all shares of Series A preferred stock been converted into common stock. Upon liquidation, Series A is in preference to Series Seed.</w:t>
      </w:r>
    </w:p>
    <w:p>
      <w:pPr>
        <w:spacing w:after="0" w:line="1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485" w:right="299" w:bottom="1440" w:gutter="0" w:footer="0" w:header="0"/>
        </w:sectPr>
      </w:pPr>
    </w:p>
    <w:bookmarkStart w:id="29" w:name="page30"/>
    <w:bookmarkEnd w:id="29"/>
    <w:p>
      <w:pPr>
        <w:jc w:val="both"/>
        <w:ind w:left="420" w:right="20"/>
        <w:spacing w:after="0" w:line="279" w:lineRule="auto"/>
        <w:rPr>
          <w:sz w:val="20"/>
          <w:szCs w:val="20"/>
          <w:color w:val="auto"/>
        </w:rPr>
      </w:pPr>
      <w:r>
        <w:rPr>
          <w:rFonts w:ascii="Times New Roman" w:cs="Times New Roman" w:eastAsia="Times New Roman" w:hAnsi="Times New Roman"/>
          <w:sz w:val="12"/>
          <w:szCs w:val="12"/>
          <w:color w:val="auto"/>
        </w:rPr>
        <w:t>The Series Seed preferred stock has a liquidation preference equal to the greater of the original issue price plus any dividends declared but unpaid thereon, or the equivalent of the amount payable had all shares of Series A and Series Seed been converted into common stock.</w:t>
      </w:r>
    </w:p>
    <w:p>
      <w:pPr>
        <w:spacing w:after="0" w:line="111" w:lineRule="exact"/>
        <w:rPr>
          <w:sz w:val="20"/>
          <w:szCs w:val="20"/>
          <w:color w:val="auto"/>
        </w:rPr>
      </w:pPr>
    </w:p>
    <w:p>
      <w:pPr>
        <w:jc w:val="both"/>
        <w:ind w:left="420"/>
        <w:spacing w:after="0" w:line="279" w:lineRule="auto"/>
        <w:rPr>
          <w:sz w:val="20"/>
          <w:szCs w:val="20"/>
          <w:color w:val="auto"/>
        </w:rPr>
      </w:pPr>
      <w:r>
        <w:rPr>
          <w:rFonts w:ascii="Times New Roman" w:cs="Times New Roman" w:eastAsia="Times New Roman" w:hAnsi="Times New Roman"/>
          <w:sz w:val="12"/>
          <w:szCs w:val="12"/>
          <w:color w:val="auto"/>
        </w:rPr>
        <w:t>There is no obligation requiring the issuer to redeem the Series A or Series Seed shares by transferring its assets at a specified or determinable date (or dates) or upon an event that is certain to occur. The Series A and Series Seed shares are equity- classified as mezzanine equity on the face of the financial statements.</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u w:val="single" w:color="auto"/>
          <w:color w:val="auto"/>
        </w:rPr>
        <w:t>(6) Stockholders’ equity</w:t>
      </w:r>
    </w:p>
    <w:p>
      <w:pPr>
        <w:spacing w:after="0" w:line="1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b w:val="1"/>
          <w:bCs w:val="1"/>
          <w:color w:val="auto"/>
        </w:rPr>
        <w:t xml:space="preserve">Common stock </w:t>
      </w:r>
      <w:r>
        <w:rPr>
          <w:rFonts w:ascii="Times New Roman" w:cs="Times New Roman" w:eastAsia="Times New Roman" w:hAnsi="Times New Roman"/>
          <w:sz w:val="12"/>
          <w:szCs w:val="12"/>
          <w:color w:val="auto"/>
        </w:rPr>
        <w:t>– The holders of the Company’s common stock are entitled to one vote per share on all matters which stockholders are entitled to a vote.</w:t>
      </w:r>
    </w:p>
    <w:p>
      <w:pPr>
        <w:spacing w:after="0" w:line="150" w:lineRule="exact"/>
        <w:rPr>
          <w:sz w:val="20"/>
          <w:szCs w:val="20"/>
          <w:color w:val="auto"/>
        </w:rPr>
      </w:pPr>
    </w:p>
    <w:p>
      <w:pPr>
        <w:jc w:val="both"/>
        <w:ind w:left="420"/>
        <w:spacing w:after="0" w:line="262" w:lineRule="auto"/>
        <w:rPr>
          <w:sz w:val="20"/>
          <w:szCs w:val="20"/>
          <w:color w:val="auto"/>
        </w:rPr>
      </w:pPr>
      <w:r>
        <w:rPr>
          <w:rFonts w:ascii="Times New Roman" w:cs="Times New Roman" w:eastAsia="Times New Roman" w:hAnsi="Times New Roman"/>
          <w:sz w:val="12"/>
          <w:szCs w:val="12"/>
          <w:b w:val="1"/>
          <w:bCs w:val="1"/>
          <w:color w:val="auto"/>
        </w:rPr>
        <w:t xml:space="preserve">Stock option plan </w:t>
      </w:r>
      <w:r>
        <w:rPr>
          <w:rFonts w:ascii="Times New Roman" w:cs="Times New Roman" w:eastAsia="Times New Roman" w:hAnsi="Times New Roman"/>
          <w:sz w:val="12"/>
          <w:szCs w:val="12"/>
          <w:color w:val="auto"/>
        </w:rPr>
        <w:t>– The Company adopted a stock option plan (the “Plan”) in 2017. The Plan provides for the grant of up to 1,462,949 stock options to officers, directors, and employees of the Company. Options are granted</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under the Plan and are incentive stock options or non-qualified stock options. Recipients are required to sign an agreement in which options may not be transferred. The Plan provides for a straight- line vesting period of up to four years with a maximum 10 year service requirement. All unvested options shall vest and become exercisable upon a Change of Control (as defined in the Plan). The Company accounts for any forfeitures of options when they occur.</w:t>
      </w:r>
    </w:p>
    <w:p>
      <w:pPr>
        <w:spacing w:after="0" w:line="12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Using the option-pricing model, the fair value of the Plan options was estimated on the date of grant based on the following weighted-average assumptions:</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420" w:type="dxa"/>
            <w:vAlign w:val="bottom"/>
          </w:tcPr>
          <w:p>
            <w:pPr>
              <w:spacing w:after="0"/>
              <w:rPr>
                <w:sz w:val="12"/>
                <w:szCs w:val="12"/>
                <w:color w:val="auto"/>
              </w:rPr>
            </w:pPr>
          </w:p>
        </w:tc>
        <w:tc>
          <w:tcPr>
            <w:tcW w:w="31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Risk-free interest rate</w:t>
            </w:r>
          </w:p>
        </w:tc>
        <w:tc>
          <w:tcPr>
            <w:tcW w:w="7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4.13%</w:t>
            </w:r>
          </w:p>
        </w:tc>
        <w:tc>
          <w:tcPr>
            <w:tcW w:w="360" w:type="dxa"/>
            <w:vAlign w:val="bottom"/>
          </w:tcPr>
          <w:p>
            <w:pPr>
              <w:spacing w:after="0"/>
              <w:rPr>
                <w:sz w:val="12"/>
                <w:szCs w:val="12"/>
                <w:color w:val="auto"/>
              </w:rPr>
            </w:pPr>
          </w:p>
        </w:tc>
      </w:tr>
      <w:tr>
        <w:trPr>
          <w:trHeight w:val="144"/>
        </w:trPr>
        <w:tc>
          <w:tcPr>
            <w:tcW w:w="420" w:type="dxa"/>
            <w:vAlign w:val="bottom"/>
          </w:tcPr>
          <w:p>
            <w:pPr>
              <w:spacing w:after="0"/>
              <w:rPr>
                <w:sz w:val="12"/>
                <w:szCs w:val="12"/>
                <w:color w:val="auto"/>
              </w:rPr>
            </w:pPr>
          </w:p>
        </w:tc>
        <w:tc>
          <w:tcPr>
            <w:tcW w:w="3160" w:type="dxa"/>
            <w:vAlign w:val="bottom"/>
          </w:tcPr>
          <w:p>
            <w:pPr>
              <w:spacing w:after="0"/>
              <w:rPr>
                <w:sz w:val="20"/>
                <w:szCs w:val="20"/>
                <w:color w:val="auto"/>
              </w:rPr>
            </w:pPr>
            <w:r>
              <w:rPr>
                <w:rFonts w:ascii="Times New Roman" w:cs="Times New Roman" w:eastAsia="Times New Roman" w:hAnsi="Times New Roman"/>
                <w:sz w:val="12"/>
                <w:szCs w:val="12"/>
                <w:color w:val="auto"/>
              </w:rPr>
              <w:t>Expected dividend yield</w:t>
            </w:r>
          </w:p>
        </w:tc>
        <w:tc>
          <w:tcPr>
            <w:tcW w:w="73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w:t>
            </w:r>
          </w:p>
        </w:tc>
        <w:tc>
          <w:tcPr>
            <w:tcW w:w="360" w:type="dxa"/>
            <w:vAlign w:val="bottom"/>
          </w:tcPr>
          <w:p>
            <w:pPr>
              <w:spacing w:after="0"/>
              <w:rPr>
                <w:sz w:val="12"/>
                <w:szCs w:val="12"/>
                <w:color w:val="auto"/>
              </w:rPr>
            </w:pPr>
          </w:p>
        </w:tc>
      </w:tr>
      <w:tr>
        <w:trPr>
          <w:trHeight w:val="144"/>
        </w:trPr>
        <w:tc>
          <w:tcPr>
            <w:tcW w:w="420" w:type="dxa"/>
            <w:vAlign w:val="bottom"/>
          </w:tcPr>
          <w:p>
            <w:pPr>
              <w:spacing w:after="0"/>
              <w:rPr>
                <w:sz w:val="12"/>
                <w:szCs w:val="12"/>
                <w:color w:val="auto"/>
              </w:rPr>
            </w:pPr>
          </w:p>
        </w:tc>
        <w:tc>
          <w:tcPr>
            <w:tcW w:w="31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Expected volatility</w:t>
            </w:r>
          </w:p>
        </w:tc>
        <w:tc>
          <w:tcPr>
            <w:tcW w:w="7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78%</w:t>
            </w:r>
          </w:p>
        </w:tc>
        <w:tc>
          <w:tcPr>
            <w:tcW w:w="360" w:type="dxa"/>
            <w:vAlign w:val="bottom"/>
          </w:tcPr>
          <w:p>
            <w:pPr>
              <w:spacing w:after="0"/>
              <w:rPr>
                <w:sz w:val="12"/>
                <w:szCs w:val="12"/>
                <w:color w:val="auto"/>
              </w:rPr>
            </w:pPr>
          </w:p>
        </w:tc>
      </w:tr>
      <w:tr>
        <w:trPr>
          <w:trHeight w:val="144"/>
        </w:trPr>
        <w:tc>
          <w:tcPr>
            <w:tcW w:w="420" w:type="dxa"/>
            <w:vAlign w:val="bottom"/>
          </w:tcPr>
          <w:p>
            <w:pPr>
              <w:spacing w:after="0"/>
              <w:rPr>
                <w:sz w:val="12"/>
                <w:szCs w:val="12"/>
                <w:color w:val="auto"/>
              </w:rPr>
            </w:pPr>
          </w:p>
        </w:tc>
        <w:tc>
          <w:tcPr>
            <w:tcW w:w="3160" w:type="dxa"/>
            <w:vAlign w:val="bottom"/>
          </w:tcPr>
          <w:p>
            <w:pPr>
              <w:spacing w:after="0"/>
              <w:rPr>
                <w:sz w:val="20"/>
                <w:szCs w:val="20"/>
                <w:color w:val="auto"/>
              </w:rPr>
            </w:pPr>
            <w:r>
              <w:rPr>
                <w:rFonts w:ascii="Times New Roman" w:cs="Times New Roman" w:eastAsia="Times New Roman" w:hAnsi="Times New Roman"/>
                <w:sz w:val="12"/>
                <w:szCs w:val="12"/>
                <w:color w:val="auto"/>
              </w:rPr>
              <w:t>Expected life in years</w:t>
            </w:r>
          </w:p>
        </w:tc>
        <w:tc>
          <w:tcPr>
            <w:tcW w:w="736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rPr>
              <w:t>4</w:t>
            </w:r>
          </w:p>
        </w:tc>
        <w:tc>
          <w:tcPr>
            <w:tcW w:w="360" w:type="dxa"/>
            <w:vAlign w:val="bottom"/>
          </w:tcPr>
          <w:p>
            <w:pPr>
              <w:spacing w:after="0"/>
              <w:rPr>
                <w:sz w:val="12"/>
                <w:szCs w:val="12"/>
                <w:color w:val="auto"/>
              </w:rPr>
            </w:pPr>
          </w:p>
        </w:tc>
      </w:tr>
      <w:tr>
        <w:trPr>
          <w:trHeight w:val="144"/>
        </w:trPr>
        <w:tc>
          <w:tcPr>
            <w:tcW w:w="420" w:type="dxa"/>
            <w:vAlign w:val="bottom"/>
          </w:tcPr>
          <w:p>
            <w:pPr>
              <w:spacing w:after="0"/>
              <w:rPr>
                <w:sz w:val="12"/>
                <w:szCs w:val="12"/>
                <w:color w:val="auto"/>
              </w:rPr>
            </w:pPr>
          </w:p>
        </w:tc>
        <w:tc>
          <w:tcPr>
            <w:tcW w:w="31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Forfeiture rate</w:t>
            </w:r>
          </w:p>
        </w:tc>
        <w:tc>
          <w:tcPr>
            <w:tcW w:w="7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w:t>
            </w:r>
          </w:p>
        </w:tc>
        <w:tc>
          <w:tcPr>
            <w:tcW w:w="360" w:type="dxa"/>
            <w:vAlign w:val="bottom"/>
          </w:tcPr>
          <w:p>
            <w:pPr>
              <w:spacing w:after="0"/>
              <w:rPr>
                <w:sz w:val="12"/>
                <w:szCs w:val="12"/>
                <w:color w:val="auto"/>
              </w:rPr>
            </w:pPr>
          </w:p>
        </w:tc>
      </w:tr>
      <w:tr>
        <w:trPr>
          <w:trHeight w:val="288"/>
        </w:trPr>
        <w:tc>
          <w:tcPr>
            <w:tcW w:w="420" w:type="dxa"/>
            <w:vAlign w:val="bottom"/>
            <w:tcBorders>
              <w:bottom w:val="single" w:sz="8" w:color="auto"/>
            </w:tcBorders>
          </w:tcPr>
          <w:p>
            <w:pPr>
              <w:spacing w:after="0"/>
              <w:rPr>
                <w:sz w:val="24"/>
                <w:szCs w:val="24"/>
                <w:color w:val="auto"/>
              </w:rPr>
            </w:pPr>
          </w:p>
        </w:tc>
        <w:tc>
          <w:tcPr>
            <w:tcW w:w="3160" w:type="dxa"/>
            <w:vAlign w:val="bottom"/>
            <w:tcBorders>
              <w:bottom w:val="single" w:sz="8" w:color="auto"/>
            </w:tcBorders>
          </w:tcPr>
          <w:p>
            <w:pPr>
              <w:spacing w:after="0"/>
              <w:rPr>
                <w:sz w:val="24"/>
                <w:szCs w:val="24"/>
                <w:color w:val="auto"/>
              </w:rPr>
            </w:pPr>
          </w:p>
        </w:tc>
        <w:tc>
          <w:tcPr>
            <w:tcW w:w="7360" w:type="dxa"/>
            <w:vAlign w:val="bottom"/>
            <w:tcBorders>
              <w:bottom w:val="single" w:sz="8" w:color="auto"/>
            </w:tcBorders>
          </w:tcPr>
          <w:p>
            <w:pPr>
              <w:jc w:val="right"/>
              <w:ind w:right="5180"/>
              <w:spacing w:after="0"/>
              <w:rPr>
                <w:sz w:val="20"/>
                <w:szCs w:val="20"/>
                <w:color w:val="auto"/>
              </w:rPr>
            </w:pPr>
            <w:r>
              <w:rPr>
                <w:rFonts w:ascii="Times New Roman" w:cs="Times New Roman" w:eastAsia="Times New Roman" w:hAnsi="Times New Roman"/>
                <w:sz w:val="12"/>
                <w:szCs w:val="12"/>
                <w:color w:val="auto"/>
              </w:rPr>
              <w:t>26</w:t>
            </w:r>
          </w:p>
        </w:tc>
        <w:tc>
          <w:tcPr>
            <w:tcW w:w="360" w:type="dxa"/>
            <w:vAlign w:val="bottom"/>
            <w:tcBorders>
              <w:bottom w:val="single" w:sz="8" w:color="auto"/>
            </w:tcBorders>
          </w:tcPr>
          <w:p>
            <w:pPr>
              <w:spacing w:after="0"/>
              <w:rPr>
                <w:sz w:val="24"/>
                <w:szCs w:val="24"/>
                <w:color w:val="auto"/>
              </w:rPr>
            </w:pPr>
          </w:p>
        </w:tc>
      </w:tr>
    </w:tbl>
    <w:p>
      <w:pPr>
        <w:sectPr>
          <w:pgSz w:w="11900" w:h="16838" w:orient="portrait"/>
          <w:cols w:equalWidth="0" w:num="1">
            <w:col w:w="11300"/>
          </w:cols>
          <w:pgMar w:left="300" w:top="489" w:right="299" w:bottom="1440" w:gutter="0" w:footer="0" w:header="0"/>
        </w:sectPr>
      </w:pPr>
    </w:p>
    <w:bookmarkStart w:id="30" w:name="page31"/>
    <w:bookmarkEnd w:id="3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77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Activity in the Company’s Plan for the year ended December 31, 2022, is as follows:</w:t>
            </w:r>
          </w:p>
        </w:tc>
        <w:tc>
          <w:tcPr>
            <w:tcW w:w="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82"/>
        </w:trPr>
        <w:tc>
          <w:tcPr>
            <w:tcW w:w="65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60" w:type="dxa"/>
            <w:vAlign w:val="bottom"/>
            <w:gridSpan w:val="2"/>
          </w:tcPr>
          <w:p>
            <w:pPr>
              <w:jc w:val="center"/>
              <w:ind w:right="320"/>
              <w:spacing w:after="0"/>
              <w:rPr>
                <w:sz w:val="20"/>
                <w:szCs w:val="20"/>
                <w:color w:val="auto"/>
              </w:rPr>
            </w:pPr>
            <w:r>
              <w:rPr>
                <w:rFonts w:ascii="Times New Roman" w:cs="Times New Roman" w:eastAsia="Times New Roman" w:hAnsi="Times New Roman"/>
                <w:sz w:val="12"/>
                <w:szCs w:val="12"/>
                <w:b w:val="1"/>
                <w:bCs w:val="1"/>
                <w:color w:val="auto"/>
                <w:w w:val="98"/>
              </w:rPr>
              <w:t>Weighted Average</w:t>
            </w:r>
          </w:p>
        </w:tc>
        <w:tc>
          <w:tcPr>
            <w:tcW w:w="0" w:type="dxa"/>
            <w:vAlign w:val="bottom"/>
          </w:tcPr>
          <w:p>
            <w:pPr>
              <w:spacing w:after="0"/>
              <w:rPr>
                <w:sz w:val="1"/>
                <w:szCs w:val="1"/>
                <w:color w:val="auto"/>
              </w:rPr>
            </w:pPr>
          </w:p>
        </w:tc>
      </w:tr>
      <w:tr>
        <w:trPr>
          <w:trHeight w:val="159"/>
        </w:trPr>
        <w:tc>
          <w:tcPr>
            <w:tcW w:w="6520" w:type="dxa"/>
            <w:vAlign w:val="bottom"/>
          </w:tcPr>
          <w:p>
            <w:pPr>
              <w:spacing w:after="0"/>
              <w:rPr>
                <w:sz w:val="13"/>
                <w:szCs w:val="13"/>
                <w:color w:val="auto"/>
              </w:rPr>
            </w:pPr>
          </w:p>
        </w:tc>
        <w:tc>
          <w:tcPr>
            <w:tcW w:w="1220" w:type="dxa"/>
            <w:vAlign w:val="bottom"/>
          </w:tcPr>
          <w:p>
            <w:pPr>
              <w:jc w:val="center"/>
              <w:ind w:left="520"/>
              <w:spacing w:after="0"/>
              <w:rPr>
                <w:sz w:val="20"/>
                <w:szCs w:val="20"/>
                <w:color w:val="auto"/>
              </w:rPr>
            </w:pPr>
            <w:r>
              <w:rPr>
                <w:rFonts w:ascii="Times New Roman" w:cs="Times New Roman" w:eastAsia="Times New Roman" w:hAnsi="Times New Roman"/>
                <w:sz w:val="12"/>
                <w:szCs w:val="12"/>
                <w:b w:val="1"/>
                <w:bCs w:val="1"/>
                <w:color w:val="auto"/>
                <w:w w:val="98"/>
              </w:rPr>
              <w:t>Options</w:t>
            </w:r>
          </w:p>
        </w:tc>
        <w:tc>
          <w:tcPr>
            <w:tcW w:w="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60" w:type="dxa"/>
            <w:vAlign w:val="bottom"/>
            <w:gridSpan w:val="2"/>
          </w:tcPr>
          <w:p>
            <w:pPr>
              <w:jc w:val="center"/>
              <w:ind w:right="320"/>
              <w:spacing w:after="0"/>
              <w:rPr>
                <w:sz w:val="20"/>
                <w:szCs w:val="20"/>
                <w:color w:val="auto"/>
              </w:rPr>
            </w:pPr>
            <w:r>
              <w:rPr>
                <w:rFonts w:ascii="Times New Roman" w:cs="Times New Roman" w:eastAsia="Times New Roman" w:hAnsi="Times New Roman"/>
                <w:sz w:val="12"/>
                <w:szCs w:val="12"/>
                <w:b w:val="1"/>
                <w:bCs w:val="1"/>
                <w:color w:val="auto"/>
              </w:rPr>
              <w:t>Exercise Price</w:t>
            </w:r>
          </w:p>
        </w:tc>
        <w:tc>
          <w:tcPr>
            <w:tcW w:w="0" w:type="dxa"/>
            <w:vAlign w:val="bottom"/>
          </w:tcPr>
          <w:p>
            <w:pPr>
              <w:spacing w:after="0"/>
              <w:rPr>
                <w:sz w:val="1"/>
                <w:szCs w:val="1"/>
                <w:color w:val="auto"/>
              </w:rPr>
            </w:pPr>
          </w:p>
        </w:tc>
      </w:tr>
      <w:tr>
        <w:trPr>
          <w:trHeight w:val="133"/>
        </w:trPr>
        <w:tc>
          <w:tcPr>
            <w:tcW w:w="6520" w:type="dxa"/>
            <w:vAlign w:val="bottom"/>
            <w:tcBorders>
              <w:top w:val="single" w:sz="8" w:color="CCEEFF"/>
            </w:tcBorders>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Options outstanding, January 1, 2022</w:t>
            </w:r>
          </w:p>
        </w:tc>
        <w:tc>
          <w:tcPr>
            <w:tcW w:w="1220" w:type="dxa"/>
            <w:vAlign w:val="bottom"/>
            <w:tcBorders>
              <w:top w:val="single" w:sz="8" w:color="auto"/>
            </w:tcBorders>
            <w:shd w:val="clear" w:color="auto" w:fill="CCEEFF"/>
          </w:tcPr>
          <w:p>
            <w:pPr>
              <w:spacing w:after="0"/>
              <w:rPr>
                <w:sz w:val="11"/>
                <w:szCs w:val="11"/>
                <w:color w:val="auto"/>
              </w:rPr>
            </w:pPr>
          </w:p>
        </w:tc>
        <w:tc>
          <w:tcPr>
            <w:tcW w:w="58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1,164,143</w:t>
            </w:r>
          </w:p>
        </w:tc>
        <w:tc>
          <w:tcPr>
            <w:tcW w:w="18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220" w:type="dxa"/>
            <w:vAlign w:val="bottom"/>
            <w:tcBorders>
              <w:top w:val="single" w:sz="8" w:color="auto"/>
            </w:tcBorders>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w:t>
            </w:r>
          </w:p>
        </w:tc>
        <w:tc>
          <w:tcPr>
            <w:tcW w:w="156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1.93</w:t>
            </w:r>
          </w:p>
        </w:tc>
        <w:tc>
          <w:tcPr>
            <w:tcW w:w="10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77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Granted</w:t>
            </w: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96,160</w:t>
            </w:r>
          </w:p>
        </w:tc>
        <w:tc>
          <w:tcPr>
            <w:tcW w:w="360" w:type="dxa"/>
            <w:vAlign w:val="bottom"/>
            <w:gridSpan w:val="2"/>
          </w:tcPr>
          <w:p>
            <w:pPr>
              <w:ind w:left="140"/>
              <w:spacing w:after="0"/>
              <w:rPr>
                <w:sz w:val="20"/>
                <w:szCs w:val="20"/>
                <w:color w:val="auto"/>
              </w:rPr>
            </w:pPr>
            <w:r>
              <w:rPr>
                <w:rFonts w:ascii="Times New Roman" w:cs="Times New Roman" w:eastAsia="Times New Roman" w:hAnsi="Times New Roman"/>
                <w:sz w:val="12"/>
                <w:szCs w:val="12"/>
                <w:color w:val="auto"/>
              </w:rPr>
              <w:t>$</w:t>
            </w:r>
          </w:p>
        </w:tc>
        <w:tc>
          <w:tcPr>
            <w:tcW w:w="166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3.15</w:t>
            </w:r>
          </w:p>
        </w:tc>
        <w:tc>
          <w:tcPr>
            <w:tcW w:w="0" w:type="dxa"/>
            <w:vAlign w:val="bottom"/>
          </w:tcPr>
          <w:p>
            <w:pPr>
              <w:spacing w:after="0"/>
              <w:rPr>
                <w:sz w:val="1"/>
                <w:szCs w:val="1"/>
                <w:color w:val="auto"/>
              </w:rPr>
            </w:pPr>
          </w:p>
        </w:tc>
      </w:tr>
      <w:tr>
        <w:trPr>
          <w:trHeight w:val="144"/>
        </w:trPr>
        <w:tc>
          <w:tcPr>
            <w:tcW w:w="7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Exercised</w:t>
            </w: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(49,555)</w:t>
            </w:r>
          </w:p>
        </w:tc>
        <w:tc>
          <w:tcPr>
            <w:tcW w:w="3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w:t>
            </w:r>
          </w:p>
        </w:tc>
        <w:tc>
          <w:tcPr>
            <w:tcW w:w="1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0.23</w:t>
            </w:r>
          </w:p>
        </w:tc>
        <w:tc>
          <w:tcPr>
            <w:tcW w:w="0" w:type="dxa"/>
            <w:vAlign w:val="bottom"/>
          </w:tcPr>
          <w:p>
            <w:pPr>
              <w:spacing w:after="0"/>
              <w:rPr>
                <w:sz w:val="1"/>
                <w:szCs w:val="1"/>
                <w:color w:val="auto"/>
              </w:rPr>
            </w:pPr>
          </w:p>
        </w:tc>
      </w:tr>
      <w:tr>
        <w:trPr>
          <w:trHeight w:val="153"/>
        </w:trPr>
        <w:tc>
          <w:tcPr>
            <w:tcW w:w="77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Forfeited / Expired</w:t>
            </w: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(99,672)</w:t>
            </w:r>
          </w:p>
        </w:tc>
        <w:tc>
          <w:tcPr>
            <w:tcW w:w="360" w:type="dxa"/>
            <w:vAlign w:val="bottom"/>
            <w:gridSpan w:val="2"/>
          </w:tcPr>
          <w:p>
            <w:pPr>
              <w:ind w:left="140"/>
              <w:spacing w:after="0"/>
              <w:rPr>
                <w:sz w:val="20"/>
                <w:szCs w:val="20"/>
                <w:color w:val="auto"/>
              </w:rPr>
            </w:pPr>
            <w:r>
              <w:rPr>
                <w:rFonts w:ascii="Times New Roman" w:cs="Times New Roman" w:eastAsia="Times New Roman" w:hAnsi="Times New Roman"/>
                <w:sz w:val="12"/>
                <w:szCs w:val="12"/>
                <w:color w:val="auto"/>
              </w:rPr>
              <w:t>$</w:t>
            </w:r>
          </w:p>
        </w:tc>
        <w:tc>
          <w:tcPr>
            <w:tcW w:w="166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1.38</w:t>
            </w:r>
          </w:p>
        </w:tc>
        <w:tc>
          <w:tcPr>
            <w:tcW w:w="0" w:type="dxa"/>
            <w:vAlign w:val="bottom"/>
          </w:tcPr>
          <w:p>
            <w:pPr>
              <w:spacing w:after="0"/>
              <w:rPr>
                <w:sz w:val="1"/>
                <w:szCs w:val="1"/>
                <w:color w:val="auto"/>
              </w:rPr>
            </w:pPr>
          </w:p>
        </w:tc>
      </w:tr>
      <w:tr>
        <w:trPr>
          <w:trHeight w:val="149"/>
        </w:trPr>
        <w:tc>
          <w:tcPr>
            <w:tcW w:w="6520" w:type="dxa"/>
            <w:vAlign w:val="bottom"/>
            <w:tcBorders>
              <w:top w:val="single" w:sz="8" w:color="CCEEFF"/>
              <w:bottom w:val="single" w:sz="8" w:color="CCEEFF"/>
            </w:tcBorders>
            <w:shd w:val="clear" w:color="auto" w:fill="CCEEFF"/>
          </w:tcPr>
          <w:p>
            <w:pPr>
              <w:spacing w:after="0" w:line="135" w:lineRule="exact"/>
              <w:rPr>
                <w:sz w:val="20"/>
                <w:szCs w:val="20"/>
                <w:color w:val="auto"/>
              </w:rPr>
            </w:pPr>
            <w:r>
              <w:rPr>
                <w:rFonts w:ascii="Times New Roman" w:cs="Times New Roman" w:eastAsia="Times New Roman" w:hAnsi="Times New Roman"/>
                <w:sz w:val="12"/>
                <w:szCs w:val="12"/>
                <w:color w:val="auto"/>
              </w:rPr>
              <w:t>Options outstanding, December 31, 2022</w:t>
            </w:r>
          </w:p>
        </w:tc>
        <w:tc>
          <w:tcPr>
            <w:tcW w:w="1220" w:type="dxa"/>
            <w:vAlign w:val="bottom"/>
            <w:tcBorders>
              <w:top w:val="single" w:sz="8" w:color="auto"/>
              <w:bottom w:val="single" w:sz="8" w:color="auto"/>
            </w:tcBorders>
            <w:shd w:val="clear" w:color="auto" w:fill="CCEEFF"/>
          </w:tcPr>
          <w:p>
            <w:pPr>
              <w:spacing w:after="0"/>
              <w:rPr>
                <w:sz w:val="12"/>
                <w:szCs w:val="12"/>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1,110,986</w:t>
            </w:r>
          </w:p>
        </w:tc>
        <w:tc>
          <w:tcPr>
            <w:tcW w:w="180" w:type="dxa"/>
            <w:vAlign w:val="bottom"/>
            <w:tcBorders>
              <w:top w:val="single" w:sz="8" w:color="CCEEFF"/>
              <w:bottom w:val="single" w:sz="8" w:color="CCEEFF"/>
            </w:tcBorders>
            <w:shd w:val="clear" w:color="auto" w:fill="CCEEFF"/>
          </w:tcPr>
          <w:p>
            <w:pPr>
              <w:spacing w:after="0"/>
              <w:rPr>
                <w:sz w:val="12"/>
                <w:szCs w:val="12"/>
                <w:color w:val="auto"/>
              </w:rPr>
            </w:pPr>
          </w:p>
        </w:tc>
        <w:tc>
          <w:tcPr>
            <w:tcW w:w="360" w:type="dxa"/>
            <w:vAlign w:val="bottom"/>
            <w:tcBorders>
              <w:top w:val="single" w:sz="8" w:color="CCEEFF"/>
              <w:bottom w:val="single" w:sz="8" w:color="CCEEFF"/>
            </w:tcBorders>
            <w:gridSpan w:val="2"/>
            <w:shd w:val="clear" w:color="auto" w:fill="CCEEFF"/>
          </w:tcPr>
          <w:p>
            <w:pPr>
              <w:ind w:left="140"/>
              <w:spacing w:after="0" w:line="135" w:lineRule="exact"/>
              <w:rPr>
                <w:sz w:val="20"/>
                <w:szCs w:val="20"/>
                <w:color w:val="auto"/>
              </w:rPr>
            </w:pPr>
            <w:r>
              <w:rPr>
                <w:rFonts w:ascii="Times New Roman" w:cs="Times New Roman" w:eastAsia="Times New Roman" w:hAnsi="Times New Roman"/>
                <w:sz w:val="12"/>
                <w:szCs w:val="12"/>
                <w:color w:val="auto"/>
              </w:rPr>
              <w:t>$</w:t>
            </w:r>
          </w:p>
        </w:tc>
        <w:tc>
          <w:tcPr>
            <w:tcW w:w="1660" w:type="dxa"/>
            <w:vAlign w:val="bottom"/>
            <w:tcBorders>
              <w:top w:val="single" w:sz="8" w:color="CCEEFF"/>
              <w:bottom w:val="single" w:sz="8" w:color="CCEEFF"/>
            </w:tcBorders>
            <w:gridSpan w:val="2"/>
            <w:shd w:val="clear" w:color="auto" w:fill="CCEEFF"/>
          </w:tcPr>
          <w:p>
            <w:pPr>
              <w:jc w:val="right"/>
              <w:ind w:right="100"/>
              <w:spacing w:after="0" w:line="135" w:lineRule="exact"/>
              <w:rPr>
                <w:sz w:val="20"/>
                <w:szCs w:val="20"/>
                <w:color w:val="auto"/>
              </w:rPr>
            </w:pPr>
            <w:r>
              <w:rPr>
                <w:rFonts w:ascii="Times New Roman" w:cs="Times New Roman" w:eastAsia="Times New Roman" w:hAnsi="Times New Roman"/>
                <w:sz w:val="12"/>
                <w:szCs w:val="12"/>
                <w:color w:val="auto"/>
              </w:rPr>
              <w:t>1.91</w:t>
            </w:r>
          </w:p>
        </w:tc>
        <w:tc>
          <w:tcPr>
            <w:tcW w:w="0" w:type="dxa"/>
            <w:vAlign w:val="bottom"/>
          </w:tcPr>
          <w:p>
            <w:pPr>
              <w:spacing w:after="0"/>
              <w:rPr>
                <w:sz w:val="1"/>
                <w:szCs w:val="1"/>
                <w:color w:val="auto"/>
              </w:rPr>
            </w:pPr>
          </w:p>
        </w:tc>
      </w:tr>
      <w:tr>
        <w:trPr>
          <w:trHeight w:val="144"/>
        </w:trPr>
        <w:tc>
          <w:tcPr>
            <w:tcW w:w="7740" w:type="dxa"/>
            <w:vAlign w:val="bottom"/>
            <w:gridSpan w:val="2"/>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6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7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Weighted-average remaining contractual life of options exercisable</w:t>
            </w:r>
          </w:p>
        </w:tc>
        <w:tc>
          <w:tcPr>
            <w:tcW w:w="5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60" w:type="dxa"/>
            <w:vAlign w:val="bottom"/>
            <w:gridSpan w:val="2"/>
            <w:shd w:val="clear" w:color="auto" w:fill="CCEEFF"/>
          </w:tcPr>
          <w:p>
            <w:pPr>
              <w:ind w:left="1060"/>
              <w:spacing w:after="0"/>
              <w:rPr>
                <w:sz w:val="20"/>
                <w:szCs w:val="20"/>
                <w:color w:val="auto"/>
              </w:rPr>
            </w:pPr>
            <w:r>
              <w:rPr>
                <w:rFonts w:ascii="Times New Roman" w:cs="Times New Roman" w:eastAsia="Times New Roman" w:hAnsi="Times New Roman"/>
                <w:sz w:val="12"/>
                <w:szCs w:val="12"/>
                <w:color w:val="auto"/>
              </w:rPr>
              <w:t>7.93 years</w:t>
            </w:r>
          </w:p>
        </w:tc>
        <w:tc>
          <w:tcPr>
            <w:tcW w:w="0" w:type="dxa"/>
            <w:vAlign w:val="bottom"/>
          </w:tcPr>
          <w:p>
            <w:pPr>
              <w:spacing w:after="0"/>
              <w:rPr>
                <w:sz w:val="1"/>
                <w:szCs w:val="1"/>
                <w:color w:val="auto"/>
              </w:rPr>
            </w:pPr>
          </w:p>
        </w:tc>
      </w:tr>
      <w:tr>
        <w:trPr>
          <w:trHeight w:val="144"/>
        </w:trPr>
        <w:tc>
          <w:tcPr>
            <w:tcW w:w="77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Options exercisable</w:t>
            </w: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680,375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7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Weighted-average exercise price of options exercisable</w:t>
            </w:r>
          </w:p>
        </w:tc>
        <w:tc>
          <w:tcPr>
            <w:tcW w:w="5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w:t>
            </w:r>
          </w:p>
        </w:tc>
        <w:tc>
          <w:tcPr>
            <w:tcW w:w="1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1.93</w:t>
            </w:r>
          </w:p>
        </w:tc>
        <w:tc>
          <w:tcPr>
            <w:tcW w:w="0" w:type="dxa"/>
            <w:vAlign w:val="bottom"/>
          </w:tcPr>
          <w:p>
            <w:pPr>
              <w:spacing w:after="0"/>
              <w:rPr>
                <w:sz w:val="1"/>
                <w:szCs w:val="1"/>
                <w:color w:val="auto"/>
              </w:rPr>
            </w:pPr>
          </w:p>
        </w:tc>
      </w:tr>
      <w:tr>
        <w:trPr>
          <w:trHeight w:val="297"/>
        </w:trPr>
        <w:tc>
          <w:tcPr>
            <w:tcW w:w="6520" w:type="dxa"/>
            <w:vAlign w:val="bottom"/>
          </w:tcPr>
          <w:p>
            <w:pPr>
              <w:spacing w:after="0"/>
              <w:rPr>
                <w:sz w:val="24"/>
                <w:szCs w:val="24"/>
                <w:color w:val="auto"/>
              </w:rPr>
            </w:pPr>
          </w:p>
        </w:tc>
        <w:tc>
          <w:tcPr>
            <w:tcW w:w="1220" w:type="dxa"/>
            <w:vAlign w:val="bottom"/>
            <w:vMerge w:val="restart"/>
          </w:tcPr>
          <w:p>
            <w:pPr>
              <w:jc w:val="center"/>
              <w:ind w:left="540"/>
              <w:spacing w:after="0"/>
              <w:rPr>
                <w:sz w:val="20"/>
                <w:szCs w:val="20"/>
                <w:color w:val="auto"/>
              </w:rPr>
            </w:pPr>
            <w:r>
              <w:rPr>
                <w:rFonts w:ascii="Times New Roman" w:cs="Times New Roman" w:eastAsia="Times New Roman" w:hAnsi="Times New Roman"/>
                <w:sz w:val="12"/>
                <w:szCs w:val="12"/>
                <w:color w:val="auto"/>
                <w:w w:val="99"/>
              </w:rPr>
              <w:t>Units</w:t>
            </w: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8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Weighted Average</w:t>
            </w:r>
          </w:p>
        </w:tc>
        <w:tc>
          <w:tcPr>
            <w:tcW w:w="0" w:type="dxa"/>
            <w:vAlign w:val="bottom"/>
          </w:tcPr>
          <w:p>
            <w:pPr>
              <w:spacing w:after="0"/>
              <w:rPr>
                <w:sz w:val="1"/>
                <w:szCs w:val="1"/>
                <w:color w:val="auto"/>
              </w:rPr>
            </w:pPr>
          </w:p>
        </w:tc>
      </w:tr>
      <w:tr>
        <w:trPr>
          <w:trHeight w:val="133"/>
        </w:trPr>
        <w:tc>
          <w:tcPr>
            <w:tcW w:w="6520" w:type="dxa"/>
            <w:vAlign w:val="bottom"/>
            <w:tcBorders>
              <w:bottom w:val="single" w:sz="8" w:color="CCEEFF"/>
            </w:tcBorders>
          </w:tcPr>
          <w:p>
            <w:pPr>
              <w:spacing w:after="0"/>
              <w:rPr>
                <w:sz w:val="11"/>
                <w:szCs w:val="11"/>
                <w:color w:val="auto"/>
              </w:rPr>
            </w:pPr>
          </w:p>
        </w:tc>
        <w:tc>
          <w:tcPr>
            <w:tcW w:w="1220" w:type="dxa"/>
            <w:vAlign w:val="bottom"/>
            <w:tcBorders>
              <w:bottom w:val="single" w:sz="8" w:color="auto"/>
            </w:tcBorders>
            <w:vMerge w:val="continue"/>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180" w:type="dxa"/>
            <w:vAlign w:val="bottom"/>
            <w:tcBorders>
              <w:bottom w:val="single" w:sz="8" w:color="CCEEFF"/>
            </w:tcBorders>
          </w:tcPr>
          <w:p>
            <w:pPr>
              <w:spacing w:after="0"/>
              <w:rPr>
                <w:sz w:val="11"/>
                <w:szCs w:val="11"/>
                <w:color w:val="auto"/>
              </w:rPr>
            </w:pPr>
          </w:p>
        </w:tc>
        <w:tc>
          <w:tcPr>
            <w:tcW w:w="140" w:type="dxa"/>
            <w:vAlign w:val="bottom"/>
            <w:tcBorders>
              <w:bottom w:val="single" w:sz="8" w:color="CCEEFF"/>
            </w:tcBorders>
          </w:tcPr>
          <w:p>
            <w:pPr>
              <w:spacing w:after="0"/>
              <w:rPr>
                <w:sz w:val="11"/>
                <w:szCs w:val="11"/>
                <w:color w:val="auto"/>
              </w:rPr>
            </w:pPr>
          </w:p>
        </w:tc>
        <w:tc>
          <w:tcPr>
            <w:tcW w:w="220" w:type="dxa"/>
            <w:vAlign w:val="bottom"/>
            <w:tcBorders>
              <w:top w:val="single" w:sz="8" w:color="auto"/>
              <w:bottom w:val="single" w:sz="8" w:color="auto"/>
            </w:tcBorders>
          </w:tcPr>
          <w:p>
            <w:pPr>
              <w:spacing w:after="0"/>
              <w:rPr>
                <w:sz w:val="11"/>
                <w:szCs w:val="11"/>
                <w:color w:val="auto"/>
              </w:rPr>
            </w:pPr>
          </w:p>
        </w:tc>
        <w:tc>
          <w:tcPr>
            <w:tcW w:w="1560" w:type="dxa"/>
            <w:vAlign w:val="bottom"/>
            <w:tcBorders>
              <w:top w:val="single" w:sz="8" w:color="auto"/>
              <w:bottom w:val="single" w:sz="8" w:color="auto"/>
            </w:tcBorders>
          </w:tcPr>
          <w:p>
            <w:pPr>
              <w:jc w:val="center"/>
              <w:ind w:right="160"/>
              <w:spacing w:after="0" w:line="133" w:lineRule="exact"/>
              <w:rPr>
                <w:sz w:val="20"/>
                <w:szCs w:val="20"/>
                <w:color w:val="auto"/>
              </w:rPr>
            </w:pPr>
            <w:r>
              <w:rPr>
                <w:rFonts w:ascii="Times New Roman" w:cs="Times New Roman" w:eastAsia="Times New Roman" w:hAnsi="Times New Roman"/>
                <w:sz w:val="12"/>
                <w:szCs w:val="12"/>
                <w:color w:val="auto"/>
                <w:w w:val="99"/>
              </w:rPr>
              <w:t>Grant Date Fair Value</w:t>
            </w:r>
          </w:p>
        </w:tc>
        <w:tc>
          <w:tcPr>
            <w:tcW w:w="10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652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2"/>
                <w:szCs w:val="12"/>
                <w:color w:val="auto"/>
              </w:rPr>
              <w:t>Nonvested options, January 1, 2022</w:t>
            </w:r>
          </w:p>
        </w:tc>
        <w:tc>
          <w:tcPr>
            <w:tcW w:w="122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553,932</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2"/>
                <w:szCs w:val="12"/>
                <w:color w:val="auto"/>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1.41</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7740" w:type="dxa"/>
            <w:vAlign w:val="bottom"/>
            <w:tcBorders>
              <w:bottom w:val="single" w:sz="8" w:color="CCEEFF"/>
            </w:tcBorders>
            <w:gridSpan w:val="2"/>
          </w:tcPr>
          <w:p>
            <w:pPr>
              <w:spacing w:after="0" w:line="133" w:lineRule="exact"/>
              <w:rPr>
                <w:sz w:val="20"/>
                <w:szCs w:val="20"/>
                <w:color w:val="auto"/>
              </w:rPr>
            </w:pPr>
            <w:r>
              <w:rPr>
                <w:rFonts w:ascii="Times New Roman" w:cs="Times New Roman" w:eastAsia="Times New Roman" w:hAnsi="Times New Roman"/>
                <w:sz w:val="12"/>
                <w:szCs w:val="12"/>
                <w:color w:val="auto"/>
              </w:rPr>
              <w:t>Granted</w:t>
            </w:r>
          </w:p>
        </w:tc>
        <w:tc>
          <w:tcPr>
            <w:tcW w:w="760" w:type="dxa"/>
            <w:vAlign w:val="bottom"/>
            <w:tcBorders>
              <w:bottom w:val="single" w:sz="8" w:color="CCEEFF"/>
            </w:tcBorders>
            <w:gridSpan w:val="2"/>
          </w:tcPr>
          <w:p>
            <w:pPr>
              <w:jc w:val="right"/>
              <w:ind w:right="180"/>
              <w:spacing w:after="0" w:line="133" w:lineRule="exact"/>
              <w:rPr>
                <w:sz w:val="20"/>
                <w:szCs w:val="20"/>
                <w:color w:val="auto"/>
              </w:rPr>
            </w:pPr>
            <w:r>
              <w:rPr>
                <w:rFonts w:ascii="Times New Roman" w:cs="Times New Roman" w:eastAsia="Times New Roman" w:hAnsi="Times New Roman"/>
                <w:sz w:val="12"/>
                <w:szCs w:val="12"/>
                <w:color w:val="auto"/>
              </w:rPr>
              <w:t>96,160</w:t>
            </w:r>
          </w:p>
        </w:tc>
        <w:tc>
          <w:tcPr>
            <w:tcW w:w="140" w:type="dxa"/>
            <w:vAlign w:val="bottom"/>
            <w:tcBorders>
              <w:bottom w:val="single" w:sz="8" w:color="CCEEFF"/>
            </w:tcBorders>
          </w:tcPr>
          <w:p>
            <w:pPr>
              <w:spacing w:after="0"/>
              <w:rPr>
                <w:sz w:val="11"/>
                <w:szCs w:val="11"/>
                <w:color w:val="auto"/>
              </w:rPr>
            </w:pPr>
          </w:p>
        </w:tc>
        <w:tc>
          <w:tcPr>
            <w:tcW w:w="220" w:type="dxa"/>
            <w:vAlign w:val="bottom"/>
            <w:tcBorders>
              <w:bottom w:val="single" w:sz="8" w:color="auto"/>
            </w:tcBorders>
          </w:tcPr>
          <w:p>
            <w:pPr>
              <w:spacing w:after="0" w:line="133" w:lineRule="exact"/>
              <w:rPr>
                <w:sz w:val="20"/>
                <w:szCs w:val="20"/>
                <w:color w:val="auto"/>
              </w:rPr>
            </w:pPr>
            <w:r>
              <w:rPr>
                <w:rFonts w:ascii="Times New Roman" w:cs="Times New Roman" w:eastAsia="Times New Roman" w:hAnsi="Times New Roman"/>
                <w:sz w:val="12"/>
                <w:szCs w:val="12"/>
                <w:color w:val="auto"/>
              </w:rPr>
              <w:t>$</w:t>
            </w:r>
          </w:p>
        </w:tc>
        <w:tc>
          <w:tcPr>
            <w:tcW w:w="156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1.10</w:t>
            </w:r>
          </w:p>
        </w:tc>
        <w:tc>
          <w:tcPr>
            <w:tcW w:w="10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7740" w:type="dxa"/>
            <w:vAlign w:val="bottom"/>
            <w:gridSpan w:val="2"/>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Vested</w:t>
            </w:r>
          </w:p>
        </w:tc>
        <w:tc>
          <w:tcPr>
            <w:tcW w:w="760" w:type="dxa"/>
            <w:vAlign w:val="bottom"/>
            <w:gridSpan w:val="2"/>
            <w:shd w:val="clear" w:color="auto" w:fill="CCEEFF"/>
          </w:tcPr>
          <w:p>
            <w:pPr>
              <w:jc w:val="right"/>
              <w:ind w:right="140"/>
              <w:spacing w:after="0" w:line="133" w:lineRule="exact"/>
              <w:rPr>
                <w:sz w:val="20"/>
                <w:szCs w:val="20"/>
                <w:color w:val="auto"/>
              </w:rPr>
            </w:pPr>
            <w:r>
              <w:rPr>
                <w:rFonts w:ascii="Times New Roman" w:cs="Times New Roman" w:eastAsia="Times New Roman" w:hAnsi="Times New Roman"/>
                <w:sz w:val="12"/>
                <w:szCs w:val="12"/>
                <w:color w:val="auto"/>
              </w:rPr>
              <w:t>(119,719)</w:t>
            </w:r>
          </w:p>
        </w:tc>
        <w:tc>
          <w:tcPr>
            <w:tcW w:w="140" w:type="dxa"/>
            <w:vAlign w:val="bottom"/>
            <w:shd w:val="clear" w:color="auto" w:fill="CCEEFF"/>
          </w:tcPr>
          <w:p>
            <w:pPr>
              <w:spacing w:after="0"/>
              <w:rPr>
                <w:sz w:val="11"/>
                <w:szCs w:val="11"/>
                <w:color w:val="auto"/>
              </w:rPr>
            </w:pPr>
          </w:p>
        </w:tc>
        <w:tc>
          <w:tcPr>
            <w:tcW w:w="220" w:type="dxa"/>
            <w:vAlign w:val="bottom"/>
            <w:tcBorders>
              <w:bottom w:val="single" w:sz="8" w:color="auto"/>
            </w:tcBorders>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w:t>
            </w:r>
          </w:p>
        </w:tc>
        <w:tc>
          <w:tcPr>
            <w:tcW w:w="1560" w:type="dxa"/>
            <w:vAlign w:val="bottom"/>
            <w:tcBorders>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1.67</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7740" w:type="dxa"/>
            <w:vAlign w:val="bottom"/>
            <w:tcBorders>
              <w:bottom w:val="single" w:sz="8" w:color="CCEEFF"/>
            </w:tcBorders>
            <w:gridSpan w:val="2"/>
          </w:tcPr>
          <w:p>
            <w:pPr>
              <w:spacing w:after="0" w:line="133" w:lineRule="exact"/>
              <w:rPr>
                <w:sz w:val="20"/>
                <w:szCs w:val="20"/>
                <w:color w:val="auto"/>
              </w:rPr>
            </w:pPr>
            <w:r>
              <w:rPr>
                <w:rFonts w:ascii="Times New Roman" w:cs="Times New Roman" w:eastAsia="Times New Roman" w:hAnsi="Times New Roman"/>
                <w:sz w:val="12"/>
                <w:szCs w:val="12"/>
                <w:color w:val="auto"/>
              </w:rPr>
              <w:t>Forfeited/Expired</w:t>
            </w:r>
          </w:p>
        </w:tc>
        <w:tc>
          <w:tcPr>
            <w:tcW w:w="760" w:type="dxa"/>
            <w:vAlign w:val="bottom"/>
            <w:tcBorders>
              <w:bottom w:val="single" w:sz="8" w:color="CCEEFF"/>
            </w:tcBorders>
            <w:gridSpan w:val="2"/>
          </w:tcPr>
          <w:p>
            <w:pPr>
              <w:jc w:val="right"/>
              <w:ind w:right="140"/>
              <w:spacing w:after="0" w:line="133" w:lineRule="exact"/>
              <w:rPr>
                <w:sz w:val="20"/>
                <w:szCs w:val="20"/>
                <w:color w:val="auto"/>
              </w:rPr>
            </w:pPr>
            <w:r>
              <w:rPr>
                <w:rFonts w:ascii="Times New Roman" w:cs="Times New Roman" w:eastAsia="Times New Roman" w:hAnsi="Times New Roman"/>
                <w:sz w:val="12"/>
                <w:szCs w:val="12"/>
                <w:color w:val="auto"/>
              </w:rPr>
              <w:t>(99,762)</w:t>
            </w:r>
          </w:p>
        </w:tc>
        <w:tc>
          <w:tcPr>
            <w:tcW w:w="140" w:type="dxa"/>
            <w:vAlign w:val="bottom"/>
            <w:tcBorders>
              <w:bottom w:val="single" w:sz="8" w:color="CCEEFF"/>
            </w:tcBorders>
          </w:tcPr>
          <w:p>
            <w:pPr>
              <w:spacing w:after="0"/>
              <w:rPr>
                <w:sz w:val="11"/>
                <w:szCs w:val="11"/>
                <w:color w:val="auto"/>
              </w:rPr>
            </w:pPr>
          </w:p>
        </w:tc>
        <w:tc>
          <w:tcPr>
            <w:tcW w:w="220" w:type="dxa"/>
            <w:vAlign w:val="bottom"/>
            <w:tcBorders>
              <w:bottom w:val="single" w:sz="8" w:color="auto"/>
            </w:tcBorders>
          </w:tcPr>
          <w:p>
            <w:pPr>
              <w:spacing w:after="0" w:line="133" w:lineRule="exact"/>
              <w:rPr>
                <w:sz w:val="20"/>
                <w:szCs w:val="20"/>
                <w:color w:val="auto"/>
              </w:rPr>
            </w:pPr>
            <w:r>
              <w:rPr>
                <w:rFonts w:ascii="Times New Roman" w:cs="Times New Roman" w:eastAsia="Times New Roman" w:hAnsi="Times New Roman"/>
                <w:sz w:val="12"/>
                <w:szCs w:val="12"/>
                <w:color w:val="auto"/>
              </w:rPr>
              <w:t>$</w:t>
            </w:r>
          </w:p>
        </w:tc>
        <w:tc>
          <w:tcPr>
            <w:tcW w:w="156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1.02</w:t>
            </w:r>
          </w:p>
        </w:tc>
        <w:tc>
          <w:tcPr>
            <w:tcW w:w="10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7740" w:type="dxa"/>
            <w:vAlign w:val="bottom"/>
            <w:gridSpan w:val="2"/>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Nonvested options, December 31, 2022</w:t>
            </w:r>
          </w:p>
        </w:tc>
        <w:tc>
          <w:tcPr>
            <w:tcW w:w="760" w:type="dxa"/>
            <w:vAlign w:val="bottom"/>
            <w:gridSpan w:val="2"/>
            <w:shd w:val="clear" w:color="auto" w:fill="CCEEFF"/>
          </w:tcPr>
          <w:p>
            <w:pPr>
              <w:jc w:val="right"/>
              <w:ind w:right="180"/>
              <w:spacing w:after="0" w:line="133" w:lineRule="exact"/>
              <w:rPr>
                <w:sz w:val="20"/>
                <w:szCs w:val="20"/>
                <w:color w:val="auto"/>
              </w:rPr>
            </w:pPr>
            <w:r>
              <w:rPr>
                <w:rFonts w:ascii="Times New Roman" w:cs="Times New Roman" w:eastAsia="Times New Roman" w:hAnsi="Times New Roman"/>
                <w:sz w:val="12"/>
                <w:szCs w:val="12"/>
                <w:color w:val="auto"/>
              </w:rPr>
              <w:t>430,611</w:t>
            </w:r>
          </w:p>
        </w:tc>
        <w:tc>
          <w:tcPr>
            <w:tcW w:w="140" w:type="dxa"/>
            <w:vAlign w:val="bottom"/>
            <w:shd w:val="clear" w:color="auto" w:fill="CCEEFF"/>
          </w:tcPr>
          <w:p>
            <w:pPr>
              <w:spacing w:after="0"/>
              <w:rPr>
                <w:sz w:val="11"/>
                <w:szCs w:val="11"/>
                <w:color w:val="auto"/>
              </w:rPr>
            </w:pPr>
          </w:p>
        </w:tc>
        <w:tc>
          <w:tcPr>
            <w:tcW w:w="220" w:type="dxa"/>
            <w:vAlign w:val="bottom"/>
            <w:tcBorders>
              <w:bottom w:val="single" w:sz="8" w:color="auto"/>
            </w:tcBorders>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w:t>
            </w:r>
          </w:p>
        </w:tc>
        <w:tc>
          <w:tcPr>
            <w:tcW w:w="1560" w:type="dxa"/>
            <w:vAlign w:val="bottom"/>
            <w:tcBorders>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1.36</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bl>
    <w:p>
      <w:pPr>
        <w:spacing w:after="0" w:line="133" w:lineRule="exact"/>
        <w:rPr>
          <w:sz w:val="20"/>
          <w:szCs w:val="20"/>
          <w:color w:val="auto"/>
        </w:rPr>
      </w:pPr>
    </w:p>
    <w:p>
      <w:pPr>
        <w:jc w:val="both"/>
        <w:ind w:right="20"/>
        <w:spacing w:after="0" w:line="279" w:lineRule="auto"/>
        <w:rPr>
          <w:sz w:val="20"/>
          <w:szCs w:val="20"/>
          <w:color w:val="auto"/>
        </w:rPr>
      </w:pPr>
      <w:r>
        <w:rPr>
          <w:rFonts w:ascii="Times New Roman" w:cs="Times New Roman" w:eastAsia="Times New Roman" w:hAnsi="Times New Roman"/>
          <w:sz w:val="12"/>
          <w:szCs w:val="12"/>
          <w:color w:val="auto"/>
        </w:rPr>
        <w:t>As of December 31, 2022, 680,375 options had vested, and 236,633 options were expected to vest between January 2023 and October 2026. Future compensation expense associated with the unvested options totals approximately $345,000 which is expected to be recognized over three years. For the year ended December 31, 2022, stock compensation expense was $371,733, of which $235,000 related to the stock grants detailed below.</w:t>
      </w:r>
    </w:p>
    <w:p>
      <w:pPr>
        <w:spacing w:after="0" w:line="111"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2"/>
          <w:szCs w:val="12"/>
          <w:color w:val="auto"/>
        </w:rPr>
        <w:t>As of December 31, 2022, the Company issued 193,978 performance-based options related to a multiple on invested capital. Future compensation expense associated with the unvested options totals $220,165, which is not included in future compensation expense for unvested options of approximately $345,000. The options only vest upon transaction, change in control, or liquidation. For the year ended December 31, 2022, there was no stock compensation expense related to the performance-based options.</w:t>
      </w:r>
    </w:p>
    <w:p>
      <w:pPr>
        <w:spacing w:after="0" w:line="119"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2"/>
          <w:szCs w:val="12"/>
          <w:color w:val="auto"/>
        </w:rPr>
        <w:t>In January 2024, the Board of Directors of the Company approved the cancellation and replacement of various stock options held by certain participants as part of the Company’s 2017 Equity Incentive Plan. The Company offered to replace outstanding options having an exercise price greater than $0.50 per share with a new stock option with an exercise price of $0.50 per share. Participants holding a total of 808,966 options elected to participate in the option exchange. Due to the repricing, there was a significant decrease in the cost associated with these shares.</w:t>
      </w:r>
    </w:p>
    <w:p>
      <w:pPr>
        <w:spacing w:after="0" w:line="11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2"/>
          <w:szCs w:val="12"/>
          <w:b w:val="1"/>
          <w:bCs w:val="1"/>
          <w:color w:val="auto"/>
        </w:rPr>
        <w:t xml:space="preserve">Stock grants </w:t>
      </w:r>
      <w:r>
        <w:rPr>
          <w:rFonts w:ascii="Times New Roman" w:cs="Times New Roman" w:eastAsia="Times New Roman" w:hAnsi="Times New Roman"/>
          <w:sz w:val="12"/>
          <w:szCs w:val="12"/>
          <w:color w:val="auto"/>
        </w:rPr>
        <w:t>– Pursuant to the terms of the stock purchase agreement of Balloon Technologies on August 3, 2021, two sellers each entered into one year employment agreements in conjunction with the transaction with the</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Company effective upon the Closing Date to fulfill general job responsibilities to aid in integrating the Balloon platform with the Company’s platform. The Stock Purchase Agreement (“SPA”) included an earn out clause in that the sellers would receive a combined 39,587 shares of common stock in the Company (at a $0.00001 par value), upon the completion of each quarterly milestone for four quarters, with the first quarter beginning on the Closing date and the last quarter being completed on August 3, 2022. The milestones required that the sellers remain employed by the Company in order to receive the earn out payments. The two sellers remained employed throughout all four milestones, and therefore the Company issued an aggregate of 158,348 shares of the Company’s common stock related to these milestones. For the year ended December 31, 2022, stock compensation expense related to these common shares was $235,000.</w:t>
      </w:r>
    </w:p>
    <w:p>
      <w:pPr>
        <w:spacing w:after="0" w:line="125"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2"/>
          <w:szCs w:val="12"/>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-271145</wp:posOffset>
            </wp:positionH>
            <wp:positionV relativeFrom="paragraph">
              <wp:posOffset>10795</wp:posOffset>
            </wp:positionV>
            <wp:extent cx="7178040" cy="571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0880"/>
          </w:cols>
          <w:pgMar w:left="720" w:top="489" w:right="299" w:bottom="1440" w:gutter="0" w:footer="0" w:header="0"/>
        </w:sectPr>
      </w:pPr>
    </w:p>
    <w:bookmarkStart w:id="31" w:name="page32"/>
    <w:bookmarkEnd w:id="31"/>
    <w:tbl>
      <w:tblPr>
        <w:tblLayout w:type="fixed"/>
        <w:tblInd w:w="0" w:type="dxa"/>
        <w:tblCellMar>
          <w:top w:w="0" w:type="dxa"/>
          <w:left w:w="0" w:type="dxa"/>
          <w:bottom w:w="0" w:type="dxa"/>
          <w:right w:w="0" w:type="dxa"/>
        </w:tblCellMar>
      </w:tblPr>
      <w:tr>
        <w:trPr>
          <w:trHeight w:val="138"/>
        </w:trPr>
        <w:tc>
          <w:tcPr>
            <w:tcW w:w="9060" w:type="dxa"/>
            <w:vAlign w:val="bottom"/>
            <w:gridSpan w:val="5"/>
          </w:tcPr>
          <w:p>
            <w:pPr>
              <w:spacing w:after="0"/>
              <w:rPr>
                <w:sz w:val="20"/>
                <w:szCs w:val="20"/>
                <w:color w:val="auto"/>
              </w:rPr>
            </w:pPr>
            <w:r>
              <w:rPr>
                <w:rFonts w:ascii="Times New Roman" w:cs="Times New Roman" w:eastAsia="Times New Roman" w:hAnsi="Times New Roman"/>
                <w:sz w:val="12"/>
                <w:szCs w:val="12"/>
                <w:b w:val="1"/>
                <w:bCs w:val="1"/>
                <w:color w:val="auto"/>
              </w:rPr>
              <w:t>(7) Income taxes</w:t>
            </w:r>
          </w:p>
        </w:tc>
        <w:tc>
          <w:tcPr>
            <w:tcW w:w="6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0"/>
        </w:trPr>
        <w:tc>
          <w:tcPr>
            <w:tcW w:w="1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2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95"/>
        </w:trPr>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Income tax benefit included in the accompanying consolidated statement of operations is summarized as follows:</w:t>
            </w:r>
          </w:p>
        </w:tc>
        <w:tc>
          <w:tcPr>
            <w:tcW w:w="6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44"/>
        </w:trPr>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4"/>
        </w:trPr>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Current</w:t>
            </w:r>
          </w:p>
        </w:tc>
        <w:tc>
          <w:tcPr>
            <w:tcW w:w="660" w:type="dxa"/>
            <w:vAlign w:val="bottom"/>
            <w:shd w:val="clear" w:color="auto" w:fill="CCEEFF"/>
          </w:tcPr>
          <w:p>
            <w:pPr>
              <w:jc w:val="right"/>
              <w:ind w:right="546"/>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2"/>
                <w:szCs w:val="12"/>
                <w:color w:val="auto"/>
              </w:rPr>
            </w:pPr>
          </w:p>
        </w:tc>
      </w:tr>
      <w:tr>
        <w:trPr>
          <w:trHeight w:val="144"/>
        </w:trPr>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Deferred</w:t>
            </w:r>
          </w:p>
        </w:tc>
        <w:tc>
          <w:tcPr>
            <w:tcW w:w="660" w:type="dxa"/>
            <w:vAlign w:val="bottom"/>
          </w:tcPr>
          <w:p>
            <w:pPr>
              <w:spacing w:after="0"/>
              <w:rPr>
                <w:sz w:val="12"/>
                <w:szCs w:val="1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2,608,917</w:t>
            </w:r>
          </w:p>
        </w:tc>
        <w:tc>
          <w:tcPr>
            <w:tcW w:w="100" w:type="dxa"/>
            <w:vAlign w:val="bottom"/>
          </w:tcPr>
          <w:p>
            <w:pPr>
              <w:spacing w:after="0"/>
              <w:rPr>
                <w:sz w:val="12"/>
                <w:szCs w:val="12"/>
                <w:color w:val="auto"/>
              </w:rPr>
            </w:pPr>
          </w:p>
        </w:tc>
      </w:tr>
      <w:tr>
        <w:trPr>
          <w:trHeight w:val="153"/>
        </w:trPr>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Valuation allowance</w:t>
            </w:r>
          </w:p>
        </w:tc>
        <w:tc>
          <w:tcPr>
            <w:tcW w:w="660" w:type="dxa"/>
            <w:vAlign w:val="bottom"/>
            <w:shd w:val="clear" w:color="auto" w:fill="CCEEFF"/>
          </w:tcPr>
          <w:p>
            <w:pPr>
              <w:spacing w:after="0"/>
              <w:rPr>
                <w:sz w:val="13"/>
                <w:szCs w:val="13"/>
                <w:color w:val="auto"/>
              </w:rPr>
            </w:pPr>
          </w:p>
        </w:tc>
        <w:tc>
          <w:tcPr>
            <w:tcW w:w="12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(2,608,917)</w:t>
            </w:r>
          </w:p>
        </w:tc>
      </w:tr>
      <w:tr>
        <w:trPr>
          <w:trHeight w:val="133"/>
        </w:trPr>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40" w:type="dxa"/>
            <w:vAlign w:val="bottom"/>
            <w:gridSpan w:val="2"/>
          </w:tcPr>
          <w:p>
            <w:pPr>
              <w:ind w:left="120"/>
              <w:spacing w:after="0" w:line="133" w:lineRule="exact"/>
              <w:rPr>
                <w:sz w:val="20"/>
                <w:szCs w:val="20"/>
                <w:color w:val="auto"/>
              </w:rPr>
            </w:pPr>
            <w:r>
              <w:rPr>
                <w:rFonts w:ascii="Times New Roman" w:cs="Times New Roman" w:eastAsia="Times New Roman" w:hAnsi="Times New Roman"/>
                <w:sz w:val="12"/>
                <w:szCs w:val="12"/>
                <w:color w:val="auto"/>
              </w:rPr>
              <w:t>Total income tax benefit</w:t>
            </w:r>
          </w:p>
        </w:tc>
        <w:tc>
          <w:tcPr>
            <w:tcW w:w="660" w:type="dxa"/>
            <w:vAlign w:val="bottom"/>
            <w:tcBorders>
              <w:top w:val="single" w:sz="8" w:color="auto"/>
              <w:bottom w:val="single" w:sz="8" w:color="auto"/>
            </w:tcBorders>
          </w:tcPr>
          <w:p>
            <w:pPr>
              <w:jc w:val="right"/>
              <w:ind w:right="546"/>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tcBorders>
              <w:top w:val="single" w:sz="8" w:color="auto"/>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1"/>
                <w:szCs w:val="11"/>
                <w:color w:val="auto"/>
              </w:rPr>
            </w:pPr>
          </w:p>
        </w:tc>
      </w:tr>
      <w:tr>
        <w:trPr>
          <w:trHeight w:val="277"/>
        </w:trPr>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900" w:type="dxa"/>
            <w:vAlign w:val="bottom"/>
            <w:gridSpan w:val="3"/>
          </w:tcPr>
          <w:p>
            <w:pPr>
              <w:ind w:left="260"/>
              <w:spacing w:after="0"/>
              <w:rPr>
                <w:sz w:val="20"/>
                <w:szCs w:val="20"/>
                <w:color w:val="auto"/>
              </w:rPr>
            </w:pPr>
            <w:r>
              <w:rPr>
                <w:rFonts w:ascii="Times New Roman" w:cs="Times New Roman" w:eastAsia="Times New Roman" w:hAnsi="Times New Roman"/>
                <w:sz w:val="12"/>
                <w:szCs w:val="12"/>
                <w:color w:val="auto"/>
              </w:rPr>
              <w:t>The deferred income tax assets and liabilities consisted of the following as of December 31, 2022:</w:t>
            </w:r>
          </w:p>
        </w:tc>
        <w:tc>
          <w:tcPr>
            <w:tcW w:w="6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44"/>
        </w:trPr>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4"/>
        </w:trPr>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Deferred income tax assets:</w:t>
            </w:r>
          </w:p>
        </w:tc>
        <w:tc>
          <w:tcPr>
            <w:tcW w:w="66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44"/>
        </w:trPr>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40" w:type="dxa"/>
            <w:vAlign w:val="bottom"/>
            <w:gridSpan w:val="2"/>
          </w:tcPr>
          <w:p>
            <w:pPr>
              <w:ind w:left="120"/>
              <w:spacing w:after="0"/>
              <w:rPr>
                <w:sz w:val="20"/>
                <w:szCs w:val="20"/>
                <w:color w:val="auto"/>
              </w:rPr>
            </w:pPr>
            <w:r>
              <w:rPr>
                <w:rFonts w:ascii="Times New Roman" w:cs="Times New Roman" w:eastAsia="Times New Roman" w:hAnsi="Times New Roman"/>
                <w:sz w:val="12"/>
                <w:szCs w:val="12"/>
                <w:color w:val="auto"/>
              </w:rPr>
              <w:t>Net operating loss carryforwards</w:t>
            </w:r>
          </w:p>
        </w:tc>
        <w:tc>
          <w:tcPr>
            <w:tcW w:w="660" w:type="dxa"/>
            <w:vAlign w:val="bottom"/>
          </w:tcPr>
          <w:p>
            <w:pPr>
              <w:jc w:val="right"/>
              <w:ind w:right="546"/>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4,023,064</w:t>
            </w:r>
          </w:p>
        </w:tc>
        <w:tc>
          <w:tcPr>
            <w:tcW w:w="100" w:type="dxa"/>
            <w:vAlign w:val="bottom"/>
          </w:tcPr>
          <w:p>
            <w:pPr>
              <w:spacing w:after="0"/>
              <w:rPr>
                <w:sz w:val="12"/>
                <w:szCs w:val="12"/>
                <w:color w:val="auto"/>
              </w:rPr>
            </w:pPr>
          </w:p>
        </w:tc>
      </w:tr>
      <w:tr>
        <w:trPr>
          <w:trHeight w:val="144"/>
        </w:trPr>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4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2"/>
                <w:szCs w:val="12"/>
                <w:color w:val="auto"/>
              </w:rPr>
              <w:t>Research and experimental expenses</w:t>
            </w:r>
          </w:p>
        </w:tc>
        <w:tc>
          <w:tcPr>
            <w:tcW w:w="660" w:type="dxa"/>
            <w:vAlign w:val="bottom"/>
            <w:shd w:val="clear" w:color="auto" w:fill="CCEEFF"/>
          </w:tcPr>
          <w:p>
            <w:pPr>
              <w:spacing w:after="0"/>
              <w:rPr>
                <w:sz w:val="12"/>
                <w:szCs w:val="1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605,607</w:t>
            </w:r>
          </w:p>
        </w:tc>
        <w:tc>
          <w:tcPr>
            <w:tcW w:w="100" w:type="dxa"/>
            <w:vAlign w:val="bottom"/>
            <w:shd w:val="clear" w:color="auto" w:fill="CCEEFF"/>
          </w:tcPr>
          <w:p>
            <w:pPr>
              <w:spacing w:after="0"/>
              <w:rPr>
                <w:sz w:val="12"/>
                <w:szCs w:val="12"/>
                <w:color w:val="auto"/>
              </w:rPr>
            </w:pPr>
          </w:p>
        </w:tc>
      </w:tr>
      <w:tr>
        <w:trPr>
          <w:trHeight w:val="144"/>
        </w:trPr>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40" w:type="dxa"/>
            <w:vAlign w:val="bottom"/>
            <w:gridSpan w:val="2"/>
          </w:tcPr>
          <w:p>
            <w:pPr>
              <w:ind w:left="120"/>
              <w:spacing w:after="0"/>
              <w:rPr>
                <w:sz w:val="20"/>
                <w:szCs w:val="20"/>
                <w:color w:val="auto"/>
              </w:rPr>
            </w:pPr>
            <w:r>
              <w:rPr>
                <w:rFonts w:ascii="Times New Roman" w:cs="Times New Roman" w:eastAsia="Times New Roman" w:hAnsi="Times New Roman"/>
                <w:sz w:val="12"/>
                <w:szCs w:val="12"/>
                <w:color w:val="auto"/>
              </w:rPr>
              <w:t>Tax credits</w:t>
            </w:r>
          </w:p>
        </w:tc>
        <w:tc>
          <w:tcPr>
            <w:tcW w:w="660" w:type="dxa"/>
            <w:vAlign w:val="bottom"/>
          </w:tcPr>
          <w:p>
            <w:pPr>
              <w:spacing w:after="0"/>
              <w:rPr>
                <w:sz w:val="12"/>
                <w:szCs w:val="12"/>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22,741</w:t>
            </w:r>
          </w:p>
        </w:tc>
      </w:tr>
      <w:tr>
        <w:trPr>
          <w:trHeight w:val="144"/>
        </w:trPr>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Deferred revenue</w:t>
            </w:r>
          </w:p>
        </w:tc>
        <w:tc>
          <w:tcPr>
            <w:tcW w:w="660" w:type="dxa"/>
            <w:vAlign w:val="bottom"/>
            <w:shd w:val="clear" w:color="auto" w:fill="CCEEFF"/>
          </w:tcPr>
          <w:p>
            <w:pPr>
              <w:spacing w:after="0"/>
              <w:rPr>
                <w:sz w:val="12"/>
                <w:szCs w:val="1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2,426</w:t>
            </w:r>
          </w:p>
        </w:tc>
        <w:tc>
          <w:tcPr>
            <w:tcW w:w="100" w:type="dxa"/>
            <w:vAlign w:val="bottom"/>
            <w:shd w:val="clear" w:color="auto" w:fill="CCEEFF"/>
          </w:tcPr>
          <w:p>
            <w:pPr>
              <w:spacing w:after="0"/>
              <w:rPr>
                <w:sz w:val="12"/>
                <w:szCs w:val="12"/>
                <w:color w:val="auto"/>
              </w:rPr>
            </w:pPr>
          </w:p>
        </w:tc>
      </w:tr>
      <w:tr>
        <w:trPr>
          <w:trHeight w:val="153"/>
        </w:trPr>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40" w:type="dxa"/>
            <w:vAlign w:val="bottom"/>
            <w:tcBorders>
              <w:bottom w:val="single" w:sz="8" w:color="CCEEFF"/>
            </w:tcBorders>
            <w:gridSpan w:val="2"/>
          </w:tcPr>
          <w:p>
            <w:pPr>
              <w:ind w:left="120"/>
              <w:spacing w:after="0"/>
              <w:rPr>
                <w:sz w:val="20"/>
                <w:szCs w:val="20"/>
                <w:color w:val="auto"/>
              </w:rPr>
            </w:pPr>
            <w:r>
              <w:rPr>
                <w:rFonts w:ascii="Times New Roman" w:cs="Times New Roman" w:eastAsia="Times New Roman" w:hAnsi="Times New Roman"/>
                <w:sz w:val="12"/>
                <w:szCs w:val="12"/>
                <w:color w:val="auto"/>
              </w:rPr>
              <w:t>Stock compensation</w:t>
            </w:r>
          </w:p>
        </w:tc>
        <w:tc>
          <w:tcPr>
            <w:tcW w:w="66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342,061</w:t>
            </w:r>
          </w:p>
        </w:tc>
        <w:tc>
          <w:tcPr>
            <w:tcW w:w="100" w:type="dxa"/>
            <w:vAlign w:val="bottom"/>
            <w:tcBorders>
              <w:bottom w:val="single" w:sz="8" w:color="CCEEFF"/>
            </w:tcBorders>
          </w:tcPr>
          <w:p>
            <w:pPr>
              <w:spacing w:after="0"/>
              <w:rPr>
                <w:sz w:val="13"/>
                <w:szCs w:val="13"/>
                <w:color w:val="auto"/>
              </w:rPr>
            </w:pPr>
          </w:p>
        </w:tc>
      </w:tr>
      <w:tr>
        <w:trPr>
          <w:trHeight w:val="133"/>
        </w:trPr>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40" w:type="dxa"/>
            <w:vAlign w:val="bottom"/>
            <w:gridSpan w:val="2"/>
            <w:shd w:val="clear" w:color="auto" w:fill="CCEEFF"/>
          </w:tcPr>
          <w:p>
            <w:pPr>
              <w:ind w:left="120"/>
              <w:spacing w:after="0" w:line="133" w:lineRule="exact"/>
              <w:rPr>
                <w:sz w:val="20"/>
                <w:szCs w:val="20"/>
                <w:color w:val="auto"/>
              </w:rPr>
            </w:pPr>
            <w:r>
              <w:rPr>
                <w:rFonts w:ascii="Times New Roman" w:cs="Times New Roman" w:eastAsia="Times New Roman" w:hAnsi="Times New Roman"/>
                <w:sz w:val="12"/>
                <w:szCs w:val="12"/>
                <w:color w:val="auto"/>
              </w:rPr>
              <w:t>Gross deferred income tax assets</w:t>
            </w:r>
          </w:p>
        </w:tc>
        <w:tc>
          <w:tcPr>
            <w:tcW w:w="660" w:type="dxa"/>
            <w:vAlign w:val="bottom"/>
            <w:shd w:val="clear" w:color="auto" w:fill="CCEEFF"/>
          </w:tcPr>
          <w:p>
            <w:pPr>
              <w:spacing w:after="0"/>
              <w:rPr>
                <w:sz w:val="11"/>
                <w:szCs w:val="11"/>
                <w:color w:val="auto"/>
              </w:rPr>
            </w:pPr>
          </w:p>
        </w:tc>
        <w:tc>
          <w:tcPr>
            <w:tcW w:w="112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4,995,899</w:t>
            </w:r>
          </w:p>
        </w:tc>
        <w:tc>
          <w:tcPr>
            <w:tcW w:w="100" w:type="dxa"/>
            <w:vAlign w:val="bottom"/>
            <w:shd w:val="clear" w:color="auto" w:fill="CCEEFF"/>
          </w:tcPr>
          <w:p>
            <w:pPr>
              <w:spacing w:after="0"/>
              <w:rPr>
                <w:sz w:val="11"/>
                <w:szCs w:val="11"/>
                <w:color w:val="auto"/>
              </w:rPr>
            </w:pPr>
          </w:p>
        </w:tc>
      </w:tr>
      <w:tr>
        <w:trPr>
          <w:trHeight w:val="153"/>
        </w:trPr>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Less: valuation allowance</w:t>
            </w:r>
          </w:p>
        </w:tc>
        <w:tc>
          <w:tcPr>
            <w:tcW w:w="660" w:type="dxa"/>
            <w:vAlign w:val="bottom"/>
          </w:tcPr>
          <w:p>
            <w:pPr>
              <w:spacing w:after="0"/>
              <w:rPr>
                <w:sz w:val="13"/>
                <w:szCs w:val="13"/>
                <w:color w:val="auto"/>
              </w:rPr>
            </w:pPr>
          </w:p>
        </w:tc>
        <w:tc>
          <w:tcPr>
            <w:tcW w:w="122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(4,901,481)</w:t>
            </w:r>
          </w:p>
        </w:tc>
      </w:tr>
      <w:tr>
        <w:trPr>
          <w:trHeight w:val="133"/>
        </w:trPr>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40" w:type="dxa"/>
            <w:vAlign w:val="bottom"/>
            <w:tcBorders>
              <w:top w:val="single" w:sz="8" w:color="CCEEFF"/>
            </w:tcBorders>
            <w:gridSpan w:val="2"/>
            <w:shd w:val="clear" w:color="auto" w:fill="CCEEFF"/>
          </w:tcPr>
          <w:p>
            <w:pPr>
              <w:ind w:left="120"/>
              <w:spacing w:after="0" w:line="133" w:lineRule="exact"/>
              <w:rPr>
                <w:sz w:val="20"/>
                <w:szCs w:val="20"/>
                <w:color w:val="auto"/>
              </w:rPr>
            </w:pPr>
            <w:r>
              <w:rPr>
                <w:rFonts w:ascii="Times New Roman" w:cs="Times New Roman" w:eastAsia="Times New Roman" w:hAnsi="Times New Roman"/>
                <w:sz w:val="12"/>
                <w:szCs w:val="12"/>
                <w:color w:val="auto"/>
              </w:rPr>
              <w:t>Total deferred income tax assets</w:t>
            </w:r>
          </w:p>
        </w:tc>
        <w:tc>
          <w:tcPr>
            <w:tcW w:w="660" w:type="dxa"/>
            <w:vAlign w:val="bottom"/>
            <w:tcBorders>
              <w:top w:val="single" w:sz="8" w:color="auto"/>
              <w:bottom w:val="single" w:sz="8" w:color="auto"/>
            </w:tcBorders>
            <w:shd w:val="clear" w:color="auto" w:fill="CCEEFF"/>
          </w:tcPr>
          <w:p>
            <w:pPr>
              <w:spacing w:after="0"/>
              <w:rPr>
                <w:sz w:val="11"/>
                <w:szCs w:val="11"/>
                <w:color w:val="auto"/>
              </w:rPr>
            </w:pPr>
          </w:p>
        </w:tc>
        <w:tc>
          <w:tcPr>
            <w:tcW w:w="112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94,418</w:t>
            </w:r>
          </w:p>
        </w:tc>
        <w:tc>
          <w:tcPr>
            <w:tcW w:w="100" w:type="dxa"/>
            <w:vAlign w:val="bottom"/>
            <w:tcBorders>
              <w:top w:val="single" w:sz="8" w:color="CCEEFF"/>
            </w:tcBorders>
            <w:shd w:val="clear" w:color="auto" w:fill="CCEEFF"/>
          </w:tcPr>
          <w:p>
            <w:pPr>
              <w:spacing w:after="0"/>
              <w:rPr>
                <w:sz w:val="11"/>
                <w:szCs w:val="11"/>
                <w:color w:val="auto"/>
              </w:rPr>
            </w:pPr>
          </w:p>
        </w:tc>
      </w:tr>
      <w:tr>
        <w:trPr>
          <w:trHeight w:val="133"/>
        </w:trPr>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40" w:type="dxa"/>
            <w:vAlign w:val="bottom"/>
            <w:gridSpan w:val="2"/>
          </w:tcPr>
          <w:p>
            <w:pPr>
              <w:ind w:left="120"/>
              <w:spacing w:after="0" w:line="133" w:lineRule="exact"/>
              <w:rPr>
                <w:sz w:val="20"/>
                <w:szCs w:val="20"/>
                <w:color w:val="auto"/>
              </w:rPr>
            </w:pPr>
            <w:r>
              <w:rPr>
                <w:rFonts w:ascii="Times New Roman" w:cs="Times New Roman" w:eastAsia="Times New Roman" w:hAnsi="Times New Roman"/>
                <w:sz w:val="12"/>
                <w:szCs w:val="12"/>
                <w:color w:val="auto"/>
              </w:rPr>
              <w:t>Deferred income tax liabilities:</w:t>
            </w:r>
          </w:p>
        </w:tc>
        <w:tc>
          <w:tcPr>
            <w:tcW w:w="6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44"/>
        </w:trPr>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4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2"/>
                <w:szCs w:val="12"/>
                <w:color w:val="auto"/>
              </w:rPr>
              <w:t>Property and equipment</w:t>
            </w:r>
          </w:p>
        </w:tc>
        <w:tc>
          <w:tcPr>
            <w:tcW w:w="660" w:type="dxa"/>
            <w:vAlign w:val="bottom"/>
            <w:shd w:val="clear" w:color="auto" w:fill="CCEEFF"/>
          </w:tcPr>
          <w:p>
            <w:pPr>
              <w:spacing w:after="0"/>
              <w:rPr>
                <w:sz w:val="12"/>
                <w:szCs w:val="1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641</w:t>
            </w:r>
          </w:p>
        </w:tc>
        <w:tc>
          <w:tcPr>
            <w:tcW w:w="100" w:type="dxa"/>
            <w:vAlign w:val="bottom"/>
            <w:shd w:val="clear" w:color="auto" w:fill="CCEEFF"/>
          </w:tcPr>
          <w:p>
            <w:pPr>
              <w:spacing w:after="0"/>
              <w:rPr>
                <w:sz w:val="12"/>
                <w:szCs w:val="12"/>
                <w:color w:val="auto"/>
              </w:rPr>
            </w:pPr>
          </w:p>
        </w:tc>
      </w:tr>
      <w:tr>
        <w:trPr>
          <w:trHeight w:val="153"/>
        </w:trPr>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40" w:type="dxa"/>
            <w:vAlign w:val="bottom"/>
            <w:gridSpan w:val="2"/>
          </w:tcPr>
          <w:p>
            <w:pPr>
              <w:ind w:left="240"/>
              <w:spacing w:after="0"/>
              <w:rPr>
                <w:sz w:val="20"/>
                <w:szCs w:val="20"/>
                <w:color w:val="auto"/>
              </w:rPr>
            </w:pPr>
            <w:r>
              <w:rPr>
                <w:rFonts w:ascii="Times New Roman" w:cs="Times New Roman" w:eastAsia="Times New Roman" w:hAnsi="Times New Roman"/>
                <w:sz w:val="12"/>
                <w:szCs w:val="12"/>
                <w:color w:val="auto"/>
              </w:rPr>
              <w:t>Intangibles</w:t>
            </w:r>
          </w:p>
        </w:tc>
        <w:tc>
          <w:tcPr>
            <w:tcW w:w="660" w:type="dxa"/>
            <w:vAlign w:val="bottom"/>
          </w:tcPr>
          <w:p>
            <w:pPr>
              <w:spacing w:after="0"/>
              <w:rPr>
                <w:sz w:val="13"/>
                <w:szCs w:val="13"/>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93,777</w:t>
            </w:r>
          </w:p>
        </w:tc>
      </w:tr>
      <w:tr>
        <w:trPr>
          <w:trHeight w:val="133"/>
        </w:trPr>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20" w:type="dxa"/>
            <w:vAlign w:val="bottom"/>
            <w:tcBorders>
              <w:top w:val="single" w:sz="8" w:color="CCEEFF"/>
            </w:tcBorders>
            <w:shd w:val="clear" w:color="auto" w:fill="CCEEFF"/>
          </w:tcPr>
          <w:p>
            <w:pPr>
              <w:spacing w:after="0"/>
              <w:rPr>
                <w:sz w:val="11"/>
                <w:szCs w:val="11"/>
                <w:color w:val="auto"/>
              </w:rPr>
            </w:pPr>
          </w:p>
        </w:tc>
        <w:tc>
          <w:tcPr>
            <w:tcW w:w="8220" w:type="dxa"/>
            <w:vAlign w:val="bottom"/>
            <w:tcBorders>
              <w:top w:val="single" w:sz="8" w:color="CCEEFF"/>
            </w:tcBorders>
            <w:shd w:val="clear" w:color="auto" w:fill="CCEEFF"/>
          </w:tcPr>
          <w:p>
            <w:pPr>
              <w:ind w:left="60"/>
              <w:spacing w:after="0" w:line="133" w:lineRule="exact"/>
              <w:rPr>
                <w:sz w:val="20"/>
                <w:szCs w:val="20"/>
                <w:color w:val="auto"/>
              </w:rPr>
            </w:pPr>
            <w:r>
              <w:rPr>
                <w:rFonts w:ascii="Times New Roman" w:cs="Times New Roman" w:eastAsia="Times New Roman" w:hAnsi="Times New Roman"/>
                <w:sz w:val="12"/>
                <w:szCs w:val="12"/>
                <w:color w:val="auto"/>
              </w:rPr>
              <w:t>Total deferred income tax liabilities</w:t>
            </w:r>
          </w:p>
        </w:tc>
        <w:tc>
          <w:tcPr>
            <w:tcW w:w="660" w:type="dxa"/>
            <w:vAlign w:val="bottom"/>
            <w:tcBorders>
              <w:top w:val="single" w:sz="8" w:color="auto"/>
              <w:bottom w:val="single" w:sz="8" w:color="auto"/>
            </w:tcBorders>
            <w:shd w:val="clear" w:color="auto" w:fill="CCEEFF"/>
          </w:tcPr>
          <w:p>
            <w:pPr>
              <w:spacing w:after="0"/>
              <w:rPr>
                <w:sz w:val="11"/>
                <w:szCs w:val="11"/>
                <w:color w:val="auto"/>
              </w:rPr>
            </w:pPr>
          </w:p>
        </w:tc>
        <w:tc>
          <w:tcPr>
            <w:tcW w:w="112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94,418</w:t>
            </w:r>
          </w:p>
        </w:tc>
        <w:tc>
          <w:tcPr>
            <w:tcW w:w="100" w:type="dxa"/>
            <w:vAlign w:val="bottom"/>
            <w:tcBorders>
              <w:top w:val="single" w:sz="8" w:color="CCEEFF"/>
            </w:tcBorders>
            <w:shd w:val="clear" w:color="auto" w:fill="CCEEFF"/>
          </w:tcPr>
          <w:p>
            <w:pPr>
              <w:spacing w:after="0"/>
              <w:rPr>
                <w:sz w:val="11"/>
                <w:szCs w:val="11"/>
                <w:color w:val="auto"/>
              </w:rPr>
            </w:pPr>
          </w:p>
        </w:tc>
      </w:tr>
      <w:tr>
        <w:trPr>
          <w:trHeight w:val="133"/>
        </w:trPr>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40" w:type="dxa"/>
            <w:vAlign w:val="bottom"/>
            <w:gridSpan w:val="2"/>
          </w:tcPr>
          <w:p>
            <w:pPr>
              <w:ind w:left="360"/>
              <w:spacing w:after="0" w:line="133" w:lineRule="exact"/>
              <w:rPr>
                <w:sz w:val="20"/>
                <w:szCs w:val="20"/>
                <w:color w:val="auto"/>
              </w:rPr>
            </w:pPr>
            <w:r>
              <w:rPr>
                <w:rFonts w:ascii="Times New Roman" w:cs="Times New Roman" w:eastAsia="Times New Roman" w:hAnsi="Times New Roman"/>
                <w:sz w:val="12"/>
                <w:szCs w:val="12"/>
                <w:color w:val="auto"/>
              </w:rPr>
              <w:t>Net deferred income taxes</w:t>
            </w:r>
          </w:p>
        </w:tc>
        <w:tc>
          <w:tcPr>
            <w:tcW w:w="660" w:type="dxa"/>
            <w:vAlign w:val="bottom"/>
            <w:tcBorders>
              <w:bottom w:val="single" w:sz="8" w:color="auto"/>
            </w:tcBorders>
          </w:tcPr>
          <w:p>
            <w:pPr>
              <w:jc w:val="right"/>
              <w:ind w:right="546"/>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1"/>
                <w:szCs w:val="11"/>
                <w:color w:val="auto"/>
              </w:rPr>
            </w:pPr>
          </w:p>
        </w:tc>
      </w:tr>
      <w:tr>
        <w:trPr>
          <w:trHeight w:val="277"/>
        </w:trPr>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Below is the rate reconciliation for 2022:</w:t>
            </w:r>
          </w:p>
        </w:tc>
        <w:tc>
          <w:tcPr>
            <w:tcW w:w="6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44"/>
        </w:trPr>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20" w:type="dxa"/>
            <w:vAlign w:val="bottom"/>
            <w:gridSpan w:val="2"/>
          </w:tcPr>
          <w:p>
            <w:pPr>
              <w:spacing w:after="0"/>
              <w:rPr>
                <w:sz w:val="12"/>
                <w:szCs w:val="12"/>
                <w:color w:val="auto"/>
              </w:rPr>
            </w:pPr>
          </w:p>
        </w:tc>
      </w:tr>
      <w:tr>
        <w:trPr>
          <w:trHeight w:val="144"/>
        </w:trPr>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Fed at statutory rate</w:t>
            </w:r>
          </w:p>
        </w:tc>
        <w:tc>
          <w:tcPr>
            <w:tcW w:w="66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(1,087,934)</w:t>
            </w:r>
          </w:p>
        </w:tc>
      </w:tr>
      <w:tr>
        <w:trPr>
          <w:trHeight w:val="144"/>
        </w:trPr>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State at net rate</w:t>
            </w:r>
          </w:p>
        </w:tc>
        <w:tc>
          <w:tcPr>
            <w:tcW w:w="660" w:type="dxa"/>
            <w:vAlign w:val="bottom"/>
          </w:tcPr>
          <w:p>
            <w:pPr>
              <w:spacing w:after="0"/>
              <w:rPr>
                <w:sz w:val="12"/>
                <w:szCs w:val="12"/>
                <w:color w:val="auto"/>
              </w:rPr>
            </w:pPr>
          </w:p>
        </w:tc>
        <w:tc>
          <w:tcPr>
            <w:tcW w:w="122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(204,635)</w:t>
            </w:r>
          </w:p>
        </w:tc>
      </w:tr>
      <w:tr>
        <w:trPr>
          <w:trHeight w:val="144"/>
        </w:trPr>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Nondeductible items</w:t>
            </w:r>
          </w:p>
        </w:tc>
        <w:tc>
          <w:tcPr>
            <w:tcW w:w="660" w:type="dxa"/>
            <w:vAlign w:val="bottom"/>
            <w:shd w:val="clear" w:color="auto" w:fill="CCEEFF"/>
          </w:tcPr>
          <w:p>
            <w:pPr>
              <w:spacing w:after="0"/>
              <w:rPr>
                <w:sz w:val="12"/>
                <w:szCs w:val="1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197,417</w:t>
            </w:r>
          </w:p>
        </w:tc>
        <w:tc>
          <w:tcPr>
            <w:tcW w:w="100" w:type="dxa"/>
            <w:vAlign w:val="bottom"/>
            <w:shd w:val="clear" w:color="auto" w:fill="CCEEFF"/>
          </w:tcPr>
          <w:p>
            <w:pPr>
              <w:spacing w:after="0"/>
              <w:rPr>
                <w:sz w:val="12"/>
                <w:szCs w:val="12"/>
                <w:color w:val="auto"/>
              </w:rPr>
            </w:pPr>
          </w:p>
        </w:tc>
      </w:tr>
      <w:tr>
        <w:trPr>
          <w:trHeight w:val="144"/>
        </w:trPr>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p/y perm true up</w:t>
            </w:r>
          </w:p>
        </w:tc>
        <w:tc>
          <w:tcPr>
            <w:tcW w:w="660" w:type="dxa"/>
            <w:vAlign w:val="bottom"/>
          </w:tcPr>
          <w:p>
            <w:pPr>
              <w:spacing w:after="0"/>
              <w:rPr>
                <w:sz w:val="12"/>
                <w:szCs w:val="12"/>
                <w:color w:val="auto"/>
              </w:rPr>
            </w:pPr>
          </w:p>
        </w:tc>
        <w:tc>
          <w:tcPr>
            <w:tcW w:w="122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(1,361,220)</w:t>
            </w:r>
          </w:p>
        </w:tc>
      </w:tr>
      <w:tr>
        <w:trPr>
          <w:trHeight w:val="144"/>
        </w:trPr>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Change in Valuation Allowance</w:t>
            </w:r>
          </w:p>
        </w:tc>
        <w:tc>
          <w:tcPr>
            <w:tcW w:w="660" w:type="dxa"/>
            <w:vAlign w:val="bottom"/>
            <w:shd w:val="clear" w:color="auto" w:fill="CCEEFF"/>
          </w:tcPr>
          <w:p>
            <w:pPr>
              <w:spacing w:after="0"/>
              <w:rPr>
                <w:sz w:val="12"/>
                <w:szCs w:val="1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2,537,960</w:t>
            </w:r>
          </w:p>
        </w:tc>
        <w:tc>
          <w:tcPr>
            <w:tcW w:w="100" w:type="dxa"/>
            <w:vAlign w:val="bottom"/>
            <w:shd w:val="clear" w:color="auto" w:fill="CCEEFF"/>
          </w:tcPr>
          <w:p>
            <w:pPr>
              <w:spacing w:after="0"/>
              <w:rPr>
                <w:sz w:val="12"/>
                <w:szCs w:val="12"/>
                <w:color w:val="auto"/>
              </w:rPr>
            </w:pPr>
          </w:p>
        </w:tc>
      </w:tr>
      <w:tr>
        <w:trPr>
          <w:trHeight w:val="153"/>
        </w:trPr>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 Other true ups/rate diffs</w:t>
            </w:r>
          </w:p>
        </w:tc>
        <w:tc>
          <w:tcPr>
            <w:tcW w:w="660" w:type="dxa"/>
            <w:vAlign w:val="bottom"/>
          </w:tcPr>
          <w:p>
            <w:pPr>
              <w:spacing w:after="0"/>
              <w:rPr>
                <w:sz w:val="13"/>
                <w:szCs w:val="13"/>
                <w:color w:val="auto"/>
              </w:rPr>
            </w:pPr>
          </w:p>
        </w:tc>
        <w:tc>
          <w:tcPr>
            <w:tcW w:w="122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b w:val="1"/>
                <w:bCs w:val="1"/>
                <w:color w:val="auto"/>
              </w:rPr>
              <w:t>(81,588)</w:t>
            </w:r>
          </w:p>
        </w:tc>
      </w:tr>
      <w:tr>
        <w:trPr>
          <w:trHeight w:val="133"/>
        </w:trPr>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40" w:type="dxa"/>
            <w:vAlign w:val="bottom"/>
            <w:tcBorders>
              <w:top w:val="single" w:sz="8" w:color="CCEEFF"/>
            </w:tcBorders>
            <w:gridSpan w:val="2"/>
            <w:shd w:val="clear" w:color="auto" w:fill="CCEEFF"/>
          </w:tcPr>
          <w:p>
            <w:pPr>
              <w:spacing w:after="0" w:line="133" w:lineRule="exact"/>
              <w:rPr>
                <w:sz w:val="20"/>
                <w:szCs w:val="20"/>
                <w:color w:val="auto"/>
              </w:rPr>
            </w:pPr>
            <w:r>
              <w:rPr>
                <w:rFonts w:ascii="Times New Roman" w:cs="Times New Roman" w:eastAsia="Times New Roman" w:hAnsi="Times New Roman"/>
                <w:sz w:val="12"/>
                <w:szCs w:val="12"/>
                <w:b w:val="1"/>
                <w:bCs w:val="1"/>
                <w:color w:val="auto"/>
              </w:rPr>
              <w:t>Total</w:t>
            </w:r>
          </w:p>
        </w:tc>
        <w:tc>
          <w:tcPr>
            <w:tcW w:w="660" w:type="dxa"/>
            <w:vAlign w:val="bottom"/>
            <w:tcBorders>
              <w:top w:val="single" w:sz="8" w:color="auto"/>
            </w:tcBorders>
            <w:shd w:val="clear" w:color="auto" w:fill="CCEEFF"/>
          </w:tcPr>
          <w:p>
            <w:pPr>
              <w:spacing w:after="0"/>
              <w:rPr>
                <w:sz w:val="11"/>
                <w:szCs w:val="11"/>
                <w:color w:val="auto"/>
              </w:rPr>
            </w:pPr>
          </w:p>
        </w:tc>
        <w:tc>
          <w:tcPr>
            <w:tcW w:w="112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auto"/>
              </w:rPr>
              <w:t>0</w:t>
            </w:r>
          </w:p>
        </w:tc>
        <w:tc>
          <w:tcPr>
            <w:tcW w:w="100" w:type="dxa"/>
            <w:vAlign w:val="bottom"/>
            <w:tcBorders>
              <w:top w:val="single" w:sz="8" w:color="CCEEFF"/>
            </w:tcBorders>
            <w:shd w:val="clear" w:color="auto" w:fill="CCEEFF"/>
          </w:tcPr>
          <w:p>
            <w:pPr>
              <w:spacing w:after="0"/>
              <w:rPr>
                <w:sz w:val="11"/>
                <w:szCs w:val="11"/>
                <w:color w:val="auto"/>
              </w:rPr>
            </w:pPr>
          </w:p>
        </w:tc>
      </w:tr>
    </w:tbl>
    <w:p>
      <w:pPr>
        <w:spacing w:after="0" w:line="133" w:lineRule="exact"/>
        <w:rPr>
          <w:sz w:val="20"/>
          <w:szCs w:val="20"/>
          <w:color w:val="auto"/>
        </w:rPr>
      </w:pPr>
    </w:p>
    <w:p>
      <w:pPr>
        <w:jc w:val="both"/>
        <w:ind w:left="420" w:right="20"/>
        <w:spacing w:after="0" w:line="279" w:lineRule="auto"/>
        <w:rPr>
          <w:sz w:val="20"/>
          <w:szCs w:val="20"/>
          <w:color w:val="auto"/>
        </w:rPr>
      </w:pPr>
      <w:r>
        <w:rPr>
          <w:rFonts w:ascii="Times New Roman" w:cs="Times New Roman" w:eastAsia="Times New Roman" w:hAnsi="Times New Roman"/>
          <w:sz w:val="12"/>
          <w:szCs w:val="12"/>
          <w:color w:val="auto"/>
        </w:rPr>
        <w:t>The Company has a valuation allowance against its net deferred income taxes for the year ended December 31, 2022. The valuation allowance was recorded due to cumulative losses and the Company’s conclusion that it was more likely than not that certain deferred income tax assets would not be realized.</w:t>
      </w:r>
    </w:p>
    <w:p>
      <w:pPr>
        <w:spacing w:after="0" w:line="111" w:lineRule="exact"/>
        <w:rPr>
          <w:sz w:val="20"/>
          <w:szCs w:val="20"/>
          <w:color w:val="auto"/>
        </w:rPr>
      </w:pPr>
    </w:p>
    <w:p>
      <w:pPr>
        <w:jc w:val="both"/>
        <w:ind w:left="420"/>
        <w:spacing w:after="0" w:line="265" w:lineRule="auto"/>
        <w:rPr>
          <w:sz w:val="20"/>
          <w:szCs w:val="20"/>
          <w:color w:val="auto"/>
        </w:rPr>
      </w:pPr>
      <w:r>
        <w:rPr>
          <w:rFonts w:ascii="Times New Roman" w:cs="Times New Roman" w:eastAsia="Times New Roman" w:hAnsi="Times New Roman"/>
          <w:sz w:val="12"/>
          <w:szCs w:val="12"/>
          <w:color w:val="auto"/>
        </w:rPr>
        <w:t>The Company’s deferred income tax assets include certain future tax benefits. As of December 31, 2022, the tax-effected deferred income tax assets included $4,023,064 related to net operating losses. Of this amount, $3,386,146 related to federal net operating losses and $636,918 related to various state net operating losses. For the federal net operating losses, $223,404 are set to expire between the years 2036 and 2037, while the remaining $3,162,742 does not expire. The various state net operating losses of $636,918 are set to expire at various times.</w:t>
      </w:r>
    </w:p>
    <w:p>
      <w:pPr>
        <w:spacing w:after="0" w:line="11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479" w:right="29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2"/>
          <w:szCs w:val="12"/>
          <w:b w:val="1"/>
          <w:bCs w:val="1"/>
          <w:u w:val="single" w:color="auto"/>
          <w:color w:val="auto"/>
        </w:rPr>
        <w:t>(8) Employee benefit plan</w:t>
      </w:r>
    </w:p>
    <w:p>
      <w:pPr>
        <w:spacing w:after="0" w:line="154" w:lineRule="exact"/>
        <w:rPr>
          <w:sz w:val="20"/>
          <w:szCs w:val="20"/>
          <w:color w:val="auto"/>
        </w:rPr>
      </w:pPr>
    </w:p>
    <w:p>
      <w:pPr>
        <w:jc w:val="both"/>
        <w:ind w:left="420"/>
        <w:spacing w:after="0" w:line="279" w:lineRule="auto"/>
        <w:rPr>
          <w:sz w:val="20"/>
          <w:szCs w:val="20"/>
          <w:color w:val="auto"/>
        </w:rPr>
      </w:pPr>
      <w:r>
        <w:rPr>
          <w:rFonts w:ascii="Times New Roman" w:cs="Times New Roman" w:eastAsia="Times New Roman" w:hAnsi="Times New Roman"/>
          <w:sz w:val="12"/>
          <w:szCs w:val="12"/>
          <w:color w:val="auto"/>
        </w:rPr>
        <w:t>The Company maintains a 401(k) plan which covers all eligible employees. The Company may, but is not required to, make a matching contribution to the plan which is made based on a percentage of the employees’ contributions and allocated to participants at the end of the plan year. For the year ending December 31, 2022, the Company did not make any matching contributions to the plan.</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u w:val="single" w:color="auto"/>
          <w:color w:val="auto"/>
        </w:rPr>
        <w:t>(9) Commitments and contingencies</w:t>
      </w:r>
    </w:p>
    <w:p>
      <w:pPr>
        <w:spacing w:after="0" w:line="154" w:lineRule="exact"/>
        <w:rPr>
          <w:sz w:val="20"/>
          <w:szCs w:val="20"/>
          <w:color w:val="auto"/>
        </w:rPr>
      </w:pPr>
    </w:p>
    <w:p>
      <w:pPr>
        <w:jc w:val="both"/>
        <w:ind w:left="420" w:right="20"/>
        <w:spacing w:after="0" w:line="279" w:lineRule="auto"/>
        <w:rPr>
          <w:sz w:val="20"/>
          <w:szCs w:val="20"/>
          <w:color w:val="auto"/>
        </w:rPr>
      </w:pPr>
      <w:r>
        <w:rPr>
          <w:rFonts w:ascii="Times New Roman" w:cs="Times New Roman" w:eastAsia="Times New Roman" w:hAnsi="Times New Roman"/>
          <w:sz w:val="12"/>
          <w:szCs w:val="12"/>
          <w:color w:val="auto"/>
        </w:rPr>
        <w:t>From time to time the Company may become subject to various routine legal proceedings and other matters in the ordinary course of business, some of which may be covered in whole or in part by insurance. In management’s opinion, none of these matters will have a material adverse effect on the Company’s consolidated financial position, results of operations or cash flows.</w:t>
      </w:r>
    </w:p>
    <w:p>
      <w:pPr>
        <w:spacing w:after="0" w:line="107" w:lineRule="exact"/>
        <w:rPr>
          <w:sz w:val="20"/>
          <w:szCs w:val="20"/>
          <w:color w:val="auto"/>
        </w:rPr>
      </w:pPr>
    </w:p>
    <w:p>
      <w:pPr>
        <w:jc w:val="both"/>
        <w:ind w:left="420"/>
        <w:spacing w:after="0" w:line="259" w:lineRule="auto"/>
        <w:rPr>
          <w:sz w:val="20"/>
          <w:szCs w:val="20"/>
          <w:color w:val="auto"/>
        </w:rPr>
      </w:pPr>
      <w:r>
        <w:rPr>
          <w:rFonts w:ascii="Times New Roman" w:cs="Times New Roman" w:eastAsia="Times New Roman" w:hAnsi="Times New Roman"/>
          <w:sz w:val="12"/>
          <w:szCs w:val="12"/>
          <w:b w:val="1"/>
          <w:bCs w:val="1"/>
          <w:color w:val="auto"/>
        </w:rPr>
        <w:t xml:space="preserve">Cash concentration </w:t>
      </w:r>
      <w:r>
        <w:rPr>
          <w:rFonts w:ascii="Times New Roman" w:cs="Times New Roman" w:eastAsia="Times New Roman" w:hAnsi="Times New Roman"/>
          <w:sz w:val="12"/>
          <w:szCs w:val="12"/>
          <w:color w:val="auto"/>
        </w:rPr>
        <w:t>– The Company previously maintained checking accounts and the credit facilities described in Note 4 with Signature Bank. On March 12, 2023, Signature Bank was placed into receivership. As a result,</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the Federal Deposit Insurance Corporation (“FDIC”) functioned as the receiver for the disposition of the assets. As of the year ended December 31, 2022, the Company had $1,704,231 of uninsured deposits held at Signature Bank. The Company did not experience a loss of funds or negative impacts on operations due to the FDIC’s intervention. As discussed in Note 4, the Company had not borrowed against the credit facility as of December 31, 2022. Further, the checking accounts and credit facilities have been subsequently transferred to a different financial institution. Funds are readily available for the checking accounts and access to the credit facility was terminated as described in Note 4.</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u w:val="single" w:color="auto"/>
          <w:color w:val="auto"/>
        </w:rPr>
        <w:t>(10) Recently issued accounting standard</w:t>
      </w:r>
    </w:p>
    <w:p>
      <w:pPr>
        <w:spacing w:after="0" w:line="152" w:lineRule="exact"/>
        <w:rPr>
          <w:sz w:val="20"/>
          <w:szCs w:val="20"/>
          <w:color w:val="auto"/>
        </w:rPr>
      </w:pPr>
    </w:p>
    <w:p>
      <w:pPr>
        <w:jc w:val="both"/>
        <w:ind w:left="420"/>
        <w:spacing w:after="0" w:line="266" w:lineRule="auto"/>
        <w:rPr>
          <w:sz w:val="20"/>
          <w:szCs w:val="20"/>
          <w:color w:val="auto"/>
        </w:rPr>
      </w:pPr>
      <w:r>
        <w:rPr>
          <w:rFonts w:ascii="Times New Roman" w:cs="Times New Roman" w:eastAsia="Times New Roman" w:hAnsi="Times New Roman"/>
          <w:sz w:val="12"/>
          <w:szCs w:val="12"/>
          <w:color w:val="auto"/>
        </w:rPr>
        <w:t xml:space="preserve">In June 2016, the FASB issued ASU 2016-13, </w:t>
      </w:r>
      <w:r>
        <w:rPr>
          <w:rFonts w:ascii="Times New Roman" w:cs="Times New Roman" w:eastAsia="Times New Roman" w:hAnsi="Times New Roman"/>
          <w:sz w:val="12"/>
          <w:szCs w:val="12"/>
          <w:i w:val="1"/>
          <w:iCs w:val="1"/>
          <w:color w:val="auto"/>
        </w:rPr>
        <w:t>Financial Instruments – Credit Losses</w:t>
      </w:r>
      <w:r>
        <w:rPr>
          <w:rFonts w:ascii="Times New Roman" w:cs="Times New Roman" w:eastAsia="Times New Roman" w:hAnsi="Times New Roman"/>
          <w:sz w:val="12"/>
          <w:szCs w:val="12"/>
          <w:color w:val="auto"/>
        </w:rPr>
        <w:t xml:space="preserve"> (“Topic 326”): Measurement of Credit Losses on Financial Instruments. Among other provisions, this ASU requires the allowance for credit losses to reflect management’s current estimate of credit losses that are expected to occur over the remaining life of a financial asset. The new standard is effective for the Company for the year ending December 31, 2023. The Company is evaluating the effect of the new standard on its consolidated financial statements.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u w:val="single" w:color="auto"/>
          <w:color w:val="auto"/>
        </w:rPr>
        <w:t>11 Subsequent Events</w:t>
      </w:r>
    </w:p>
    <w:p>
      <w:pPr>
        <w:spacing w:after="0" w:line="154" w:lineRule="exact"/>
        <w:rPr>
          <w:sz w:val="20"/>
          <w:szCs w:val="20"/>
          <w:color w:val="auto"/>
        </w:rPr>
      </w:pPr>
    </w:p>
    <w:p>
      <w:pPr>
        <w:jc w:val="both"/>
        <w:ind w:left="420"/>
        <w:spacing w:after="0" w:line="265" w:lineRule="auto"/>
        <w:rPr>
          <w:sz w:val="20"/>
          <w:szCs w:val="20"/>
          <w:color w:val="auto"/>
        </w:rPr>
      </w:pPr>
      <w:r>
        <w:rPr>
          <w:rFonts w:ascii="Times New Roman" w:cs="Times New Roman" w:eastAsia="Times New Roman" w:hAnsi="Times New Roman"/>
          <w:sz w:val="12"/>
          <w:szCs w:val="12"/>
          <w:color w:val="auto"/>
        </w:rPr>
        <w:t>In January 2024, the Board of Directors of the Company approved the cancellation and replacement of various stock options held by certain participants as part of the Company’s 2017 Equity Incentive Plan. The Company offered to replace outstanding options having an exercise price greater than $0.50 per share with a new stock option with an exercise price of $0.50 per share. Participants holding a total of 808,966 options elected to participate in the option exchange.</w:t>
      </w:r>
    </w:p>
    <w:p>
      <w:pPr>
        <w:spacing w:after="0" w:line="11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On December 18, 2024, Banzai International, Inc., a Delaware corporation, closed a previously announced merger, with ClearDoc, Inc., pursuant to an Agreement and Plan of Merger, date December 10, 2024.</w:t>
      </w:r>
    </w:p>
    <w:p>
      <w:pPr>
        <w:spacing w:after="0" w:line="150" w:lineRule="exact"/>
        <w:rPr>
          <w:sz w:val="20"/>
          <w:szCs w:val="20"/>
          <w:color w:val="auto"/>
        </w:rPr>
      </w:pPr>
    </w:p>
    <w:p>
      <w:pPr>
        <w:jc w:val="both"/>
        <w:ind w:left="420"/>
        <w:spacing w:after="0" w:line="265" w:lineRule="auto"/>
        <w:rPr>
          <w:sz w:val="20"/>
          <w:szCs w:val="20"/>
          <w:color w:val="auto"/>
        </w:rPr>
      </w:pPr>
      <w:r>
        <w:rPr>
          <w:rFonts w:ascii="Times New Roman" w:cs="Times New Roman" w:eastAsia="Times New Roman" w:hAnsi="Times New Roman"/>
          <w:sz w:val="12"/>
          <w:szCs w:val="12"/>
          <w:color w:val="auto"/>
        </w:rPr>
        <w:t>As of the effective time of the merger, each share of capital stock of ClearDoc issued and outstanding immediately prior to the merge (other than shares as to which dissenter’s rights have been properly exercised and certain other excluded shares) was converted into the right to receive Banzai Class A Common Stock, par value $0.0001 per share, and pre-funded warrants, each exercisable for one share of Banzai Class A Common Stock at an exercise price of $0.0001 issued in lieu thereof, in an amount equal to the quotient of $19,600,000 divided by the Conversion Price.</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485" w:right="299" w:bottom="1440" w:gutter="0" w:footer="0" w:header="0"/>
        </w:sectPr>
      </w:pPr>
    </w:p>
    <w:bookmarkStart w:id="33" w:name="page34"/>
    <w:bookmarkEnd w:id="3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CURRENT ASSETS</w:t>
      </w:r>
    </w:p>
    <w:p>
      <w:pPr>
        <w:spacing w:after="0" w:line="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2"/>
          <w:szCs w:val="12"/>
          <w:color w:val="auto"/>
        </w:rPr>
        <w:t>Cash</w:t>
      </w:r>
    </w:p>
    <w:p>
      <w:pPr>
        <w:spacing w:after="0" w:line="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2"/>
          <w:szCs w:val="12"/>
          <w:color w:val="auto"/>
        </w:rPr>
        <w:t>Accounts receivable, net</w:t>
      </w:r>
    </w:p>
    <w:p>
      <w:pPr>
        <w:spacing w:after="0" w:line="6" w:lineRule="exact"/>
        <w:rPr>
          <w:sz w:val="20"/>
          <w:szCs w:val="20"/>
          <w:color w:val="auto"/>
        </w:rPr>
      </w:pPr>
    </w:p>
    <w:p>
      <w:pPr>
        <w:ind w:left="120" w:right="520"/>
        <w:spacing w:after="0" w:line="260" w:lineRule="auto"/>
        <w:rPr>
          <w:sz w:val="20"/>
          <w:szCs w:val="20"/>
          <w:color w:val="auto"/>
        </w:rPr>
      </w:pPr>
      <w:r>
        <w:rPr>
          <w:rFonts w:ascii="Times New Roman" w:cs="Times New Roman" w:eastAsia="Times New Roman" w:hAnsi="Times New Roman"/>
          <w:sz w:val="12"/>
          <w:szCs w:val="12"/>
          <w:color w:val="auto"/>
        </w:rPr>
        <w:t>Current portion of deferred sales commissions Prepaid expenses</w:t>
      </w:r>
    </w:p>
    <w:p>
      <w:pPr>
        <w:spacing w:after="0" w:line="14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2"/>
          <w:szCs w:val="12"/>
          <w:color w:val="auto"/>
        </w:rPr>
        <w:t>TOTAL CURRENT ASSETS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DEFERRED SALES COMMISSIONS, less current portion</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PROPERTY AND EQUIPMENT, net</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IDENTIFIABLE INTANGIBLE ASSETS, net</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GOODWILL</w:t>
      </w:r>
    </w:p>
    <w:p>
      <w:pPr>
        <w:spacing w:after="0" w:line="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2"/>
          <w:szCs w:val="12"/>
          <w:color w:val="auto"/>
        </w:rPr>
        <w:t>TOTAL ASSETS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59"/>
        </w:trPr>
        <w:tc>
          <w:tcPr>
            <w:tcW w:w="440" w:type="dxa"/>
            <w:vAlign w:val="bottom"/>
          </w:tcPr>
          <w:p>
            <w:pPr>
              <w:spacing w:after="0"/>
              <w:rPr>
                <w:sz w:val="13"/>
                <w:szCs w:val="13"/>
                <w:color w:val="auto"/>
              </w:rPr>
            </w:pPr>
          </w:p>
        </w:tc>
        <w:tc>
          <w:tcPr>
            <w:tcW w:w="34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760" w:type="dxa"/>
            <w:vAlign w:val="bottom"/>
            <w:gridSpan w:val="2"/>
          </w:tcPr>
          <w:p>
            <w:pPr>
              <w:jc w:val="right"/>
              <w:spacing w:after="0"/>
              <w:rPr>
                <w:sz w:val="20"/>
                <w:szCs w:val="20"/>
                <w:color w:val="auto"/>
              </w:rPr>
            </w:pPr>
            <w:r>
              <w:rPr>
                <w:rFonts w:ascii="Times New Roman" w:cs="Times New Roman" w:eastAsia="Times New Roman" w:hAnsi="Times New Roman"/>
                <w:sz w:val="12"/>
                <w:szCs w:val="12"/>
                <w:b w:val="1"/>
                <w:bCs w:val="1"/>
                <w:color w:val="auto"/>
              </w:rPr>
              <w:t>Exhibit 99.2</w:t>
            </w:r>
          </w:p>
        </w:tc>
        <w:tc>
          <w:tcPr>
            <w:tcW w:w="0" w:type="dxa"/>
            <w:vAlign w:val="bottom"/>
          </w:tcPr>
          <w:p>
            <w:pPr>
              <w:spacing w:after="0"/>
              <w:rPr>
                <w:sz w:val="1"/>
                <w:szCs w:val="1"/>
                <w:color w:val="auto"/>
              </w:rPr>
            </w:pPr>
          </w:p>
        </w:tc>
      </w:tr>
      <w:tr>
        <w:trPr>
          <w:trHeight w:val="288"/>
        </w:trPr>
        <w:tc>
          <w:tcPr>
            <w:tcW w:w="440" w:type="dxa"/>
            <w:vAlign w:val="bottom"/>
          </w:tcPr>
          <w:p>
            <w:pPr>
              <w:spacing w:after="0"/>
              <w:rPr>
                <w:sz w:val="24"/>
                <w:szCs w:val="24"/>
                <w:color w:val="auto"/>
              </w:rPr>
            </w:pPr>
          </w:p>
        </w:tc>
        <w:tc>
          <w:tcPr>
            <w:tcW w:w="3680" w:type="dxa"/>
            <w:vAlign w:val="bottom"/>
            <w:gridSpan w:val="2"/>
          </w:tcPr>
          <w:p>
            <w:pPr>
              <w:jc w:val="center"/>
              <w:ind w:left="360"/>
              <w:spacing w:after="0"/>
              <w:rPr>
                <w:sz w:val="20"/>
                <w:szCs w:val="20"/>
                <w:color w:val="auto"/>
              </w:rPr>
            </w:pPr>
            <w:r>
              <w:rPr>
                <w:rFonts w:ascii="Times New Roman" w:cs="Times New Roman" w:eastAsia="Times New Roman" w:hAnsi="Times New Roman"/>
                <w:sz w:val="12"/>
                <w:szCs w:val="12"/>
                <w:b w:val="1"/>
                <w:bCs w:val="1"/>
                <w:color w:val="auto"/>
              </w:rPr>
              <w:t>CLEARDOC, INC. AND SUBSIDIARY</w:t>
            </w:r>
          </w:p>
        </w:tc>
        <w:tc>
          <w:tcPr>
            <w:tcW w:w="16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440" w:type="dxa"/>
            <w:vAlign w:val="bottom"/>
          </w:tcPr>
          <w:p>
            <w:pPr>
              <w:spacing w:after="0"/>
              <w:rPr>
                <w:sz w:val="24"/>
                <w:szCs w:val="24"/>
                <w:color w:val="auto"/>
              </w:rPr>
            </w:pPr>
          </w:p>
        </w:tc>
        <w:tc>
          <w:tcPr>
            <w:tcW w:w="3680" w:type="dxa"/>
            <w:vAlign w:val="bottom"/>
            <w:gridSpan w:val="2"/>
          </w:tcPr>
          <w:p>
            <w:pPr>
              <w:jc w:val="center"/>
              <w:ind w:left="340"/>
              <w:spacing w:after="0"/>
              <w:rPr>
                <w:sz w:val="20"/>
                <w:szCs w:val="20"/>
                <w:color w:val="auto"/>
              </w:rPr>
            </w:pPr>
            <w:r>
              <w:rPr>
                <w:rFonts w:ascii="Times New Roman" w:cs="Times New Roman" w:eastAsia="Times New Roman" w:hAnsi="Times New Roman"/>
                <w:sz w:val="12"/>
                <w:szCs w:val="12"/>
                <w:b w:val="1"/>
                <w:bCs w:val="1"/>
                <w:color w:val="auto"/>
                <w:w w:val="99"/>
              </w:rPr>
              <w:t>UNAUDITED CONSOLIDATED BALANCE SHEET</w:t>
            </w:r>
          </w:p>
        </w:tc>
        <w:tc>
          <w:tcPr>
            <w:tcW w:w="16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440" w:type="dxa"/>
            <w:vAlign w:val="bottom"/>
          </w:tcPr>
          <w:p>
            <w:pPr>
              <w:spacing w:after="0"/>
              <w:rPr>
                <w:sz w:val="24"/>
                <w:szCs w:val="24"/>
                <w:color w:val="auto"/>
              </w:rPr>
            </w:pPr>
          </w:p>
        </w:tc>
        <w:tc>
          <w:tcPr>
            <w:tcW w:w="3680" w:type="dxa"/>
            <w:vAlign w:val="bottom"/>
            <w:gridSpan w:val="2"/>
          </w:tcPr>
          <w:p>
            <w:pPr>
              <w:jc w:val="center"/>
              <w:ind w:left="340"/>
              <w:spacing w:after="0"/>
              <w:rPr>
                <w:sz w:val="20"/>
                <w:szCs w:val="20"/>
                <w:color w:val="auto"/>
              </w:rPr>
            </w:pPr>
            <w:r>
              <w:rPr>
                <w:rFonts w:ascii="Times New Roman" w:cs="Times New Roman" w:eastAsia="Times New Roman" w:hAnsi="Times New Roman"/>
                <w:sz w:val="12"/>
                <w:szCs w:val="12"/>
                <w:color w:val="auto"/>
                <w:w w:val="99"/>
              </w:rPr>
              <w:t>Period Ended September 30, 2024</w:t>
            </w:r>
          </w:p>
        </w:tc>
        <w:tc>
          <w:tcPr>
            <w:tcW w:w="16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860" w:type="dxa"/>
            <w:vAlign w:val="bottom"/>
            <w:gridSpan w:val="2"/>
            <w:vMerge w:val="restart"/>
          </w:tcPr>
          <w:p>
            <w:pPr>
              <w:spacing w:after="0"/>
              <w:rPr>
                <w:sz w:val="20"/>
                <w:szCs w:val="20"/>
                <w:color w:val="auto"/>
              </w:rPr>
            </w:pPr>
            <w:r>
              <w:rPr>
                <w:rFonts w:ascii="Times New Roman" w:cs="Times New Roman" w:eastAsia="Times New Roman" w:hAnsi="Times New Roman"/>
                <w:sz w:val="12"/>
                <w:szCs w:val="12"/>
                <w:b w:val="1"/>
                <w:bCs w:val="1"/>
                <w:color w:val="auto"/>
              </w:rPr>
              <w:t>ASSETS</w:t>
            </w:r>
          </w:p>
        </w:tc>
        <w:tc>
          <w:tcPr>
            <w:tcW w:w="260" w:type="dxa"/>
            <w:vAlign w:val="bottom"/>
          </w:tcPr>
          <w:p>
            <w:pPr>
              <w:spacing w:after="0"/>
              <w:rPr>
                <w:sz w:val="24"/>
                <w:szCs w:val="24"/>
                <w:color w:val="auto"/>
              </w:rPr>
            </w:pPr>
          </w:p>
        </w:tc>
        <w:tc>
          <w:tcPr>
            <w:tcW w:w="2000" w:type="dxa"/>
            <w:vAlign w:val="bottom"/>
            <w:gridSpan w:val="2"/>
          </w:tcPr>
          <w:p>
            <w:pPr>
              <w:ind w:left="200"/>
              <w:spacing w:after="0"/>
              <w:rPr>
                <w:sz w:val="20"/>
                <w:szCs w:val="20"/>
                <w:color w:val="auto"/>
              </w:rPr>
            </w:pPr>
            <w:r>
              <w:rPr>
                <w:rFonts w:ascii="Times New Roman" w:cs="Times New Roman" w:eastAsia="Times New Roman" w:hAnsi="Times New Roman"/>
                <w:sz w:val="12"/>
                <w:szCs w:val="12"/>
                <w:b w:val="1"/>
                <w:bCs w:val="1"/>
                <w:color w:val="auto"/>
              </w:rPr>
              <w:t>September 30, 2024</w:t>
            </w:r>
          </w:p>
        </w:tc>
        <w:tc>
          <w:tcPr>
            <w:tcW w:w="260" w:type="dxa"/>
            <w:vAlign w:val="bottom"/>
          </w:tcPr>
          <w:p>
            <w:pPr>
              <w:spacing w:after="0"/>
              <w:rPr>
                <w:sz w:val="24"/>
                <w:szCs w:val="24"/>
                <w:color w:val="auto"/>
              </w:rPr>
            </w:pPr>
          </w:p>
        </w:tc>
        <w:tc>
          <w:tcPr>
            <w:tcW w:w="1760" w:type="dxa"/>
            <w:vAlign w:val="bottom"/>
            <w:gridSpan w:val="2"/>
          </w:tcPr>
          <w:p>
            <w:pPr>
              <w:jc w:val="right"/>
              <w:ind w:right="580"/>
              <w:spacing w:after="0"/>
              <w:rPr>
                <w:sz w:val="20"/>
                <w:szCs w:val="20"/>
                <w:color w:val="auto"/>
              </w:rPr>
            </w:pPr>
            <w:r>
              <w:rPr>
                <w:rFonts w:ascii="Times New Roman" w:cs="Times New Roman" w:eastAsia="Times New Roman" w:hAnsi="Times New Roman"/>
                <w:sz w:val="12"/>
                <w:szCs w:val="12"/>
                <w:b w:val="1"/>
                <w:bCs w:val="1"/>
                <w:color w:val="auto"/>
              </w:rPr>
              <w:t>December 31, 2023</w:t>
            </w:r>
          </w:p>
        </w:tc>
        <w:tc>
          <w:tcPr>
            <w:tcW w:w="0" w:type="dxa"/>
            <w:vAlign w:val="bottom"/>
          </w:tcPr>
          <w:p>
            <w:pPr>
              <w:spacing w:after="0"/>
              <w:rPr>
                <w:sz w:val="1"/>
                <w:szCs w:val="1"/>
                <w:color w:val="auto"/>
              </w:rPr>
            </w:pPr>
          </w:p>
        </w:tc>
      </w:tr>
      <w:tr>
        <w:trPr>
          <w:trHeight w:val="106"/>
        </w:trPr>
        <w:tc>
          <w:tcPr>
            <w:tcW w:w="3860" w:type="dxa"/>
            <w:vAlign w:val="bottom"/>
            <w:gridSpan w:val="2"/>
            <w:vMerge w:val="continue"/>
          </w:tcPr>
          <w:p>
            <w:pPr>
              <w:spacing w:after="0"/>
              <w:rPr>
                <w:sz w:val="9"/>
                <w:szCs w:val="9"/>
                <w:color w:val="auto"/>
              </w:rPr>
            </w:pPr>
          </w:p>
        </w:tc>
        <w:tc>
          <w:tcPr>
            <w:tcW w:w="260" w:type="dxa"/>
            <w:vAlign w:val="bottom"/>
            <w:tcBorders>
              <w:top w:val="single" w:sz="8" w:color="auto"/>
            </w:tcBorders>
          </w:tcPr>
          <w:p>
            <w:pPr>
              <w:spacing w:after="0"/>
              <w:rPr>
                <w:sz w:val="9"/>
                <w:szCs w:val="9"/>
                <w:color w:val="auto"/>
              </w:rPr>
            </w:pPr>
          </w:p>
        </w:tc>
        <w:tc>
          <w:tcPr>
            <w:tcW w:w="1660" w:type="dxa"/>
            <w:vAlign w:val="bottom"/>
            <w:tcBorders>
              <w:top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260" w:type="dxa"/>
            <w:vAlign w:val="bottom"/>
            <w:tcBorders>
              <w:top w:val="single" w:sz="8" w:color="auto"/>
            </w:tcBorders>
          </w:tcPr>
          <w:p>
            <w:pPr>
              <w:spacing w:after="0"/>
              <w:rPr>
                <w:sz w:val="9"/>
                <w:szCs w:val="9"/>
                <w:color w:val="auto"/>
              </w:rPr>
            </w:pPr>
          </w:p>
        </w:tc>
        <w:tc>
          <w:tcPr>
            <w:tcW w:w="1640" w:type="dxa"/>
            <w:vAlign w:val="bottom"/>
            <w:tcBorders>
              <w:top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28"/>
        </w:trPr>
        <w:tc>
          <w:tcPr>
            <w:tcW w:w="440" w:type="dxa"/>
            <w:vAlign w:val="bottom"/>
            <w:tcBorders>
              <w:top w:val="single" w:sz="8" w:color="auto"/>
            </w:tcBorders>
          </w:tcPr>
          <w:p>
            <w:pPr>
              <w:spacing w:after="0"/>
              <w:rPr>
                <w:sz w:val="24"/>
                <w:szCs w:val="24"/>
                <w:color w:val="auto"/>
              </w:rPr>
            </w:pPr>
          </w:p>
        </w:tc>
        <w:tc>
          <w:tcPr>
            <w:tcW w:w="3680" w:type="dxa"/>
            <w:vAlign w:val="bottom"/>
            <w:gridSpan w:val="2"/>
          </w:tcPr>
          <w:p>
            <w:pPr>
              <w:jc w:val="right"/>
              <w:ind w:right="146"/>
              <w:spacing w:after="0"/>
              <w:rPr>
                <w:sz w:val="20"/>
                <w:szCs w:val="20"/>
                <w:color w:val="auto"/>
              </w:rPr>
            </w:pPr>
            <w:r>
              <w:rPr>
                <w:rFonts w:ascii="Times New Roman" w:cs="Times New Roman" w:eastAsia="Times New Roman" w:hAnsi="Times New Roman"/>
                <w:sz w:val="12"/>
                <w:szCs w:val="12"/>
                <w:color w:val="auto"/>
              </w:rPr>
              <w:t>$</w:t>
            </w:r>
          </w:p>
        </w:tc>
        <w:tc>
          <w:tcPr>
            <w:tcW w:w="2000" w:type="dxa"/>
            <w:vAlign w:val="bottom"/>
            <w:gridSpan w:val="2"/>
          </w:tcPr>
          <w:p>
            <w:pPr>
              <w:jc w:val="right"/>
              <w:ind w:right="340"/>
              <w:spacing w:after="0"/>
              <w:rPr>
                <w:sz w:val="20"/>
                <w:szCs w:val="20"/>
                <w:color w:val="auto"/>
              </w:rPr>
            </w:pPr>
            <w:r>
              <w:rPr>
                <w:rFonts w:ascii="Times New Roman" w:cs="Times New Roman" w:eastAsia="Times New Roman" w:hAnsi="Times New Roman"/>
                <w:sz w:val="12"/>
                <w:szCs w:val="12"/>
                <w:color w:val="auto"/>
              </w:rPr>
              <w:t>610,826</w:t>
            </w:r>
          </w:p>
        </w:tc>
        <w:tc>
          <w:tcPr>
            <w:tcW w:w="260" w:type="dxa"/>
            <w:vAlign w:val="bottom"/>
          </w:tcPr>
          <w:p>
            <w:pPr>
              <w:jc w:val="right"/>
              <w:ind w:right="146"/>
              <w:spacing w:after="0"/>
              <w:rPr>
                <w:sz w:val="20"/>
                <w:szCs w:val="20"/>
                <w:color w:val="auto"/>
              </w:rPr>
            </w:pPr>
            <w:r>
              <w:rPr>
                <w:rFonts w:ascii="Times New Roman" w:cs="Times New Roman" w:eastAsia="Times New Roman" w:hAnsi="Times New Roman"/>
                <w:sz w:val="11"/>
                <w:szCs w:val="11"/>
                <w:color w:val="auto"/>
                <w:w w:val="71"/>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720,633</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4"/>
        </w:trPr>
        <w:tc>
          <w:tcPr>
            <w:tcW w:w="440" w:type="dxa"/>
            <w:vAlign w:val="bottom"/>
          </w:tcPr>
          <w:p>
            <w:pPr>
              <w:spacing w:after="0"/>
              <w:rPr>
                <w:sz w:val="12"/>
                <w:szCs w:val="12"/>
                <w:color w:val="auto"/>
              </w:rPr>
            </w:pPr>
          </w:p>
        </w:tc>
        <w:tc>
          <w:tcPr>
            <w:tcW w:w="34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0" w:type="dxa"/>
            <w:vAlign w:val="bottom"/>
            <w:gridSpan w:val="2"/>
          </w:tcPr>
          <w:p>
            <w:pPr>
              <w:jc w:val="right"/>
              <w:ind w:right="340"/>
              <w:spacing w:after="0"/>
              <w:rPr>
                <w:sz w:val="20"/>
                <w:szCs w:val="20"/>
                <w:color w:val="auto"/>
              </w:rPr>
            </w:pPr>
            <w:r>
              <w:rPr>
                <w:rFonts w:ascii="Times New Roman" w:cs="Times New Roman" w:eastAsia="Times New Roman" w:hAnsi="Times New Roman"/>
                <w:sz w:val="12"/>
                <w:szCs w:val="12"/>
                <w:color w:val="auto"/>
              </w:rPr>
              <w:t>528,391</w:t>
            </w:r>
          </w:p>
        </w:tc>
        <w:tc>
          <w:tcPr>
            <w:tcW w:w="260" w:type="dxa"/>
            <w:vAlign w:val="bottom"/>
          </w:tcPr>
          <w:p>
            <w:pPr>
              <w:spacing w:after="0"/>
              <w:rPr>
                <w:sz w:val="12"/>
                <w:szCs w:val="12"/>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810,408</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440" w:type="dxa"/>
            <w:vAlign w:val="bottom"/>
          </w:tcPr>
          <w:p>
            <w:pPr>
              <w:spacing w:after="0"/>
              <w:rPr>
                <w:sz w:val="13"/>
                <w:szCs w:val="13"/>
                <w:color w:val="auto"/>
              </w:rPr>
            </w:pPr>
          </w:p>
        </w:tc>
        <w:tc>
          <w:tcPr>
            <w:tcW w:w="34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00" w:type="dxa"/>
            <w:vAlign w:val="bottom"/>
            <w:gridSpan w:val="2"/>
          </w:tcPr>
          <w:p>
            <w:pPr>
              <w:jc w:val="right"/>
              <w:ind w:right="340"/>
              <w:spacing w:after="0"/>
              <w:rPr>
                <w:sz w:val="20"/>
                <w:szCs w:val="20"/>
                <w:color w:val="auto"/>
              </w:rPr>
            </w:pPr>
            <w:r>
              <w:rPr>
                <w:rFonts w:ascii="Times New Roman" w:cs="Times New Roman" w:eastAsia="Times New Roman" w:hAnsi="Times New Roman"/>
                <w:sz w:val="12"/>
                <w:szCs w:val="12"/>
                <w:color w:val="auto"/>
              </w:rPr>
              <w:t>473,264</w:t>
            </w:r>
          </w:p>
        </w:tc>
        <w:tc>
          <w:tcPr>
            <w:tcW w:w="260" w:type="dxa"/>
            <w:vAlign w:val="bottom"/>
          </w:tcPr>
          <w:p>
            <w:pPr>
              <w:spacing w:after="0"/>
              <w:rPr>
                <w:sz w:val="13"/>
                <w:szCs w:val="13"/>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638,647</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440" w:type="dxa"/>
            <w:vAlign w:val="bottom"/>
          </w:tcPr>
          <w:p>
            <w:pPr>
              <w:spacing w:after="0"/>
              <w:rPr>
                <w:sz w:val="13"/>
                <w:szCs w:val="13"/>
                <w:color w:val="auto"/>
              </w:rPr>
            </w:pPr>
          </w:p>
        </w:tc>
        <w:tc>
          <w:tcPr>
            <w:tcW w:w="34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58,837</w:t>
            </w:r>
          </w:p>
        </w:tc>
        <w:tc>
          <w:tcPr>
            <w:tcW w:w="3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76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72,824</w:t>
            </w:r>
          </w:p>
        </w:tc>
        <w:tc>
          <w:tcPr>
            <w:tcW w:w="0" w:type="dxa"/>
            <w:vAlign w:val="bottom"/>
          </w:tcPr>
          <w:p>
            <w:pPr>
              <w:spacing w:after="0"/>
              <w:rPr>
                <w:sz w:val="1"/>
                <w:szCs w:val="1"/>
                <w:color w:val="auto"/>
              </w:rPr>
            </w:pPr>
          </w:p>
        </w:tc>
      </w:tr>
      <w:tr>
        <w:trPr>
          <w:trHeight w:val="277"/>
        </w:trPr>
        <w:tc>
          <w:tcPr>
            <w:tcW w:w="44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1,671,318</w:t>
            </w:r>
          </w:p>
        </w:tc>
        <w:tc>
          <w:tcPr>
            <w:tcW w:w="34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2,242,512</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44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0" w:type="dxa"/>
            <w:vAlign w:val="bottom"/>
            <w:gridSpan w:val="2"/>
          </w:tcPr>
          <w:p>
            <w:pPr>
              <w:jc w:val="right"/>
              <w:ind w:right="340"/>
              <w:spacing w:after="0"/>
              <w:rPr>
                <w:sz w:val="20"/>
                <w:szCs w:val="20"/>
                <w:color w:val="auto"/>
              </w:rPr>
            </w:pPr>
            <w:r>
              <w:rPr>
                <w:rFonts w:ascii="Times New Roman" w:cs="Times New Roman" w:eastAsia="Times New Roman" w:hAnsi="Times New Roman"/>
                <w:sz w:val="12"/>
                <w:szCs w:val="12"/>
                <w:color w:val="auto"/>
              </w:rPr>
              <w:t>259,306</w:t>
            </w:r>
          </w:p>
        </w:tc>
        <w:tc>
          <w:tcPr>
            <w:tcW w:w="260" w:type="dxa"/>
            <w:vAlign w:val="bottom"/>
          </w:tcPr>
          <w:p>
            <w:pPr>
              <w:spacing w:after="0"/>
              <w:rPr>
                <w:sz w:val="24"/>
                <w:szCs w:val="24"/>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372,571</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4"/>
        </w:trPr>
        <w:tc>
          <w:tcPr>
            <w:tcW w:w="440" w:type="dxa"/>
            <w:vAlign w:val="bottom"/>
          </w:tcPr>
          <w:p>
            <w:pPr>
              <w:spacing w:after="0"/>
              <w:rPr>
                <w:sz w:val="12"/>
                <w:szCs w:val="12"/>
                <w:color w:val="auto"/>
              </w:rPr>
            </w:pPr>
          </w:p>
        </w:tc>
        <w:tc>
          <w:tcPr>
            <w:tcW w:w="34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0" w:type="dxa"/>
            <w:vAlign w:val="bottom"/>
            <w:gridSpan w:val="2"/>
          </w:tcPr>
          <w:p>
            <w:pPr>
              <w:jc w:val="right"/>
              <w:ind w:right="340"/>
              <w:spacing w:after="0"/>
              <w:rPr>
                <w:sz w:val="20"/>
                <w:szCs w:val="20"/>
                <w:color w:val="auto"/>
              </w:rPr>
            </w:pPr>
            <w:r>
              <w:rPr>
                <w:rFonts w:ascii="Times New Roman" w:cs="Times New Roman" w:eastAsia="Times New Roman" w:hAnsi="Times New Roman"/>
                <w:sz w:val="12"/>
                <w:szCs w:val="12"/>
                <w:color w:val="auto"/>
              </w:rPr>
              <w:t>4,135</w:t>
            </w:r>
          </w:p>
        </w:tc>
        <w:tc>
          <w:tcPr>
            <w:tcW w:w="260" w:type="dxa"/>
            <w:vAlign w:val="bottom"/>
          </w:tcPr>
          <w:p>
            <w:pPr>
              <w:spacing w:after="0"/>
              <w:rPr>
                <w:sz w:val="12"/>
                <w:szCs w:val="12"/>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5,977</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440" w:type="dxa"/>
            <w:vAlign w:val="bottom"/>
          </w:tcPr>
          <w:p>
            <w:pPr>
              <w:spacing w:after="0"/>
              <w:rPr>
                <w:sz w:val="13"/>
                <w:szCs w:val="13"/>
                <w:color w:val="auto"/>
              </w:rPr>
            </w:pPr>
          </w:p>
        </w:tc>
        <w:tc>
          <w:tcPr>
            <w:tcW w:w="34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00" w:type="dxa"/>
            <w:vAlign w:val="bottom"/>
            <w:gridSpan w:val="2"/>
          </w:tcPr>
          <w:p>
            <w:pPr>
              <w:jc w:val="right"/>
              <w:ind w:right="340"/>
              <w:spacing w:after="0"/>
              <w:rPr>
                <w:sz w:val="20"/>
                <w:szCs w:val="20"/>
                <w:color w:val="auto"/>
              </w:rPr>
            </w:pPr>
            <w:r>
              <w:rPr>
                <w:rFonts w:ascii="Times New Roman" w:cs="Times New Roman" w:eastAsia="Times New Roman" w:hAnsi="Times New Roman"/>
                <w:sz w:val="12"/>
                <w:szCs w:val="12"/>
                <w:color w:val="auto"/>
              </w:rPr>
              <w:t>276,464</w:t>
            </w:r>
          </w:p>
        </w:tc>
        <w:tc>
          <w:tcPr>
            <w:tcW w:w="260" w:type="dxa"/>
            <w:vAlign w:val="bottom"/>
          </w:tcPr>
          <w:p>
            <w:pPr>
              <w:spacing w:after="0"/>
              <w:rPr>
                <w:sz w:val="13"/>
                <w:szCs w:val="13"/>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363,376</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440" w:type="dxa"/>
            <w:vAlign w:val="bottom"/>
          </w:tcPr>
          <w:p>
            <w:pPr>
              <w:spacing w:after="0"/>
              <w:rPr>
                <w:sz w:val="13"/>
                <w:szCs w:val="13"/>
                <w:color w:val="auto"/>
              </w:rPr>
            </w:pPr>
          </w:p>
        </w:tc>
        <w:tc>
          <w:tcPr>
            <w:tcW w:w="34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00" w:type="dxa"/>
            <w:vAlign w:val="bottom"/>
            <w:gridSpan w:val="2"/>
          </w:tcPr>
          <w:p>
            <w:pPr>
              <w:jc w:val="right"/>
              <w:ind w:right="340"/>
              <w:spacing w:after="0"/>
              <w:rPr>
                <w:sz w:val="20"/>
                <w:szCs w:val="20"/>
                <w:color w:val="auto"/>
              </w:rPr>
            </w:pPr>
            <w:r>
              <w:rPr>
                <w:rFonts w:ascii="Times New Roman" w:cs="Times New Roman" w:eastAsia="Times New Roman" w:hAnsi="Times New Roman"/>
                <w:sz w:val="12"/>
                <w:szCs w:val="12"/>
                <w:color w:val="auto"/>
              </w:rPr>
              <w:t>312,883</w:t>
            </w:r>
          </w:p>
        </w:tc>
        <w:tc>
          <w:tcPr>
            <w:tcW w:w="260" w:type="dxa"/>
            <w:vAlign w:val="bottom"/>
          </w:tcPr>
          <w:p>
            <w:pPr>
              <w:spacing w:after="0"/>
              <w:rPr>
                <w:sz w:val="13"/>
                <w:szCs w:val="13"/>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312,883</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40" w:type="dxa"/>
            <w:vAlign w:val="bottom"/>
          </w:tcPr>
          <w:p>
            <w:pPr>
              <w:spacing w:after="0"/>
              <w:rPr>
                <w:sz w:val="12"/>
                <w:szCs w:val="12"/>
                <w:color w:val="auto"/>
              </w:rPr>
            </w:pPr>
          </w:p>
        </w:tc>
        <w:tc>
          <w:tcPr>
            <w:tcW w:w="3420" w:type="dxa"/>
            <w:vAlign w:val="bottom"/>
          </w:tcPr>
          <w:p>
            <w:pPr>
              <w:spacing w:after="0"/>
              <w:rPr>
                <w:sz w:val="12"/>
                <w:szCs w:val="12"/>
                <w:color w:val="auto"/>
              </w:rPr>
            </w:pPr>
          </w:p>
        </w:tc>
        <w:tc>
          <w:tcPr>
            <w:tcW w:w="260" w:type="dxa"/>
            <w:vAlign w:val="bottom"/>
            <w:tcBorders>
              <w:top w:val="single" w:sz="8" w:color="auto"/>
              <w:bottom w:val="single" w:sz="8" w:color="auto"/>
            </w:tcBorders>
          </w:tcPr>
          <w:p>
            <w:pPr>
              <w:jc w:val="right"/>
              <w:ind w:right="146"/>
              <w:spacing w:after="0"/>
              <w:rPr>
                <w:sz w:val="20"/>
                <w:szCs w:val="20"/>
                <w:color w:val="auto"/>
              </w:rPr>
            </w:pPr>
            <w:r>
              <w:rPr>
                <w:rFonts w:ascii="Times New Roman" w:cs="Times New Roman" w:eastAsia="Times New Roman" w:hAnsi="Times New Roman"/>
                <w:sz w:val="11"/>
                <w:szCs w:val="11"/>
                <w:color w:val="auto"/>
                <w:w w:val="71"/>
              </w:rPr>
              <w:t>$</w:t>
            </w:r>
          </w:p>
        </w:tc>
        <w:tc>
          <w:tcPr>
            <w:tcW w:w="1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2,524,106</w:t>
            </w:r>
          </w:p>
        </w:tc>
        <w:tc>
          <w:tcPr>
            <w:tcW w:w="340" w:type="dxa"/>
            <w:vAlign w:val="bottom"/>
          </w:tcPr>
          <w:p>
            <w:pPr>
              <w:spacing w:after="0"/>
              <w:rPr>
                <w:sz w:val="12"/>
                <w:szCs w:val="12"/>
                <w:color w:val="auto"/>
              </w:rPr>
            </w:pPr>
          </w:p>
        </w:tc>
        <w:tc>
          <w:tcPr>
            <w:tcW w:w="260" w:type="dxa"/>
            <w:vAlign w:val="bottom"/>
            <w:tcBorders>
              <w:top w:val="single" w:sz="8" w:color="auto"/>
              <w:bottom w:val="single" w:sz="8" w:color="auto"/>
            </w:tcBorders>
          </w:tcPr>
          <w:p>
            <w:pPr>
              <w:jc w:val="right"/>
              <w:ind w:right="146"/>
              <w:spacing w:after="0"/>
              <w:rPr>
                <w:sz w:val="20"/>
                <w:szCs w:val="20"/>
                <w:color w:val="auto"/>
              </w:rPr>
            </w:pPr>
            <w:r>
              <w:rPr>
                <w:rFonts w:ascii="Times New Roman" w:cs="Times New Roman" w:eastAsia="Times New Roman" w:hAnsi="Times New Roman"/>
                <w:sz w:val="11"/>
                <w:szCs w:val="11"/>
                <w:color w:val="auto"/>
                <w:w w:val="71"/>
              </w:rPr>
              <w:t>$</w:t>
            </w:r>
          </w:p>
        </w:tc>
        <w:tc>
          <w:tcPr>
            <w:tcW w:w="1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3,297,319</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-2011045</wp:posOffset>
            </wp:positionH>
            <wp:positionV relativeFrom="paragraph">
              <wp:posOffset>-1422400</wp:posOffset>
            </wp:positionV>
            <wp:extent cx="7178040" cy="971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8040" cy="97155"/>
                    </a:xfrm>
                    <a:prstGeom prst="rect">
                      <a:avLst/>
                    </a:prstGeom>
                    <a:noFill/>
                  </pic:spPr>
                </pic:pic>
              </a:graphicData>
            </a:graphic>
          </wp:anchor>
        </w:drawing>
        <w:drawing>
          <wp:anchor simplePos="0" relativeHeight="251657728" behindDoc="1" locked="0" layoutInCell="0" allowOverlap="1">
            <wp:simplePos x="0" y="0"/>
            <wp:positionH relativeFrom="column">
              <wp:posOffset>-2011045</wp:posOffset>
            </wp:positionH>
            <wp:positionV relativeFrom="paragraph">
              <wp:posOffset>-1233805</wp:posOffset>
            </wp:positionV>
            <wp:extent cx="7178040" cy="9144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78040" cy="91440"/>
                    </a:xfrm>
                    <a:prstGeom prst="rect">
                      <a:avLst/>
                    </a:prstGeom>
                    <a:noFill/>
                  </pic:spPr>
                </pic:pic>
              </a:graphicData>
            </a:graphic>
          </wp:anchor>
        </w:drawing>
        <w:drawing>
          <wp:anchor simplePos="0" relativeHeight="251657728" behindDoc="1" locked="0" layoutInCell="0" allowOverlap="1">
            <wp:simplePos x="0" y="0"/>
            <wp:positionH relativeFrom="column">
              <wp:posOffset>-2011045</wp:posOffset>
            </wp:positionH>
            <wp:positionV relativeFrom="paragraph">
              <wp:posOffset>-1050925</wp:posOffset>
            </wp:positionV>
            <wp:extent cx="7178040" cy="9144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78040" cy="91440"/>
                    </a:xfrm>
                    <a:prstGeom prst="rect">
                      <a:avLst/>
                    </a:prstGeom>
                    <a:noFill/>
                  </pic:spPr>
                </pic:pic>
              </a:graphicData>
            </a:graphic>
          </wp:anchor>
        </w:drawing>
        <w:drawing>
          <wp:anchor simplePos="0" relativeHeight="251657728" behindDoc="1" locked="0" layoutInCell="0" allowOverlap="1">
            <wp:simplePos x="0" y="0"/>
            <wp:positionH relativeFrom="column">
              <wp:posOffset>-2011045</wp:posOffset>
            </wp:positionH>
            <wp:positionV relativeFrom="paragraph">
              <wp:posOffset>-868045</wp:posOffset>
            </wp:positionV>
            <wp:extent cx="7178040" cy="971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78040" cy="97155"/>
                    </a:xfrm>
                    <a:prstGeom prst="rect">
                      <a:avLst/>
                    </a:prstGeom>
                    <a:noFill/>
                  </pic:spPr>
                </pic:pic>
              </a:graphicData>
            </a:graphic>
          </wp:anchor>
        </w:drawing>
        <w:drawing>
          <wp:anchor simplePos="0" relativeHeight="251657728" behindDoc="1" locked="0" layoutInCell="0" allowOverlap="1">
            <wp:simplePos x="0" y="0"/>
            <wp:positionH relativeFrom="column">
              <wp:posOffset>-2011045</wp:posOffset>
            </wp:positionH>
            <wp:positionV relativeFrom="paragraph">
              <wp:posOffset>-673735</wp:posOffset>
            </wp:positionV>
            <wp:extent cx="7178040" cy="9144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78040" cy="91440"/>
                    </a:xfrm>
                    <a:prstGeom prst="rect">
                      <a:avLst/>
                    </a:prstGeom>
                    <a:noFill/>
                  </pic:spPr>
                </pic:pic>
              </a:graphicData>
            </a:graphic>
          </wp:anchor>
        </w:drawing>
        <w:drawing>
          <wp:anchor simplePos="0" relativeHeight="251657728" behindDoc="1" locked="0" layoutInCell="0" allowOverlap="1">
            <wp:simplePos x="0" y="0"/>
            <wp:positionH relativeFrom="column">
              <wp:posOffset>-2011045</wp:posOffset>
            </wp:positionH>
            <wp:positionV relativeFrom="paragraph">
              <wp:posOffset>-490855</wp:posOffset>
            </wp:positionV>
            <wp:extent cx="7178040" cy="9144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78040" cy="91440"/>
                    </a:xfrm>
                    <a:prstGeom prst="rect">
                      <a:avLst/>
                    </a:prstGeom>
                    <a:noFill/>
                  </pic:spPr>
                </pic:pic>
              </a:graphicData>
            </a:graphic>
          </wp:anchor>
        </w:drawing>
        <w:drawing>
          <wp:anchor simplePos="0" relativeHeight="251657728" behindDoc="1" locked="0" layoutInCell="0" allowOverlap="1">
            <wp:simplePos x="0" y="0"/>
            <wp:positionH relativeFrom="column">
              <wp:posOffset>-2011045</wp:posOffset>
            </wp:positionH>
            <wp:positionV relativeFrom="paragraph">
              <wp:posOffset>-307975</wp:posOffset>
            </wp:positionV>
            <wp:extent cx="7178040" cy="9144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78040" cy="91440"/>
                    </a:xfrm>
                    <a:prstGeom prst="rect">
                      <a:avLst/>
                    </a:prstGeom>
                    <a:noFill/>
                  </pic:spPr>
                </pic:pic>
              </a:graphicData>
            </a:graphic>
          </wp:anchor>
        </w:drawing>
        <w:drawing>
          <wp:anchor simplePos="0" relativeHeight="251657728" behindDoc="1" locked="0" layoutInCell="0" allowOverlap="1">
            <wp:simplePos x="0" y="0"/>
            <wp:positionH relativeFrom="column">
              <wp:posOffset>-2011045</wp:posOffset>
            </wp:positionH>
            <wp:positionV relativeFrom="paragraph">
              <wp:posOffset>-119380</wp:posOffset>
            </wp:positionV>
            <wp:extent cx="7178040" cy="10858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78040" cy="108585"/>
                    </a:xfrm>
                    <a:prstGeom prst="rect">
                      <a:avLst/>
                    </a:prstGeom>
                    <a:noFill/>
                  </pic:spPr>
                </pic:pic>
              </a:graphicData>
            </a:graphic>
          </wp:anchor>
        </w:drawing>
      </w:r>
    </w:p>
    <w:p>
      <w:pPr>
        <w:spacing w:after="0" w:line="123" w:lineRule="exact"/>
        <w:rPr>
          <w:sz w:val="20"/>
          <w:szCs w:val="20"/>
          <w:color w:val="auto"/>
        </w:rPr>
      </w:pPr>
    </w:p>
    <w:p>
      <w:pPr>
        <w:sectPr>
          <w:pgSz w:w="11900" w:h="16838" w:orient="portrait"/>
          <w:cols w:equalWidth="0" w:num="2">
            <w:col w:w="2860" w:space="300"/>
            <w:col w:w="8140"/>
          </w:cols>
          <w:pgMar w:left="300" w:top="269" w:right="299" w:bottom="1440" w:gutter="0" w:footer="0" w:header="0"/>
        </w:sectPr>
      </w:pPr>
    </w:p>
    <w:tbl>
      <w:tblPr>
        <w:tblLayout w:type="fixed"/>
        <w:tblInd w:w="0" w:type="dxa"/>
        <w:tblCellMar>
          <w:top w:w="0" w:type="dxa"/>
          <w:left w:w="0" w:type="dxa"/>
          <w:bottom w:w="0" w:type="dxa"/>
          <w:right w:w="0" w:type="dxa"/>
        </w:tblCellMar>
      </w:tblPr>
      <w:tr>
        <w:trPr>
          <w:trHeight w:val="145"/>
        </w:trPr>
        <w:tc>
          <w:tcPr>
            <w:tcW w:w="2060" w:type="dxa"/>
            <w:vAlign w:val="bottom"/>
            <w:shd w:val="clear" w:color="auto" w:fill="CCEEFF"/>
          </w:tcPr>
          <w:p>
            <w:pPr>
              <w:spacing w:after="0"/>
              <w:rPr>
                <w:sz w:val="12"/>
                <w:szCs w:val="12"/>
                <w:color w:val="auto"/>
              </w:rPr>
            </w:pPr>
          </w:p>
        </w:tc>
        <w:tc>
          <w:tcPr>
            <w:tcW w:w="4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LIABILITIES AND STOCKHOLDERS’ DEFICIT</w:t>
            </w:r>
          </w:p>
        </w:tc>
        <w:tc>
          <w:tcPr>
            <w:tcW w:w="70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r>
      <w:tr>
        <w:trPr>
          <w:trHeight w:val="144"/>
        </w:trPr>
        <w:tc>
          <w:tcPr>
            <w:tcW w:w="2060" w:type="dxa"/>
            <w:vAlign w:val="bottom"/>
            <w:tcBorders>
              <w:top w:val="single" w:sz="8" w:color="CCEEFF"/>
            </w:tcBorders>
          </w:tcPr>
          <w:p>
            <w:pPr>
              <w:spacing w:after="0"/>
              <w:rPr>
                <w:sz w:val="12"/>
                <w:szCs w:val="12"/>
                <w:color w:val="auto"/>
              </w:rPr>
            </w:pPr>
          </w:p>
        </w:tc>
        <w:tc>
          <w:tcPr>
            <w:tcW w:w="2640" w:type="dxa"/>
            <w:vAlign w:val="bottom"/>
            <w:tcBorders>
              <w:top w:val="single" w:sz="8" w:color="auto"/>
            </w:tcBorders>
          </w:tcPr>
          <w:p>
            <w:pPr>
              <w:spacing w:after="0"/>
              <w:rPr>
                <w:sz w:val="12"/>
                <w:szCs w:val="12"/>
                <w:color w:val="auto"/>
              </w:rPr>
            </w:pPr>
          </w:p>
        </w:tc>
        <w:tc>
          <w:tcPr>
            <w:tcW w:w="2320" w:type="dxa"/>
            <w:vAlign w:val="bottom"/>
            <w:tcBorders>
              <w:top w:val="single" w:sz="8" w:color="CCEEFF"/>
            </w:tcBorders>
          </w:tcPr>
          <w:p>
            <w:pPr>
              <w:spacing w:after="0"/>
              <w:rPr>
                <w:sz w:val="12"/>
                <w:szCs w:val="12"/>
                <w:color w:val="auto"/>
              </w:rPr>
            </w:pPr>
          </w:p>
        </w:tc>
        <w:tc>
          <w:tcPr>
            <w:tcW w:w="700" w:type="dxa"/>
            <w:vAlign w:val="bottom"/>
            <w:tcBorders>
              <w:top w:val="single" w:sz="8" w:color="CCEEFF"/>
            </w:tcBorders>
          </w:tcPr>
          <w:p>
            <w:pPr>
              <w:spacing w:after="0"/>
              <w:rPr>
                <w:sz w:val="12"/>
                <w:szCs w:val="12"/>
                <w:color w:val="auto"/>
              </w:rPr>
            </w:pPr>
          </w:p>
        </w:tc>
        <w:tc>
          <w:tcPr>
            <w:tcW w:w="1220" w:type="dxa"/>
            <w:vAlign w:val="bottom"/>
            <w:tcBorders>
              <w:top w:val="single" w:sz="8" w:color="CCEEFF"/>
            </w:tcBorders>
          </w:tcPr>
          <w:p>
            <w:pPr>
              <w:spacing w:after="0"/>
              <w:rPr>
                <w:sz w:val="12"/>
                <w:szCs w:val="12"/>
                <w:color w:val="auto"/>
              </w:rPr>
            </w:pPr>
          </w:p>
        </w:tc>
        <w:tc>
          <w:tcPr>
            <w:tcW w:w="340" w:type="dxa"/>
            <w:vAlign w:val="bottom"/>
            <w:tcBorders>
              <w:top w:val="single" w:sz="8" w:color="CCEEFF"/>
            </w:tcBorders>
          </w:tcPr>
          <w:p>
            <w:pPr>
              <w:spacing w:after="0"/>
              <w:rPr>
                <w:sz w:val="12"/>
                <w:szCs w:val="12"/>
                <w:color w:val="auto"/>
              </w:rPr>
            </w:pPr>
          </w:p>
        </w:tc>
        <w:tc>
          <w:tcPr>
            <w:tcW w:w="700" w:type="dxa"/>
            <w:vAlign w:val="bottom"/>
            <w:tcBorders>
              <w:top w:val="single" w:sz="8" w:color="CCEEFF"/>
            </w:tcBorders>
          </w:tcPr>
          <w:p>
            <w:pPr>
              <w:spacing w:after="0"/>
              <w:rPr>
                <w:sz w:val="12"/>
                <w:szCs w:val="12"/>
                <w:color w:val="auto"/>
              </w:rPr>
            </w:pPr>
          </w:p>
        </w:tc>
        <w:tc>
          <w:tcPr>
            <w:tcW w:w="1200" w:type="dxa"/>
            <w:vAlign w:val="bottom"/>
            <w:tcBorders>
              <w:top w:val="single" w:sz="8" w:color="CCEEFF"/>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r>
      <w:tr>
        <w:trPr>
          <w:trHeight w:val="144"/>
        </w:trPr>
        <w:tc>
          <w:tcPr>
            <w:tcW w:w="70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2"/>
                <w:szCs w:val="12"/>
                <w:color w:val="auto"/>
              </w:rPr>
              <w:t>CURRENT LIABILITIES</w:t>
            </w:r>
          </w:p>
        </w:tc>
        <w:tc>
          <w:tcPr>
            <w:tcW w:w="70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r>
      <w:tr>
        <w:trPr>
          <w:trHeight w:val="144"/>
        </w:trPr>
        <w:tc>
          <w:tcPr>
            <w:tcW w:w="7020" w:type="dxa"/>
            <w:vAlign w:val="bottom"/>
            <w:gridSpan w:val="3"/>
          </w:tcPr>
          <w:p>
            <w:pPr>
              <w:ind w:left="120"/>
              <w:spacing w:after="0"/>
              <w:rPr>
                <w:sz w:val="20"/>
                <w:szCs w:val="20"/>
                <w:color w:val="auto"/>
              </w:rPr>
            </w:pPr>
            <w:r>
              <w:rPr>
                <w:rFonts w:ascii="Times New Roman" w:cs="Times New Roman" w:eastAsia="Times New Roman" w:hAnsi="Times New Roman"/>
                <w:sz w:val="12"/>
                <w:szCs w:val="12"/>
                <w:color w:val="auto"/>
              </w:rPr>
              <w:t>Accounts payable</w:t>
            </w:r>
          </w:p>
        </w:tc>
        <w:tc>
          <w:tcPr>
            <w:tcW w:w="700" w:type="dxa"/>
            <w:vAlign w:val="bottom"/>
          </w:tcPr>
          <w:p>
            <w:pPr>
              <w:jc w:val="right"/>
              <w:ind w:right="586"/>
              <w:spacing w:after="0"/>
              <w:rPr>
                <w:sz w:val="20"/>
                <w:szCs w:val="20"/>
                <w:color w:val="auto"/>
              </w:rPr>
            </w:pPr>
            <w:r>
              <w:rPr>
                <w:rFonts w:ascii="Times New Roman" w:cs="Times New Roman" w:eastAsia="Times New Roman" w:hAnsi="Times New Roman"/>
                <w:sz w:val="11"/>
                <w:szCs w:val="11"/>
                <w:color w:val="auto"/>
                <w:w w:val="71"/>
              </w:rPr>
              <w:t>$</w:t>
            </w:r>
          </w:p>
        </w:tc>
        <w:tc>
          <w:tcPr>
            <w:tcW w:w="1560" w:type="dxa"/>
            <w:vAlign w:val="bottom"/>
            <w:gridSpan w:val="2"/>
          </w:tcPr>
          <w:p>
            <w:pPr>
              <w:jc w:val="right"/>
              <w:ind w:right="298"/>
              <w:spacing w:after="0"/>
              <w:rPr>
                <w:sz w:val="20"/>
                <w:szCs w:val="20"/>
                <w:color w:val="auto"/>
              </w:rPr>
            </w:pPr>
            <w:r>
              <w:rPr>
                <w:rFonts w:ascii="Times New Roman" w:cs="Times New Roman" w:eastAsia="Times New Roman" w:hAnsi="Times New Roman"/>
                <w:sz w:val="12"/>
                <w:szCs w:val="12"/>
                <w:color w:val="auto"/>
              </w:rPr>
              <w:t>181,764</w:t>
            </w:r>
          </w:p>
        </w:tc>
        <w:tc>
          <w:tcPr>
            <w:tcW w:w="700" w:type="dxa"/>
            <w:vAlign w:val="bottom"/>
          </w:tcPr>
          <w:p>
            <w:pPr>
              <w:jc w:val="right"/>
              <w:ind w:right="586"/>
              <w:spacing w:after="0"/>
              <w:rPr>
                <w:sz w:val="20"/>
                <w:szCs w:val="20"/>
                <w:color w:val="auto"/>
              </w:rPr>
            </w:pPr>
            <w:r>
              <w:rPr>
                <w:rFonts w:ascii="Times New Roman" w:cs="Times New Roman" w:eastAsia="Times New Roman" w:hAnsi="Times New Roman"/>
                <w:sz w:val="11"/>
                <w:szCs w:val="11"/>
                <w:color w:val="auto"/>
                <w:w w:val="71"/>
              </w:rPr>
              <w:t>$</w:t>
            </w:r>
          </w:p>
        </w:tc>
        <w:tc>
          <w:tcPr>
            <w:tcW w:w="1320" w:type="dxa"/>
            <w:vAlign w:val="bottom"/>
            <w:gridSpan w:val="2"/>
          </w:tcPr>
          <w:p>
            <w:pPr>
              <w:jc w:val="right"/>
              <w:ind w:right="78"/>
              <w:spacing w:after="0"/>
              <w:rPr>
                <w:sz w:val="20"/>
                <w:szCs w:val="20"/>
                <w:color w:val="auto"/>
              </w:rPr>
            </w:pPr>
            <w:r>
              <w:rPr>
                <w:rFonts w:ascii="Times New Roman" w:cs="Times New Roman" w:eastAsia="Times New Roman" w:hAnsi="Times New Roman"/>
                <w:sz w:val="12"/>
                <w:szCs w:val="12"/>
                <w:color w:val="auto"/>
              </w:rPr>
              <w:t>236,653</w:t>
            </w:r>
          </w:p>
        </w:tc>
      </w:tr>
      <w:tr>
        <w:trPr>
          <w:trHeight w:val="144"/>
        </w:trPr>
        <w:tc>
          <w:tcPr>
            <w:tcW w:w="702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Accrued expenses</w:t>
            </w:r>
          </w:p>
        </w:tc>
        <w:tc>
          <w:tcPr>
            <w:tcW w:w="700" w:type="dxa"/>
            <w:vAlign w:val="bottom"/>
            <w:shd w:val="clear" w:color="auto" w:fill="CCEEFF"/>
          </w:tcPr>
          <w:p>
            <w:pPr>
              <w:spacing w:after="0"/>
              <w:rPr>
                <w:sz w:val="12"/>
                <w:szCs w:val="12"/>
                <w:color w:val="auto"/>
              </w:rPr>
            </w:pPr>
          </w:p>
        </w:tc>
        <w:tc>
          <w:tcPr>
            <w:tcW w:w="1560" w:type="dxa"/>
            <w:vAlign w:val="bottom"/>
            <w:gridSpan w:val="2"/>
            <w:shd w:val="clear" w:color="auto" w:fill="CCEEFF"/>
          </w:tcPr>
          <w:p>
            <w:pPr>
              <w:jc w:val="right"/>
              <w:ind w:right="298"/>
              <w:spacing w:after="0"/>
              <w:rPr>
                <w:sz w:val="20"/>
                <w:szCs w:val="20"/>
                <w:color w:val="auto"/>
              </w:rPr>
            </w:pPr>
            <w:r>
              <w:rPr>
                <w:rFonts w:ascii="Times New Roman" w:cs="Times New Roman" w:eastAsia="Times New Roman" w:hAnsi="Times New Roman"/>
                <w:sz w:val="12"/>
                <w:szCs w:val="12"/>
                <w:color w:val="auto"/>
              </w:rPr>
              <w:t>311,625</w:t>
            </w:r>
          </w:p>
        </w:tc>
        <w:tc>
          <w:tcPr>
            <w:tcW w:w="70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78"/>
              <w:spacing w:after="0"/>
              <w:rPr>
                <w:sz w:val="20"/>
                <w:szCs w:val="20"/>
                <w:color w:val="auto"/>
              </w:rPr>
            </w:pPr>
            <w:r>
              <w:rPr>
                <w:rFonts w:ascii="Times New Roman" w:cs="Times New Roman" w:eastAsia="Times New Roman" w:hAnsi="Times New Roman"/>
                <w:sz w:val="12"/>
                <w:szCs w:val="12"/>
                <w:color w:val="auto"/>
              </w:rPr>
              <w:t>432,710</w:t>
            </w:r>
          </w:p>
        </w:tc>
      </w:tr>
      <w:tr>
        <w:trPr>
          <w:trHeight w:val="144"/>
        </w:trPr>
        <w:tc>
          <w:tcPr>
            <w:tcW w:w="7020" w:type="dxa"/>
            <w:vAlign w:val="bottom"/>
            <w:gridSpan w:val="3"/>
          </w:tcPr>
          <w:p>
            <w:pPr>
              <w:ind w:left="120"/>
              <w:spacing w:after="0"/>
              <w:rPr>
                <w:sz w:val="20"/>
                <w:szCs w:val="20"/>
                <w:color w:val="auto"/>
              </w:rPr>
            </w:pPr>
            <w:r>
              <w:rPr>
                <w:rFonts w:ascii="Times New Roman" w:cs="Times New Roman" w:eastAsia="Times New Roman" w:hAnsi="Times New Roman"/>
                <w:sz w:val="12"/>
                <w:szCs w:val="12"/>
                <w:color w:val="auto"/>
              </w:rPr>
              <w:t>Current portion of long term debt</w:t>
            </w:r>
          </w:p>
        </w:tc>
        <w:tc>
          <w:tcPr>
            <w:tcW w:w="700" w:type="dxa"/>
            <w:vAlign w:val="bottom"/>
          </w:tcPr>
          <w:p>
            <w:pPr>
              <w:spacing w:after="0"/>
              <w:rPr>
                <w:sz w:val="12"/>
                <w:szCs w:val="12"/>
                <w:color w:val="auto"/>
              </w:rPr>
            </w:pPr>
          </w:p>
        </w:tc>
        <w:tc>
          <w:tcPr>
            <w:tcW w:w="1560" w:type="dxa"/>
            <w:vAlign w:val="bottom"/>
            <w:gridSpan w:val="2"/>
          </w:tcPr>
          <w:p>
            <w:pPr>
              <w:jc w:val="right"/>
              <w:ind w:right="298"/>
              <w:spacing w:after="0"/>
              <w:rPr>
                <w:sz w:val="20"/>
                <w:szCs w:val="20"/>
                <w:color w:val="auto"/>
              </w:rPr>
            </w:pPr>
            <w:r>
              <w:rPr>
                <w:rFonts w:ascii="Times New Roman" w:cs="Times New Roman" w:eastAsia="Times New Roman" w:hAnsi="Times New Roman"/>
                <w:sz w:val="12"/>
                <w:szCs w:val="12"/>
                <w:color w:val="auto"/>
              </w:rPr>
              <w:t>431,429</w:t>
            </w:r>
          </w:p>
        </w:tc>
        <w:tc>
          <w:tcPr>
            <w:tcW w:w="700" w:type="dxa"/>
            <w:vAlign w:val="bottom"/>
          </w:tcPr>
          <w:p>
            <w:pPr>
              <w:spacing w:after="0"/>
              <w:rPr>
                <w:sz w:val="12"/>
                <w:szCs w:val="12"/>
                <w:color w:val="auto"/>
              </w:rPr>
            </w:pPr>
          </w:p>
        </w:tc>
        <w:tc>
          <w:tcPr>
            <w:tcW w:w="1320" w:type="dxa"/>
            <w:vAlign w:val="bottom"/>
            <w:gridSpan w:val="2"/>
          </w:tcPr>
          <w:p>
            <w:pPr>
              <w:jc w:val="right"/>
              <w:ind w:right="78"/>
              <w:spacing w:after="0"/>
              <w:rPr>
                <w:sz w:val="20"/>
                <w:szCs w:val="20"/>
                <w:color w:val="auto"/>
              </w:rPr>
            </w:pPr>
            <w:r>
              <w:rPr>
                <w:rFonts w:ascii="Times New Roman" w:cs="Times New Roman" w:eastAsia="Times New Roman" w:hAnsi="Times New Roman"/>
                <w:sz w:val="12"/>
                <w:szCs w:val="12"/>
                <w:color w:val="auto"/>
              </w:rPr>
              <w:t>275,000</w:t>
            </w:r>
          </w:p>
        </w:tc>
      </w:tr>
      <w:tr>
        <w:trPr>
          <w:trHeight w:val="144"/>
        </w:trPr>
        <w:tc>
          <w:tcPr>
            <w:tcW w:w="702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Current portion of line of credit</w:t>
            </w:r>
          </w:p>
        </w:tc>
        <w:tc>
          <w:tcPr>
            <w:tcW w:w="700" w:type="dxa"/>
            <w:vAlign w:val="bottom"/>
            <w:shd w:val="clear" w:color="auto" w:fill="CCEEFF"/>
          </w:tcPr>
          <w:p>
            <w:pPr>
              <w:spacing w:after="0"/>
              <w:rPr>
                <w:sz w:val="12"/>
                <w:szCs w:val="12"/>
                <w:color w:val="auto"/>
              </w:rPr>
            </w:pPr>
          </w:p>
        </w:tc>
        <w:tc>
          <w:tcPr>
            <w:tcW w:w="1560" w:type="dxa"/>
            <w:vAlign w:val="bottom"/>
            <w:gridSpan w:val="2"/>
            <w:shd w:val="clear" w:color="auto" w:fill="CCEEFF"/>
          </w:tcPr>
          <w:p>
            <w:pPr>
              <w:jc w:val="right"/>
              <w:ind w:right="298"/>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78"/>
              <w:spacing w:after="0"/>
              <w:rPr>
                <w:sz w:val="20"/>
                <w:szCs w:val="20"/>
                <w:color w:val="auto"/>
              </w:rPr>
            </w:pPr>
            <w:r>
              <w:rPr>
                <w:rFonts w:ascii="Times New Roman" w:cs="Times New Roman" w:eastAsia="Times New Roman" w:hAnsi="Times New Roman"/>
                <w:sz w:val="12"/>
                <w:szCs w:val="12"/>
                <w:color w:val="auto"/>
              </w:rPr>
              <w:t>120,480</w:t>
            </w:r>
          </w:p>
        </w:tc>
      </w:tr>
      <w:tr>
        <w:trPr>
          <w:trHeight w:val="153"/>
        </w:trPr>
        <w:tc>
          <w:tcPr>
            <w:tcW w:w="7020" w:type="dxa"/>
            <w:vAlign w:val="bottom"/>
            <w:gridSpan w:val="3"/>
          </w:tcPr>
          <w:p>
            <w:pPr>
              <w:ind w:left="120"/>
              <w:spacing w:after="0"/>
              <w:rPr>
                <w:sz w:val="20"/>
                <w:szCs w:val="20"/>
                <w:color w:val="auto"/>
              </w:rPr>
            </w:pPr>
            <w:r>
              <w:rPr>
                <w:rFonts w:ascii="Times New Roman" w:cs="Times New Roman" w:eastAsia="Times New Roman" w:hAnsi="Times New Roman"/>
                <w:sz w:val="12"/>
                <w:szCs w:val="12"/>
                <w:color w:val="auto"/>
              </w:rPr>
              <w:t>Current portion of deferred revenue</w:t>
            </w:r>
          </w:p>
        </w:tc>
        <w:tc>
          <w:tcPr>
            <w:tcW w:w="700" w:type="dxa"/>
            <w:vAlign w:val="bottom"/>
          </w:tcPr>
          <w:p>
            <w:pPr>
              <w:spacing w:after="0"/>
              <w:rPr>
                <w:sz w:val="13"/>
                <w:szCs w:val="13"/>
                <w:color w:val="auto"/>
              </w:rPr>
            </w:pPr>
          </w:p>
        </w:tc>
        <w:tc>
          <w:tcPr>
            <w:tcW w:w="1560" w:type="dxa"/>
            <w:vAlign w:val="bottom"/>
            <w:gridSpan w:val="2"/>
          </w:tcPr>
          <w:p>
            <w:pPr>
              <w:jc w:val="right"/>
              <w:ind w:right="298"/>
              <w:spacing w:after="0"/>
              <w:rPr>
                <w:sz w:val="20"/>
                <w:szCs w:val="20"/>
                <w:color w:val="auto"/>
              </w:rPr>
            </w:pPr>
            <w:r>
              <w:rPr>
                <w:rFonts w:ascii="Times New Roman" w:cs="Times New Roman" w:eastAsia="Times New Roman" w:hAnsi="Times New Roman"/>
                <w:sz w:val="12"/>
                <w:szCs w:val="12"/>
                <w:color w:val="auto"/>
              </w:rPr>
              <w:t>2,725,491</w:t>
            </w:r>
          </w:p>
        </w:tc>
        <w:tc>
          <w:tcPr>
            <w:tcW w:w="700" w:type="dxa"/>
            <w:vAlign w:val="bottom"/>
          </w:tcPr>
          <w:p>
            <w:pPr>
              <w:spacing w:after="0"/>
              <w:rPr>
                <w:sz w:val="13"/>
                <w:szCs w:val="13"/>
                <w:color w:val="auto"/>
              </w:rPr>
            </w:pPr>
          </w:p>
        </w:tc>
        <w:tc>
          <w:tcPr>
            <w:tcW w:w="1320" w:type="dxa"/>
            <w:vAlign w:val="bottom"/>
            <w:gridSpan w:val="2"/>
          </w:tcPr>
          <w:p>
            <w:pPr>
              <w:jc w:val="right"/>
              <w:ind w:right="78"/>
              <w:spacing w:after="0"/>
              <w:rPr>
                <w:sz w:val="20"/>
                <w:szCs w:val="20"/>
                <w:color w:val="auto"/>
              </w:rPr>
            </w:pPr>
            <w:r>
              <w:rPr>
                <w:rFonts w:ascii="Times New Roman" w:cs="Times New Roman" w:eastAsia="Times New Roman" w:hAnsi="Times New Roman"/>
                <w:sz w:val="12"/>
                <w:szCs w:val="12"/>
                <w:color w:val="auto"/>
              </w:rPr>
              <w:t>3,022,841</w:t>
            </w:r>
          </w:p>
        </w:tc>
      </w:tr>
      <w:tr>
        <w:trPr>
          <w:trHeight w:val="133"/>
        </w:trPr>
        <w:tc>
          <w:tcPr>
            <w:tcW w:w="7020" w:type="dxa"/>
            <w:vAlign w:val="bottom"/>
            <w:tcBorders>
              <w:top w:val="single" w:sz="8" w:color="CCEEFF"/>
            </w:tcBorders>
            <w:gridSpan w:val="3"/>
            <w:shd w:val="clear" w:color="auto" w:fill="CCEEFF"/>
          </w:tcPr>
          <w:p>
            <w:pPr>
              <w:ind w:left="240"/>
              <w:spacing w:after="0" w:line="133" w:lineRule="exact"/>
              <w:rPr>
                <w:sz w:val="20"/>
                <w:szCs w:val="20"/>
                <w:color w:val="auto"/>
              </w:rPr>
            </w:pPr>
            <w:r>
              <w:rPr>
                <w:rFonts w:ascii="Times New Roman" w:cs="Times New Roman" w:eastAsia="Times New Roman" w:hAnsi="Times New Roman"/>
                <w:sz w:val="12"/>
                <w:szCs w:val="12"/>
                <w:color w:val="auto"/>
              </w:rPr>
              <w:t>TOTAL CURRENT LIABILITIES</w:t>
            </w:r>
          </w:p>
        </w:tc>
        <w:tc>
          <w:tcPr>
            <w:tcW w:w="700" w:type="dxa"/>
            <w:vAlign w:val="bottom"/>
            <w:tcBorders>
              <w:top w:val="single" w:sz="8" w:color="auto"/>
            </w:tcBorders>
            <w:shd w:val="clear" w:color="auto" w:fill="CCEEFF"/>
          </w:tcPr>
          <w:p>
            <w:pPr>
              <w:spacing w:after="0"/>
              <w:rPr>
                <w:sz w:val="11"/>
                <w:szCs w:val="11"/>
                <w:color w:val="auto"/>
              </w:rPr>
            </w:pPr>
          </w:p>
        </w:tc>
        <w:tc>
          <w:tcPr>
            <w:tcW w:w="122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3,650,309</w:t>
            </w:r>
          </w:p>
        </w:tc>
        <w:tc>
          <w:tcPr>
            <w:tcW w:w="340" w:type="dxa"/>
            <w:vAlign w:val="bottom"/>
            <w:tcBorders>
              <w:top w:val="single" w:sz="8" w:color="CCEEFF"/>
            </w:tcBorders>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spacing w:after="0"/>
              <w:rPr>
                <w:sz w:val="11"/>
                <w:szCs w:val="11"/>
                <w:color w:val="auto"/>
              </w:rPr>
            </w:pPr>
          </w:p>
        </w:tc>
        <w:tc>
          <w:tcPr>
            <w:tcW w:w="120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4,101,724</w:t>
            </w:r>
          </w:p>
        </w:tc>
        <w:tc>
          <w:tcPr>
            <w:tcW w:w="120" w:type="dxa"/>
            <w:vAlign w:val="bottom"/>
            <w:tcBorders>
              <w:top w:val="single" w:sz="8" w:color="CCEEFF"/>
            </w:tcBorders>
            <w:shd w:val="clear" w:color="auto" w:fill="CCEEFF"/>
          </w:tcPr>
          <w:p>
            <w:pPr>
              <w:spacing w:after="0"/>
              <w:rPr>
                <w:sz w:val="11"/>
                <w:szCs w:val="11"/>
                <w:color w:val="auto"/>
              </w:rPr>
            </w:pPr>
          </w:p>
        </w:tc>
      </w:tr>
      <w:tr>
        <w:trPr>
          <w:trHeight w:val="144"/>
        </w:trPr>
        <w:tc>
          <w:tcPr>
            <w:tcW w:w="206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4"/>
        </w:trPr>
        <w:tc>
          <w:tcPr>
            <w:tcW w:w="70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2"/>
                <w:szCs w:val="12"/>
                <w:color w:val="auto"/>
              </w:rPr>
              <w:t>DEFERRED REVENUE, less current portion above</w:t>
            </w:r>
          </w:p>
        </w:tc>
        <w:tc>
          <w:tcPr>
            <w:tcW w:w="700" w:type="dxa"/>
            <w:vAlign w:val="bottom"/>
            <w:shd w:val="clear" w:color="auto" w:fill="CCEEFF"/>
          </w:tcPr>
          <w:p>
            <w:pPr>
              <w:spacing w:after="0"/>
              <w:rPr>
                <w:sz w:val="12"/>
                <w:szCs w:val="12"/>
                <w:color w:val="auto"/>
              </w:rPr>
            </w:pPr>
          </w:p>
        </w:tc>
        <w:tc>
          <w:tcPr>
            <w:tcW w:w="1560" w:type="dxa"/>
            <w:vAlign w:val="bottom"/>
            <w:gridSpan w:val="2"/>
            <w:shd w:val="clear" w:color="auto" w:fill="CCEEFF"/>
          </w:tcPr>
          <w:p>
            <w:pPr>
              <w:jc w:val="right"/>
              <w:ind w:right="298"/>
              <w:spacing w:after="0"/>
              <w:rPr>
                <w:sz w:val="20"/>
                <w:szCs w:val="20"/>
                <w:color w:val="auto"/>
              </w:rPr>
            </w:pPr>
            <w:r>
              <w:rPr>
                <w:rFonts w:ascii="Times New Roman" w:cs="Times New Roman" w:eastAsia="Times New Roman" w:hAnsi="Times New Roman"/>
                <w:sz w:val="12"/>
                <w:szCs w:val="12"/>
                <w:color w:val="auto"/>
              </w:rPr>
              <w:t>107,070</w:t>
            </w:r>
          </w:p>
        </w:tc>
        <w:tc>
          <w:tcPr>
            <w:tcW w:w="70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78"/>
              <w:spacing w:after="0"/>
              <w:rPr>
                <w:sz w:val="20"/>
                <w:szCs w:val="20"/>
                <w:color w:val="auto"/>
              </w:rPr>
            </w:pPr>
            <w:r>
              <w:rPr>
                <w:rFonts w:ascii="Times New Roman" w:cs="Times New Roman" w:eastAsia="Times New Roman" w:hAnsi="Times New Roman"/>
                <w:sz w:val="12"/>
                <w:szCs w:val="12"/>
                <w:color w:val="auto"/>
              </w:rPr>
              <w:t>149,033</w:t>
            </w:r>
          </w:p>
        </w:tc>
      </w:tr>
      <w:tr>
        <w:trPr>
          <w:trHeight w:val="144"/>
        </w:trPr>
        <w:tc>
          <w:tcPr>
            <w:tcW w:w="702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LONG TERM DEBT, less current portion above</w:t>
            </w:r>
          </w:p>
        </w:tc>
        <w:tc>
          <w:tcPr>
            <w:tcW w:w="700" w:type="dxa"/>
            <w:vAlign w:val="bottom"/>
          </w:tcPr>
          <w:p>
            <w:pPr>
              <w:spacing w:after="0"/>
              <w:rPr>
                <w:sz w:val="12"/>
                <w:szCs w:val="12"/>
                <w:color w:val="auto"/>
              </w:rPr>
            </w:pPr>
          </w:p>
        </w:tc>
        <w:tc>
          <w:tcPr>
            <w:tcW w:w="1560" w:type="dxa"/>
            <w:vAlign w:val="bottom"/>
            <w:gridSpan w:val="2"/>
          </w:tcPr>
          <w:p>
            <w:pPr>
              <w:jc w:val="right"/>
              <w:ind w:right="298"/>
              <w:spacing w:after="0"/>
              <w:rPr>
                <w:sz w:val="20"/>
                <w:szCs w:val="20"/>
                <w:color w:val="auto"/>
              </w:rPr>
            </w:pPr>
            <w:r>
              <w:rPr>
                <w:rFonts w:ascii="Times New Roman" w:cs="Times New Roman" w:eastAsia="Times New Roman" w:hAnsi="Times New Roman"/>
                <w:sz w:val="12"/>
                <w:szCs w:val="12"/>
                <w:color w:val="auto"/>
              </w:rPr>
              <w:t>71,904</w:t>
            </w:r>
          </w:p>
        </w:tc>
        <w:tc>
          <w:tcPr>
            <w:tcW w:w="700" w:type="dxa"/>
            <w:vAlign w:val="bottom"/>
          </w:tcPr>
          <w:p>
            <w:pPr>
              <w:spacing w:after="0"/>
              <w:rPr>
                <w:sz w:val="12"/>
                <w:szCs w:val="12"/>
                <w:color w:val="auto"/>
              </w:rPr>
            </w:pPr>
          </w:p>
        </w:tc>
        <w:tc>
          <w:tcPr>
            <w:tcW w:w="1320" w:type="dxa"/>
            <w:vAlign w:val="bottom"/>
            <w:gridSpan w:val="2"/>
          </w:tcPr>
          <w:p>
            <w:pPr>
              <w:jc w:val="right"/>
              <w:ind w:right="78"/>
              <w:spacing w:after="0"/>
              <w:rPr>
                <w:sz w:val="20"/>
                <w:szCs w:val="20"/>
                <w:color w:val="auto"/>
              </w:rPr>
            </w:pPr>
            <w:r>
              <w:rPr>
                <w:rFonts w:ascii="Times New Roman" w:cs="Times New Roman" w:eastAsia="Times New Roman" w:hAnsi="Times New Roman"/>
                <w:sz w:val="12"/>
                <w:szCs w:val="12"/>
                <w:color w:val="auto"/>
              </w:rPr>
              <w:t>300,000</w:t>
            </w:r>
          </w:p>
        </w:tc>
      </w:tr>
      <w:tr>
        <w:trPr>
          <w:trHeight w:val="153"/>
        </w:trPr>
        <w:tc>
          <w:tcPr>
            <w:tcW w:w="70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2"/>
                <w:szCs w:val="12"/>
                <w:color w:val="auto"/>
              </w:rPr>
              <w:t>LINE OF CREDIT, less current portion above</w:t>
            </w:r>
          </w:p>
        </w:tc>
        <w:tc>
          <w:tcPr>
            <w:tcW w:w="700" w:type="dxa"/>
            <w:vAlign w:val="bottom"/>
            <w:shd w:val="clear" w:color="auto" w:fill="CCEEFF"/>
          </w:tcPr>
          <w:p>
            <w:pPr>
              <w:spacing w:after="0"/>
              <w:rPr>
                <w:sz w:val="13"/>
                <w:szCs w:val="13"/>
                <w:color w:val="auto"/>
              </w:rPr>
            </w:pPr>
          </w:p>
        </w:tc>
        <w:tc>
          <w:tcPr>
            <w:tcW w:w="1560" w:type="dxa"/>
            <w:vAlign w:val="bottom"/>
            <w:gridSpan w:val="2"/>
            <w:shd w:val="clear" w:color="auto" w:fill="CCEEFF"/>
          </w:tcPr>
          <w:p>
            <w:pPr>
              <w:jc w:val="right"/>
              <w:ind w:right="298"/>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shd w:val="clear" w:color="auto" w:fill="CCEEFF"/>
          </w:tcPr>
          <w:p>
            <w:pPr>
              <w:spacing w:after="0"/>
              <w:rPr>
                <w:sz w:val="13"/>
                <w:szCs w:val="13"/>
                <w:color w:val="auto"/>
              </w:rPr>
            </w:pPr>
          </w:p>
        </w:tc>
        <w:tc>
          <w:tcPr>
            <w:tcW w:w="1320" w:type="dxa"/>
            <w:vAlign w:val="bottom"/>
            <w:gridSpan w:val="2"/>
            <w:shd w:val="clear" w:color="auto" w:fill="CCEEFF"/>
          </w:tcPr>
          <w:p>
            <w:pPr>
              <w:jc w:val="right"/>
              <w:ind w:right="78"/>
              <w:spacing w:after="0"/>
              <w:rPr>
                <w:sz w:val="20"/>
                <w:szCs w:val="20"/>
                <w:color w:val="auto"/>
              </w:rPr>
            </w:pPr>
            <w:r>
              <w:rPr>
                <w:rFonts w:ascii="Times New Roman" w:cs="Times New Roman" w:eastAsia="Times New Roman" w:hAnsi="Times New Roman"/>
                <w:sz w:val="12"/>
                <w:szCs w:val="12"/>
                <w:color w:val="auto"/>
              </w:rPr>
              <w:t>109,520</w:t>
            </w:r>
          </w:p>
        </w:tc>
      </w:tr>
      <w:tr>
        <w:trPr>
          <w:trHeight w:val="149"/>
        </w:trPr>
        <w:tc>
          <w:tcPr>
            <w:tcW w:w="7020" w:type="dxa"/>
            <w:vAlign w:val="bottom"/>
            <w:tcBorders>
              <w:bottom w:val="single" w:sz="8" w:color="CCEEFF"/>
            </w:tcBorders>
            <w:gridSpan w:val="3"/>
          </w:tcPr>
          <w:p>
            <w:pPr>
              <w:ind w:left="240"/>
              <w:spacing w:after="0" w:line="135" w:lineRule="exact"/>
              <w:rPr>
                <w:sz w:val="20"/>
                <w:szCs w:val="20"/>
                <w:color w:val="auto"/>
              </w:rPr>
            </w:pPr>
            <w:r>
              <w:rPr>
                <w:rFonts w:ascii="Times New Roman" w:cs="Times New Roman" w:eastAsia="Times New Roman" w:hAnsi="Times New Roman"/>
                <w:sz w:val="12"/>
                <w:szCs w:val="12"/>
                <w:color w:val="auto"/>
              </w:rPr>
              <w:t>TOTAL LIABILITIES</w:t>
            </w:r>
          </w:p>
        </w:tc>
        <w:tc>
          <w:tcPr>
            <w:tcW w:w="700" w:type="dxa"/>
            <w:vAlign w:val="bottom"/>
            <w:tcBorders>
              <w:top w:val="single" w:sz="8" w:color="auto"/>
              <w:bottom w:val="single" w:sz="8" w:color="auto"/>
            </w:tcBorders>
          </w:tcPr>
          <w:p>
            <w:pPr>
              <w:spacing w:after="0"/>
              <w:rPr>
                <w:sz w:val="12"/>
                <w:szCs w:val="12"/>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3,829,283</w:t>
            </w:r>
          </w:p>
        </w:tc>
        <w:tc>
          <w:tcPr>
            <w:tcW w:w="340" w:type="dxa"/>
            <w:vAlign w:val="bottom"/>
            <w:tcBorders>
              <w:bottom w:val="single" w:sz="8" w:color="CCEEFF"/>
            </w:tcBorders>
          </w:tcPr>
          <w:p>
            <w:pPr>
              <w:spacing w:after="0"/>
              <w:rPr>
                <w:sz w:val="12"/>
                <w:szCs w:val="12"/>
                <w:color w:val="auto"/>
              </w:rPr>
            </w:pPr>
          </w:p>
        </w:tc>
        <w:tc>
          <w:tcPr>
            <w:tcW w:w="700" w:type="dxa"/>
            <w:vAlign w:val="bottom"/>
            <w:tcBorders>
              <w:top w:val="single" w:sz="8" w:color="auto"/>
              <w:bottom w:val="single" w:sz="8" w:color="auto"/>
            </w:tcBorders>
          </w:tcPr>
          <w:p>
            <w:pPr>
              <w:spacing w:after="0"/>
              <w:rPr>
                <w:sz w:val="12"/>
                <w:szCs w:val="12"/>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4,646,238</w:t>
            </w:r>
          </w:p>
        </w:tc>
        <w:tc>
          <w:tcPr>
            <w:tcW w:w="120" w:type="dxa"/>
            <w:vAlign w:val="bottom"/>
            <w:tcBorders>
              <w:bottom w:val="single" w:sz="8" w:color="CCEEFF"/>
            </w:tcBorders>
          </w:tcPr>
          <w:p>
            <w:pPr>
              <w:spacing w:after="0"/>
              <w:rPr>
                <w:sz w:val="12"/>
                <w:szCs w:val="12"/>
                <w:color w:val="auto"/>
              </w:rPr>
            </w:pPr>
          </w:p>
        </w:tc>
      </w:tr>
      <w:tr>
        <w:trPr>
          <w:trHeight w:val="144"/>
        </w:trPr>
        <w:tc>
          <w:tcPr>
            <w:tcW w:w="70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2"/>
                <w:szCs w:val="12"/>
                <w:color w:val="auto"/>
              </w:rPr>
              <w:t>MEZZANINE EQUITY</w:t>
            </w:r>
          </w:p>
        </w:tc>
        <w:tc>
          <w:tcPr>
            <w:tcW w:w="70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r>
      <w:tr>
        <w:trPr>
          <w:trHeight w:val="133"/>
        </w:trPr>
        <w:tc>
          <w:tcPr>
            <w:tcW w:w="7020" w:type="dxa"/>
            <w:vAlign w:val="bottom"/>
            <w:gridSpan w:val="3"/>
          </w:tcPr>
          <w:p>
            <w:pPr>
              <w:spacing w:after="0" w:line="133" w:lineRule="exact"/>
              <w:rPr>
                <w:sz w:val="20"/>
                <w:szCs w:val="20"/>
                <w:color w:val="auto"/>
              </w:rPr>
            </w:pPr>
            <w:r>
              <w:rPr>
                <w:rFonts w:ascii="Times New Roman" w:cs="Times New Roman" w:eastAsia="Times New Roman" w:hAnsi="Times New Roman"/>
                <w:sz w:val="12"/>
                <w:szCs w:val="12"/>
                <w:color w:val="auto"/>
              </w:rPr>
              <w:t>Series A convertible preferred stock, value of $7.8941 per share; 2,501,849 shares authorized, 2,415,046 shares issued and outstanding as of</w:t>
            </w:r>
          </w:p>
        </w:tc>
        <w:tc>
          <w:tcPr>
            <w:tcW w:w="70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55"/>
        </w:trPr>
        <w:tc>
          <w:tcPr>
            <w:tcW w:w="702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September 30, 2024, net of issuance costs</w:t>
            </w:r>
          </w:p>
        </w:tc>
        <w:tc>
          <w:tcPr>
            <w:tcW w:w="700" w:type="dxa"/>
            <w:vAlign w:val="bottom"/>
          </w:tcPr>
          <w:p>
            <w:pPr>
              <w:spacing w:after="0"/>
              <w:rPr>
                <w:sz w:val="13"/>
                <w:szCs w:val="13"/>
                <w:color w:val="auto"/>
              </w:rPr>
            </w:pPr>
          </w:p>
        </w:tc>
        <w:tc>
          <w:tcPr>
            <w:tcW w:w="1560" w:type="dxa"/>
            <w:vAlign w:val="bottom"/>
            <w:gridSpan w:val="2"/>
          </w:tcPr>
          <w:p>
            <w:pPr>
              <w:jc w:val="right"/>
              <w:ind w:right="298"/>
              <w:spacing w:after="0"/>
              <w:rPr>
                <w:sz w:val="20"/>
                <w:szCs w:val="20"/>
                <w:color w:val="auto"/>
              </w:rPr>
            </w:pPr>
            <w:r>
              <w:rPr>
                <w:rFonts w:ascii="Times New Roman" w:cs="Times New Roman" w:eastAsia="Times New Roman" w:hAnsi="Times New Roman"/>
                <w:sz w:val="12"/>
                <w:szCs w:val="12"/>
                <w:color w:val="auto"/>
              </w:rPr>
              <w:t>18,900,800</w:t>
            </w:r>
          </w:p>
        </w:tc>
        <w:tc>
          <w:tcPr>
            <w:tcW w:w="700" w:type="dxa"/>
            <w:vAlign w:val="bottom"/>
          </w:tcPr>
          <w:p>
            <w:pPr>
              <w:spacing w:after="0"/>
              <w:rPr>
                <w:sz w:val="13"/>
                <w:szCs w:val="13"/>
                <w:color w:val="auto"/>
              </w:rPr>
            </w:pPr>
          </w:p>
        </w:tc>
        <w:tc>
          <w:tcPr>
            <w:tcW w:w="1320" w:type="dxa"/>
            <w:vAlign w:val="bottom"/>
            <w:gridSpan w:val="2"/>
          </w:tcPr>
          <w:p>
            <w:pPr>
              <w:jc w:val="right"/>
              <w:ind w:right="78"/>
              <w:spacing w:after="0"/>
              <w:rPr>
                <w:sz w:val="20"/>
                <w:szCs w:val="20"/>
                <w:color w:val="auto"/>
              </w:rPr>
            </w:pPr>
            <w:r>
              <w:rPr>
                <w:rFonts w:ascii="Times New Roman" w:cs="Times New Roman" w:eastAsia="Times New Roman" w:hAnsi="Times New Roman"/>
                <w:sz w:val="12"/>
                <w:szCs w:val="12"/>
                <w:color w:val="auto"/>
              </w:rPr>
              <w:t>18,900,800</w:t>
            </w:r>
          </w:p>
        </w:tc>
      </w:tr>
      <w:tr>
        <w:trPr>
          <w:trHeight w:val="133"/>
        </w:trPr>
        <w:tc>
          <w:tcPr>
            <w:tcW w:w="7020" w:type="dxa"/>
            <w:vAlign w:val="bottom"/>
            <w:gridSpan w:val="3"/>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Series Seed-1 convertible preferred stock, value of $1.6819 per share; 1,525,654 shares authorized, 1,451,191 shares issued and outstanding</w:t>
            </w:r>
          </w:p>
        </w:tc>
        <w:tc>
          <w:tcPr>
            <w:tcW w:w="700" w:type="dxa"/>
            <w:vAlign w:val="bottom"/>
            <w:shd w:val="clear" w:color="auto" w:fill="CCEEFF"/>
          </w:tcPr>
          <w:p>
            <w:pPr>
              <w:spacing w:after="0"/>
              <w:rPr>
                <w:sz w:val="11"/>
                <w:szCs w:val="11"/>
                <w:color w:val="auto"/>
              </w:rPr>
            </w:pPr>
          </w:p>
        </w:tc>
        <w:tc>
          <w:tcPr>
            <w:tcW w:w="122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r>
      <w:tr>
        <w:trPr>
          <w:trHeight w:val="155"/>
        </w:trPr>
        <w:tc>
          <w:tcPr>
            <w:tcW w:w="70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2"/>
                <w:szCs w:val="12"/>
                <w:color w:val="auto"/>
              </w:rPr>
              <w:t>as of September 30, 2024, net of issuance costs</w:t>
            </w:r>
          </w:p>
        </w:tc>
        <w:tc>
          <w:tcPr>
            <w:tcW w:w="700" w:type="dxa"/>
            <w:vAlign w:val="bottom"/>
            <w:shd w:val="clear" w:color="auto" w:fill="CCEEFF"/>
          </w:tcPr>
          <w:p>
            <w:pPr>
              <w:spacing w:after="0"/>
              <w:rPr>
                <w:sz w:val="13"/>
                <w:szCs w:val="13"/>
                <w:color w:val="auto"/>
              </w:rPr>
            </w:pPr>
          </w:p>
        </w:tc>
        <w:tc>
          <w:tcPr>
            <w:tcW w:w="1560" w:type="dxa"/>
            <w:vAlign w:val="bottom"/>
            <w:gridSpan w:val="2"/>
            <w:shd w:val="clear" w:color="auto" w:fill="CCEEFF"/>
          </w:tcPr>
          <w:p>
            <w:pPr>
              <w:jc w:val="right"/>
              <w:ind w:right="298"/>
              <w:spacing w:after="0"/>
              <w:rPr>
                <w:sz w:val="20"/>
                <w:szCs w:val="20"/>
                <w:color w:val="auto"/>
              </w:rPr>
            </w:pPr>
            <w:r>
              <w:rPr>
                <w:rFonts w:ascii="Times New Roman" w:cs="Times New Roman" w:eastAsia="Times New Roman" w:hAnsi="Times New Roman"/>
                <w:sz w:val="12"/>
                <w:szCs w:val="12"/>
                <w:color w:val="auto"/>
              </w:rPr>
              <w:t>2,412,888</w:t>
            </w:r>
          </w:p>
        </w:tc>
        <w:tc>
          <w:tcPr>
            <w:tcW w:w="700" w:type="dxa"/>
            <w:vAlign w:val="bottom"/>
            <w:shd w:val="clear" w:color="auto" w:fill="CCEEFF"/>
          </w:tcPr>
          <w:p>
            <w:pPr>
              <w:spacing w:after="0"/>
              <w:rPr>
                <w:sz w:val="13"/>
                <w:szCs w:val="13"/>
                <w:color w:val="auto"/>
              </w:rPr>
            </w:pPr>
          </w:p>
        </w:tc>
        <w:tc>
          <w:tcPr>
            <w:tcW w:w="1320" w:type="dxa"/>
            <w:vAlign w:val="bottom"/>
            <w:gridSpan w:val="2"/>
            <w:shd w:val="clear" w:color="auto" w:fill="CCEEFF"/>
          </w:tcPr>
          <w:p>
            <w:pPr>
              <w:jc w:val="right"/>
              <w:ind w:right="78"/>
              <w:spacing w:after="0"/>
              <w:rPr>
                <w:sz w:val="20"/>
                <w:szCs w:val="20"/>
                <w:color w:val="auto"/>
              </w:rPr>
            </w:pPr>
            <w:r>
              <w:rPr>
                <w:rFonts w:ascii="Times New Roman" w:cs="Times New Roman" w:eastAsia="Times New Roman" w:hAnsi="Times New Roman"/>
                <w:sz w:val="12"/>
                <w:szCs w:val="12"/>
                <w:color w:val="auto"/>
              </w:rPr>
              <w:t>2,412,888</w:t>
            </w:r>
          </w:p>
        </w:tc>
      </w:tr>
      <w:tr>
        <w:trPr>
          <w:trHeight w:val="133"/>
        </w:trPr>
        <w:tc>
          <w:tcPr>
            <w:tcW w:w="7020" w:type="dxa"/>
            <w:vAlign w:val="bottom"/>
            <w:gridSpan w:val="3"/>
          </w:tcPr>
          <w:p>
            <w:pPr>
              <w:spacing w:after="0" w:line="133" w:lineRule="exact"/>
              <w:rPr>
                <w:sz w:val="20"/>
                <w:szCs w:val="20"/>
                <w:color w:val="auto"/>
              </w:rPr>
            </w:pPr>
            <w:r>
              <w:rPr>
                <w:rFonts w:ascii="Times New Roman" w:cs="Times New Roman" w:eastAsia="Times New Roman" w:hAnsi="Times New Roman"/>
                <w:sz w:val="12"/>
                <w:szCs w:val="12"/>
                <w:color w:val="auto"/>
              </w:rPr>
              <w:t>Series Seed-2 convertible preferred stock, value of $.9687 per share; 1,261,530 shares authorized, 1,121,610 shares issued and outstanding as</w:t>
            </w:r>
          </w:p>
        </w:tc>
        <w:tc>
          <w:tcPr>
            <w:tcW w:w="70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55"/>
        </w:trPr>
        <w:tc>
          <w:tcPr>
            <w:tcW w:w="702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of September 30, 2024, net of issuance costs</w:t>
            </w:r>
          </w:p>
        </w:tc>
        <w:tc>
          <w:tcPr>
            <w:tcW w:w="700" w:type="dxa"/>
            <w:vAlign w:val="bottom"/>
          </w:tcPr>
          <w:p>
            <w:pPr>
              <w:spacing w:after="0"/>
              <w:rPr>
                <w:sz w:val="13"/>
                <w:szCs w:val="13"/>
                <w:color w:val="auto"/>
              </w:rPr>
            </w:pPr>
          </w:p>
        </w:tc>
        <w:tc>
          <w:tcPr>
            <w:tcW w:w="1560" w:type="dxa"/>
            <w:vAlign w:val="bottom"/>
            <w:gridSpan w:val="2"/>
          </w:tcPr>
          <w:p>
            <w:pPr>
              <w:jc w:val="right"/>
              <w:ind w:right="298"/>
              <w:spacing w:after="0"/>
              <w:rPr>
                <w:sz w:val="20"/>
                <w:szCs w:val="20"/>
                <w:color w:val="auto"/>
              </w:rPr>
            </w:pPr>
            <w:r>
              <w:rPr>
                <w:rFonts w:ascii="Times New Roman" w:cs="Times New Roman" w:eastAsia="Times New Roman" w:hAnsi="Times New Roman"/>
                <w:sz w:val="12"/>
                <w:szCs w:val="12"/>
                <w:color w:val="auto"/>
              </w:rPr>
              <w:t>1,074,097</w:t>
            </w:r>
          </w:p>
        </w:tc>
        <w:tc>
          <w:tcPr>
            <w:tcW w:w="700" w:type="dxa"/>
            <w:vAlign w:val="bottom"/>
          </w:tcPr>
          <w:p>
            <w:pPr>
              <w:spacing w:after="0"/>
              <w:rPr>
                <w:sz w:val="13"/>
                <w:szCs w:val="13"/>
                <w:color w:val="auto"/>
              </w:rPr>
            </w:pPr>
          </w:p>
        </w:tc>
        <w:tc>
          <w:tcPr>
            <w:tcW w:w="1320" w:type="dxa"/>
            <w:vAlign w:val="bottom"/>
            <w:gridSpan w:val="2"/>
          </w:tcPr>
          <w:p>
            <w:pPr>
              <w:jc w:val="right"/>
              <w:ind w:right="78"/>
              <w:spacing w:after="0"/>
              <w:rPr>
                <w:sz w:val="20"/>
                <w:szCs w:val="20"/>
                <w:color w:val="auto"/>
              </w:rPr>
            </w:pPr>
            <w:r>
              <w:rPr>
                <w:rFonts w:ascii="Times New Roman" w:cs="Times New Roman" w:eastAsia="Times New Roman" w:hAnsi="Times New Roman"/>
                <w:sz w:val="12"/>
                <w:szCs w:val="12"/>
                <w:color w:val="auto"/>
              </w:rPr>
              <w:t>1,074,097</w:t>
            </w:r>
          </w:p>
        </w:tc>
      </w:tr>
      <w:tr>
        <w:trPr>
          <w:trHeight w:val="133"/>
        </w:trPr>
        <w:tc>
          <w:tcPr>
            <w:tcW w:w="7020" w:type="dxa"/>
            <w:vAlign w:val="bottom"/>
            <w:gridSpan w:val="3"/>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Series Seed-3 convertible preferred stock, par value of $1.2916 per share; 547,837 shares authorized, 519,963 shares issued and outstanding</w:t>
            </w:r>
          </w:p>
        </w:tc>
        <w:tc>
          <w:tcPr>
            <w:tcW w:w="700" w:type="dxa"/>
            <w:vAlign w:val="bottom"/>
            <w:shd w:val="clear" w:color="auto" w:fill="CCEEFF"/>
          </w:tcPr>
          <w:p>
            <w:pPr>
              <w:spacing w:after="0"/>
              <w:rPr>
                <w:sz w:val="11"/>
                <w:szCs w:val="11"/>
                <w:color w:val="auto"/>
              </w:rPr>
            </w:pPr>
          </w:p>
        </w:tc>
        <w:tc>
          <w:tcPr>
            <w:tcW w:w="122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r>
      <w:tr>
        <w:trPr>
          <w:trHeight w:val="155"/>
        </w:trPr>
        <w:tc>
          <w:tcPr>
            <w:tcW w:w="70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2"/>
                <w:szCs w:val="12"/>
                <w:color w:val="auto"/>
              </w:rPr>
              <w:t>as of September 30, 2024, net of issuance costs</w:t>
            </w:r>
          </w:p>
        </w:tc>
        <w:tc>
          <w:tcPr>
            <w:tcW w:w="700" w:type="dxa"/>
            <w:vAlign w:val="bottom"/>
            <w:shd w:val="clear" w:color="auto" w:fill="CCEEFF"/>
          </w:tcPr>
          <w:p>
            <w:pPr>
              <w:spacing w:after="0"/>
              <w:rPr>
                <w:sz w:val="13"/>
                <w:szCs w:val="13"/>
                <w:color w:val="auto"/>
              </w:rPr>
            </w:pPr>
          </w:p>
        </w:tc>
        <w:tc>
          <w:tcPr>
            <w:tcW w:w="1560" w:type="dxa"/>
            <w:vAlign w:val="bottom"/>
            <w:gridSpan w:val="2"/>
            <w:shd w:val="clear" w:color="auto" w:fill="CCEEFF"/>
          </w:tcPr>
          <w:p>
            <w:pPr>
              <w:jc w:val="right"/>
              <w:ind w:right="298"/>
              <w:spacing w:after="0"/>
              <w:rPr>
                <w:sz w:val="20"/>
                <w:szCs w:val="20"/>
                <w:color w:val="auto"/>
              </w:rPr>
            </w:pPr>
            <w:r>
              <w:rPr>
                <w:rFonts w:ascii="Times New Roman" w:cs="Times New Roman" w:eastAsia="Times New Roman" w:hAnsi="Times New Roman"/>
                <w:sz w:val="12"/>
                <w:szCs w:val="12"/>
                <w:color w:val="auto"/>
              </w:rPr>
              <w:t>663,920</w:t>
            </w:r>
          </w:p>
        </w:tc>
        <w:tc>
          <w:tcPr>
            <w:tcW w:w="700" w:type="dxa"/>
            <w:vAlign w:val="bottom"/>
            <w:shd w:val="clear" w:color="auto" w:fill="CCEEFF"/>
          </w:tcPr>
          <w:p>
            <w:pPr>
              <w:spacing w:after="0"/>
              <w:rPr>
                <w:sz w:val="13"/>
                <w:szCs w:val="13"/>
                <w:color w:val="auto"/>
              </w:rPr>
            </w:pPr>
          </w:p>
        </w:tc>
        <w:tc>
          <w:tcPr>
            <w:tcW w:w="1320" w:type="dxa"/>
            <w:vAlign w:val="bottom"/>
            <w:gridSpan w:val="2"/>
            <w:shd w:val="clear" w:color="auto" w:fill="CCEEFF"/>
          </w:tcPr>
          <w:p>
            <w:pPr>
              <w:jc w:val="right"/>
              <w:ind w:right="78"/>
              <w:spacing w:after="0"/>
              <w:rPr>
                <w:sz w:val="20"/>
                <w:szCs w:val="20"/>
                <w:color w:val="auto"/>
              </w:rPr>
            </w:pPr>
            <w:r>
              <w:rPr>
                <w:rFonts w:ascii="Times New Roman" w:cs="Times New Roman" w:eastAsia="Times New Roman" w:hAnsi="Times New Roman"/>
                <w:sz w:val="12"/>
                <w:szCs w:val="12"/>
                <w:color w:val="auto"/>
              </w:rPr>
              <w:t>663,920</w:t>
            </w:r>
          </w:p>
        </w:tc>
      </w:tr>
      <w:tr>
        <w:trPr>
          <w:trHeight w:val="133"/>
        </w:trPr>
        <w:tc>
          <w:tcPr>
            <w:tcW w:w="7020" w:type="dxa"/>
            <w:vAlign w:val="bottom"/>
            <w:gridSpan w:val="3"/>
          </w:tcPr>
          <w:p>
            <w:pPr>
              <w:spacing w:after="0" w:line="133" w:lineRule="exact"/>
              <w:rPr>
                <w:sz w:val="20"/>
                <w:szCs w:val="20"/>
                <w:color w:val="auto"/>
              </w:rPr>
            </w:pPr>
            <w:r>
              <w:rPr>
                <w:rFonts w:ascii="Times New Roman" w:cs="Times New Roman" w:eastAsia="Times New Roman" w:hAnsi="Times New Roman"/>
                <w:sz w:val="12"/>
                <w:szCs w:val="12"/>
                <w:color w:val="auto"/>
              </w:rPr>
              <w:t>Series Seed-4 convertible preferred stock, value of $1.7868 per share; 85,458 shares authorized, 74,379 shares issued and outstanding as of</w:t>
            </w:r>
          </w:p>
        </w:tc>
        <w:tc>
          <w:tcPr>
            <w:tcW w:w="70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55"/>
        </w:trPr>
        <w:tc>
          <w:tcPr>
            <w:tcW w:w="702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September 30, 2024, net of issuance costs</w:t>
            </w:r>
          </w:p>
        </w:tc>
        <w:tc>
          <w:tcPr>
            <w:tcW w:w="700" w:type="dxa"/>
            <w:vAlign w:val="bottom"/>
          </w:tcPr>
          <w:p>
            <w:pPr>
              <w:spacing w:after="0"/>
              <w:rPr>
                <w:sz w:val="13"/>
                <w:szCs w:val="13"/>
                <w:color w:val="auto"/>
              </w:rPr>
            </w:pPr>
          </w:p>
        </w:tc>
        <w:tc>
          <w:tcPr>
            <w:tcW w:w="1560" w:type="dxa"/>
            <w:vAlign w:val="bottom"/>
            <w:gridSpan w:val="2"/>
          </w:tcPr>
          <w:p>
            <w:pPr>
              <w:jc w:val="right"/>
              <w:ind w:right="298"/>
              <w:spacing w:after="0"/>
              <w:rPr>
                <w:sz w:val="20"/>
                <w:szCs w:val="20"/>
                <w:color w:val="auto"/>
              </w:rPr>
            </w:pPr>
            <w:r>
              <w:rPr>
                <w:rFonts w:ascii="Times New Roman" w:cs="Times New Roman" w:eastAsia="Times New Roman" w:hAnsi="Times New Roman"/>
                <w:sz w:val="12"/>
                <w:szCs w:val="12"/>
                <w:color w:val="auto"/>
              </w:rPr>
              <w:t>131,384</w:t>
            </w:r>
          </w:p>
        </w:tc>
        <w:tc>
          <w:tcPr>
            <w:tcW w:w="700" w:type="dxa"/>
            <w:vAlign w:val="bottom"/>
          </w:tcPr>
          <w:p>
            <w:pPr>
              <w:spacing w:after="0"/>
              <w:rPr>
                <w:sz w:val="13"/>
                <w:szCs w:val="13"/>
                <w:color w:val="auto"/>
              </w:rPr>
            </w:pPr>
          </w:p>
        </w:tc>
        <w:tc>
          <w:tcPr>
            <w:tcW w:w="1320" w:type="dxa"/>
            <w:vAlign w:val="bottom"/>
            <w:gridSpan w:val="2"/>
          </w:tcPr>
          <w:p>
            <w:pPr>
              <w:jc w:val="right"/>
              <w:ind w:right="78"/>
              <w:spacing w:after="0"/>
              <w:rPr>
                <w:sz w:val="20"/>
                <w:szCs w:val="20"/>
                <w:color w:val="auto"/>
              </w:rPr>
            </w:pPr>
            <w:r>
              <w:rPr>
                <w:rFonts w:ascii="Times New Roman" w:cs="Times New Roman" w:eastAsia="Times New Roman" w:hAnsi="Times New Roman"/>
                <w:sz w:val="12"/>
                <w:szCs w:val="12"/>
                <w:color w:val="auto"/>
              </w:rPr>
              <w:t>131,384</w:t>
            </w:r>
          </w:p>
        </w:tc>
      </w:tr>
      <w:tr>
        <w:trPr>
          <w:trHeight w:val="153"/>
        </w:trPr>
        <w:tc>
          <w:tcPr>
            <w:tcW w:w="7020" w:type="dxa"/>
            <w:vAlign w:val="bottom"/>
            <w:gridSpan w:val="3"/>
            <w:shd w:val="clear" w:color="auto" w:fill="CCEEFF"/>
          </w:tcPr>
          <w:p>
            <w:pPr>
              <w:ind w:left="240"/>
              <w:spacing w:after="0"/>
              <w:rPr>
                <w:sz w:val="20"/>
                <w:szCs w:val="20"/>
                <w:color w:val="auto"/>
              </w:rPr>
            </w:pPr>
            <w:r>
              <w:rPr>
                <w:rFonts w:ascii="Times New Roman" w:cs="Times New Roman" w:eastAsia="Times New Roman" w:hAnsi="Times New Roman"/>
                <w:sz w:val="12"/>
                <w:szCs w:val="12"/>
                <w:color w:val="auto"/>
              </w:rPr>
              <w:t>TOTAL MEZZANINE EQUITY</w:t>
            </w:r>
          </w:p>
        </w:tc>
        <w:tc>
          <w:tcPr>
            <w:tcW w:w="700" w:type="dxa"/>
            <w:vAlign w:val="bottom"/>
            <w:shd w:val="clear" w:color="auto" w:fill="CCEEFF"/>
          </w:tcPr>
          <w:p>
            <w:pPr>
              <w:spacing w:after="0"/>
              <w:rPr>
                <w:sz w:val="13"/>
                <w:szCs w:val="13"/>
                <w:color w:val="auto"/>
              </w:rPr>
            </w:pPr>
          </w:p>
        </w:tc>
        <w:tc>
          <w:tcPr>
            <w:tcW w:w="1560" w:type="dxa"/>
            <w:vAlign w:val="bottom"/>
            <w:gridSpan w:val="2"/>
            <w:shd w:val="clear" w:color="auto" w:fill="CCEEFF"/>
          </w:tcPr>
          <w:p>
            <w:pPr>
              <w:jc w:val="right"/>
              <w:ind w:right="298"/>
              <w:spacing w:after="0"/>
              <w:rPr>
                <w:sz w:val="20"/>
                <w:szCs w:val="20"/>
                <w:color w:val="auto"/>
              </w:rPr>
            </w:pPr>
            <w:r>
              <w:rPr>
                <w:rFonts w:ascii="Times New Roman" w:cs="Times New Roman" w:eastAsia="Times New Roman" w:hAnsi="Times New Roman"/>
                <w:sz w:val="12"/>
                <w:szCs w:val="12"/>
                <w:color w:val="auto"/>
              </w:rPr>
              <w:t>23,183,089</w:t>
            </w:r>
          </w:p>
        </w:tc>
        <w:tc>
          <w:tcPr>
            <w:tcW w:w="700" w:type="dxa"/>
            <w:vAlign w:val="bottom"/>
            <w:shd w:val="clear" w:color="auto" w:fill="CCEEFF"/>
          </w:tcPr>
          <w:p>
            <w:pPr>
              <w:spacing w:after="0"/>
              <w:rPr>
                <w:sz w:val="13"/>
                <w:szCs w:val="13"/>
                <w:color w:val="auto"/>
              </w:rPr>
            </w:pPr>
          </w:p>
        </w:tc>
        <w:tc>
          <w:tcPr>
            <w:tcW w:w="1320" w:type="dxa"/>
            <w:vAlign w:val="bottom"/>
            <w:gridSpan w:val="2"/>
            <w:shd w:val="clear" w:color="auto" w:fill="CCEEFF"/>
          </w:tcPr>
          <w:p>
            <w:pPr>
              <w:jc w:val="right"/>
              <w:ind w:right="78"/>
              <w:spacing w:after="0"/>
              <w:rPr>
                <w:sz w:val="20"/>
                <w:szCs w:val="20"/>
                <w:color w:val="auto"/>
              </w:rPr>
            </w:pPr>
            <w:r>
              <w:rPr>
                <w:rFonts w:ascii="Times New Roman" w:cs="Times New Roman" w:eastAsia="Times New Roman" w:hAnsi="Times New Roman"/>
                <w:sz w:val="12"/>
                <w:szCs w:val="12"/>
                <w:color w:val="auto"/>
              </w:rPr>
              <w:t>23,183,089</w:t>
            </w:r>
          </w:p>
        </w:tc>
      </w:tr>
      <w:tr>
        <w:trPr>
          <w:trHeight w:val="113"/>
        </w:trPr>
        <w:tc>
          <w:tcPr>
            <w:tcW w:w="7020" w:type="dxa"/>
            <w:vAlign w:val="bottom"/>
            <w:gridSpan w:val="3"/>
          </w:tcPr>
          <w:p>
            <w:pPr>
              <w:spacing w:after="0" w:line="113" w:lineRule="exact"/>
              <w:rPr>
                <w:sz w:val="20"/>
                <w:szCs w:val="20"/>
                <w:color w:val="auto"/>
              </w:rPr>
            </w:pPr>
            <w:r>
              <w:rPr>
                <w:rFonts w:ascii="Times New Roman" w:cs="Times New Roman" w:eastAsia="Times New Roman" w:hAnsi="Times New Roman"/>
                <w:sz w:val="12"/>
                <w:szCs w:val="12"/>
                <w:color w:val="auto"/>
              </w:rPr>
              <w:t>Common stock, par value of $0.00001 per share; 11,000,000 shares authorized; 2,885,943 shares issued and outstanding as of September 30,</w:t>
            </w:r>
          </w:p>
        </w:tc>
        <w:tc>
          <w:tcPr>
            <w:tcW w:w="700" w:type="dxa"/>
            <w:vAlign w:val="bottom"/>
            <w:tcBorders>
              <w:top w:val="single" w:sz="8" w:color="auto"/>
            </w:tcBorders>
          </w:tcPr>
          <w:p>
            <w:pPr>
              <w:spacing w:after="0"/>
              <w:rPr>
                <w:sz w:val="9"/>
                <w:szCs w:val="9"/>
                <w:color w:val="auto"/>
              </w:rPr>
            </w:pPr>
          </w:p>
        </w:tc>
        <w:tc>
          <w:tcPr>
            <w:tcW w:w="1220" w:type="dxa"/>
            <w:vAlign w:val="bottom"/>
            <w:tcBorders>
              <w:top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700" w:type="dxa"/>
            <w:vAlign w:val="bottom"/>
            <w:tcBorders>
              <w:top w:val="single" w:sz="8" w:color="auto"/>
            </w:tcBorders>
          </w:tcPr>
          <w:p>
            <w:pPr>
              <w:spacing w:after="0"/>
              <w:rPr>
                <w:sz w:val="9"/>
                <w:szCs w:val="9"/>
                <w:color w:val="auto"/>
              </w:rPr>
            </w:pPr>
          </w:p>
        </w:tc>
        <w:tc>
          <w:tcPr>
            <w:tcW w:w="1200" w:type="dxa"/>
            <w:vAlign w:val="bottom"/>
            <w:tcBorders>
              <w:top w:val="single" w:sz="8" w:color="auto"/>
            </w:tcBorders>
          </w:tcPr>
          <w:p>
            <w:pPr>
              <w:spacing w:after="0"/>
              <w:rPr>
                <w:sz w:val="9"/>
                <w:szCs w:val="9"/>
                <w:color w:val="auto"/>
              </w:rPr>
            </w:pPr>
          </w:p>
        </w:tc>
        <w:tc>
          <w:tcPr>
            <w:tcW w:w="120" w:type="dxa"/>
            <w:vAlign w:val="bottom"/>
          </w:tcPr>
          <w:p>
            <w:pPr>
              <w:spacing w:after="0"/>
              <w:rPr>
                <w:sz w:val="9"/>
                <w:szCs w:val="9"/>
                <w:color w:val="auto"/>
              </w:rPr>
            </w:pPr>
          </w:p>
        </w:tc>
      </w:tr>
      <w:tr>
        <w:trPr>
          <w:trHeight w:val="155"/>
        </w:trPr>
        <w:tc>
          <w:tcPr>
            <w:tcW w:w="2060" w:type="dxa"/>
            <w:vAlign w:val="bottom"/>
          </w:tcPr>
          <w:p>
            <w:pPr>
              <w:spacing w:after="0"/>
              <w:rPr>
                <w:sz w:val="20"/>
                <w:szCs w:val="20"/>
                <w:color w:val="auto"/>
              </w:rPr>
            </w:pPr>
            <w:r>
              <w:rPr>
                <w:rFonts w:ascii="Times New Roman" w:cs="Times New Roman" w:eastAsia="Times New Roman" w:hAnsi="Times New Roman"/>
                <w:sz w:val="12"/>
                <w:szCs w:val="12"/>
                <w:color w:val="auto"/>
              </w:rPr>
              <w:t>2024,</w:t>
            </w:r>
          </w:p>
        </w:tc>
        <w:tc>
          <w:tcPr>
            <w:tcW w:w="2640" w:type="dxa"/>
            <w:vAlign w:val="bottom"/>
          </w:tcPr>
          <w:p>
            <w:pPr>
              <w:spacing w:after="0"/>
              <w:rPr>
                <w:sz w:val="13"/>
                <w:szCs w:val="13"/>
                <w:color w:val="auto"/>
              </w:rPr>
            </w:pPr>
          </w:p>
        </w:tc>
        <w:tc>
          <w:tcPr>
            <w:tcW w:w="23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560" w:type="dxa"/>
            <w:vAlign w:val="bottom"/>
            <w:gridSpan w:val="2"/>
          </w:tcPr>
          <w:p>
            <w:pPr>
              <w:jc w:val="right"/>
              <w:ind w:right="298"/>
              <w:spacing w:after="0"/>
              <w:rPr>
                <w:sz w:val="20"/>
                <w:szCs w:val="20"/>
                <w:color w:val="auto"/>
              </w:rPr>
            </w:pPr>
            <w:r>
              <w:rPr>
                <w:rFonts w:ascii="Times New Roman" w:cs="Times New Roman" w:eastAsia="Times New Roman" w:hAnsi="Times New Roman"/>
                <w:sz w:val="12"/>
                <w:szCs w:val="12"/>
                <w:color w:val="auto"/>
              </w:rPr>
              <w:t>29</w:t>
            </w:r>
          </w:p>
        </w:tc>
        <w:tc>
          <w:tcPr>
            <w:tcW w:w="700" w:type="dxa"/>
            <w:vAlign w:val="bottom"/>
          </w:tcPr>
          <w:p>
            <w:pPr>
              <w:spacing w:after="0"/>
              <w:rPr>
                <w:sz w:val="13"/>
                <w:szCs w:val="13"/>
                <w:color w:val="auto"/>
              </w:rPr>
            </w:pPr>
          </w:p>
        </w:tc>
        <w:tc>
          <w:tcPr>
            <w:tcW w:w="1320" w:type="dxa"/>
            <w:vAlign w:val="bottom"/>
            <w:gridSpan w:val="2"/>
          </w:tcPr>
          <w:p>
            <w:pPr>
              <w:jc w:val="right"/>
              <w:ind w:right="78"/>
              <w:spacing w:after="0"/>
              <w:rPr>
                <w:sz w:val="20"/>
                <w:szCs w:val="20"/>
                <w:color w:val="auto"/>
              </w:rPr>
            </w:pPr>
            <w:r>
              <w:rPr>
                <w:rFonts w:ascii="Times New Roman" w:cs="Times New Roman" w:eastAsia="Times New Roman" w:hAnsi="Times New Roman"/>
                <w:sz w:val="12"/>
                <w:szCs w:val="12"/>
                <w:color w:val="auto"/>
              </w:rPr>
              <w:t>29</w:t>
            </w:r>
          </w:p>
        </w:tc>
      </w:tr>
      <w:tr>
        <w:trPr>
          <w:trHeight w:val="153"/>
        </w:trPr>
        <w:tc>
          <w:tcPr>
            <w:tcW w:w="70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2"/>
                <w:szCs w:val="12"/>
                <w:color w:val="auto"/>
              </w:rPr>
              <w:t>Additional paid in capital</w:t>
            </w:r>
          </w:p>
        </w:tc>
        <w:tc>
          <w:tcPr>
            <w:tcW w:w="700" w:type="dxa"/>
            <w:vAlign w:val="bottom"/>
            <w:shd w:val="clear" w:color="auto" w:fill="CCEEFF"/>
          </w:tcPr>
          <w:p>
            <w:pPr>
              <w:spacing w:after="0"/>
              <w:rPr>
                <w:sz w:val="13"/>
                <w:szCs w:val="13"/>
                <w:color w:val="auto"/>
              </w:rPr>
            </w:pPr>
          </w:p>
        </w:tc>
        <w:tc>
          <w:tcPr>
            <w:tcW w:w="1560" w:type="dxa"/>
            <w:vAlign w:val="bottom"/>
            <w:gridSpan w:val="2"/>
            <w:shd w:val="clear" w:color="auto" w:fill="CCEEFF"/>
          </w:tcPr>
          <w:p>
            <w:pPr>
              <w:jc w:val="right"/>
              <w:ind w:right="298"/>
              <w:spacing w:after="0"/>
              <w:rPr>
                <w:sz w:val="20"/>
                <w:szCs w:val="20"/>
                <w:color w:val="auto"/>
              </w:rPr>
            </w:pPr>
            <w:r>
              <w:rPr>
                <w:rFonts w:ascii="Times New Roman" w:cs="Times New Roman" w:eastAsia="Times New Roman" w:hAnsi="Times New Roman"/>
                <w:sz w:val="12"/>
                <w:szCs w:val="12"/>
                <w:color w:val="auto"/>
              </w:rPr>
              <w:t>1,880,058</w:t>
            </w:r>
          </w:p>
        </w:tc>
        <w:tc>
          <w:tcPr>
            <w:tcW w:w="700" w:type="dxa"/>
            <w:vAlign w:val="bottom"/>
            <w:shd w:val="clear" w:color="auto" w:fill="CCEEFF"/>
          </w:tcPr>
          <w:p>
            <w:pPr>
              <w:spacing w:after="0"/>
              <w:rPr>
                <w:sz w:val="13"/>
                <w:szCs w:val="13"/>
                <w:color w:val="auto"/>
              </w:rPr>
            </w:pPr>
          </w:p>
        </w:tc>
        <w:tc>
          <w:tcPr>
            <w:tcW w:w="1320" w:type="dxa"/>
            <w:vAlign w:val="bottom"/>
            <w:gridSpan w:val="2"/>
            <w:shd w:val="clear" w:color="auto" w:fill="CCEEFF"/>
          </w:tcPr>
          <w:p>
            <w:pPr>
              <w:jc w:val="right"/>
              <w:ind w:right="78"/>
              <w:spacing w:after="0"/>
              <w:rPr>
                <w:sz w:val="20"/>
                <w:szCs w:val="20"/>
                <w:color w:val="auto"/>
              </w:rPr>
            </w:pPr>
            <w:r>
              <w:rPr>
                <w:rFonts w:ascii="Times New Roman" w:cs="Times New Roman" w:eastAsia="Times New Roman" w:hAnsi="Times New Roman"/>
                <w:sz w:val="12"/>
                <w:szCs w:val="12"/>
                <w:color w:val="auto"/>
              </w:rPr>
              <w:t>1,871,690</w:t>
            </w:r>
          </w:p>
        </w:tc>
      </w:tr>
      <w:tr>
        <w:trPr>
          <w:trHeight w:val="133"/>
        </w:trPr>
        <w:tc>
          <w:tcPr>
            <w:tcW w:w="2060" w:type="dxa"/>
            <w:vAlign w:val="bottom"/>
          </w:tcPr>
          <w:p>
            <w:pPr>
              <w:spacing w:after="0"/>
              <w:rPr>
                <w:sz w:val="11"/>
                <w:szCs w:val="11"/>
                <w:color w:val="auto"/>
              </w:rPr>
            </w:pPr>
          </w:p>
        </w:tc>
        <w:tc>
          <w:tcPr>
            <w:tcW w:w="2640" w:type="dxa"/>
            <w:vAlign w:val="bottom"/>
          </w:tcPr>
          <w:p>
            <w:pPr>
              <w:spacing w:after="0"/>
              <w:rPr>
                <w:sz w:val="11"/>
                <w:szCs w:val="11"/>
                <w:color w:val="auto"/>
              </w:rPr>
            </w:pPr>
          </w:p>
        </w:tc>
        <w:tc>
          <w:tcPr>
            <w:tcW w:w="2320" w:type="dxa"/>
            <w:vAlign w:val="bottom"/>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1220" w:type="dxa"/>
            <w:vAlign w:val="bottom"/>
            <w:tcBorders>
              <w:top w:val="single" w:sz="8" w:color="auto"/>
            </w:tcBorders>
          </w:tcPr>
          <w:p>
            <w:pPr>
              <w:spacing w:after="0"/>
              <w:rPr>
                <w:sz w:val="11"/>
                <w:szCs w:val="11"/>
                <w:color w:val="auto"/>
              </w:rPr>
            </w:pPr>
          </w:p>
        </w:tc>
        <w:tc>
          <w:tcPr>
            <w:tcW w:w="340" w:type="dxa"/>
            <w:vAlign w:val="bottom"/>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120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r>
      <w:tr>
        <w:trPr>
          <w:trHeight w:val="144"/>
        </w:trPr>
        <w:tc>
          <w:tcPr>
            <w:tcW w:w="7020" w:type="dxa"/>
            <w:vAlign w:val="bottom"/>
            <w:gridSpan w:val="3"/>
            <w:shd w:val="clear" w:color="auto" w:fill="CCEEFF"/>
          </w:tcPr>
          <w:p>
            <w:pPr>
              <w:ind w:left="240"/>
              <w:spacing w:after="0"/>
              <w:rPr>
                <w:sz w:val="20"/>
                <w:szCs w:val="20"/>
                <w:color w:val="auto"/>
              </w:rPr>
            </w:pPr>
            <w:r>
              <w:rPr>
                <w:rFonts w:ascii="Times New Roman" w:cs="Times New Roman" w:eastAsia="Times New Roman" w:hAnsi="Times New Roman"/>
                <w:sz w:val="12"/>
                <w:szCs w:val="12"/>
                <w:color w:val="auto"/>
              </w:rPr>
              <w:t>TOTAL CAPITAL CONTRIBUTED</w:t>
            </w:r>
          </w:p>
        </w:tc>
        <w:tc>
          <w:tcPr>
            <w:tcW w:w="700" w:type="dxa"/>
            <w:vAlign w:val="bottom"/>
            <w:shd w:val="clear" w:color="auto" w:fill="CCEEFF"/>
          </w:tcPr>
          <w:p>
            <w:pPr>
              <w:spacing w:after="0"/>
              <w:rPr>
                <w:sz w:val="12"/>
                <w:szCs w:val="12"/>
                <w:color w:val="auto"/>
              </w:rPr>
            </w:pPr>
          </w:p>
        </w:tc>
        <w:tc>
          <w:tcPr>
            <w:tcW w:w="1560" w:type="dxa"/>
            <w:vAlign w:val="bottom"/>
            <w:gridSpan w:val="2"/>
            <w:shd w:val="clear" w:color="auto" w:fill="CCEEFF"/>
          </w:tcPr>
          <w:p>
            <w:pPr>
              <w:jc w:val="right"/>
              <w:ind w:right="298"/>
              <w:spacing w:after="0"/>
              <w:rPr>
                <w:sz w:val="20"/>
                <w:szCs w:val="20"/>
                <w:color w:val="auto"/>
              </w:rPr>
            </w:pPr>
            <w:r>
              <w:rPr>
                <w:rFonts w:ascii="Times New Roman" w:cs="Times New Roman" w:eastAsia="Times New Roman" w:hAnsi="Times New Roman"/>
                <w:sz w:val="12"/>
                <w:szCs w:val="12"/>
                <w:color w:val="auto"/>
              </w:rPr>
              <w:t>25,063,176</w:t>
            </w:r>
          </w:p>
        </w:tc>
        <w:tc>
          <w:tcPr>
            <w:tcW w:w="70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78"/>
              <w:spacing w:after="0"/>
              <w:rPr>
                <w:sz w:val="20"/>
                <w:szCs w:val="20"/>
                <w:color w:val="auto"/>
              </w:rPr>
            </w:pPr>
            <w:r>
              <w:rPr>
                <w:rFonts w:ascii="Times New Roman" w:cs="Times New Roman" w:eastAsia="Times New Roman" w:hAnsi="Times New Roman"/>
                <w:sz w:val="12"/>
                <w:szCs w:val="12"/>
                <w:color w:val="auto"/>
              </w:rPr>
              <w:t>25,054,808</w:t>
            </w:r>
          </w:p>
        </w:tc>
      </w:tr>
      <w:tr>
        <w:trPr>
          <w:trHeight w:val="144"/>
        </w:trPr>
        <w:tc>
          <w:tcPr>
            <w:tcW w:w="206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53"/>
        </w:trPr>
        <w:tc>
          <w:tcPr>
            <w:tcW w:w="70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2"/>
                <w:szCs w:val="12"/>
                <w:color w:val="auto"/>
              </w:rPr>
              <w:t>Accumulated deficit</w:t>
            </w:r>
          </w:p>
        </w:tc>
        <w:tc>
          <w:tcPr>
            <w:tcW w:w="700" w:type="dxa"/>
            <w:vAlign w:val="bottom"/>
            <w:shd w:val="clear" w:color="auto" w:fill="CCEEFF"/>
          </w:tcPr>
          <w:p>
            <w:pPr>
              <w:spacing w:after="0"/>
              <w:rPr>
                <w:sz w:val="13"/>
                <w:szCs w:val="13"/>
                <w:color w:val="auto"/>
              </w:rPr>
            </w:pPr>
          </w:p>
        </w:tc>
        <w:tc>
          <w:tcPr>
            <w:tcW w:w="1560" w:type="dxa"/>
            <w:vAlign w:val="bottom"/>
            <w:gridSpan w:val="2"/>
            <w:shd w:val="clear" w:color="auto" w:fill="CCEEFF"/>
          </w:tcPr>
          <w:p>
            <w:pPr>
              <w:jc w:val="right"/>
              <w:ind w:right="258"/>
              <w:spacing w:after="0"/>
              <w:rPr>
                <w:sz w:val="20"/>
                <w:szCs w:val="20"/>
                <w:color w:val="auto"/>
              </w:rPr>
            </w:pPr>
            <w:r>
              <w:rPr>
                <w:rFonts w:ascii="Times New Roman" w:cs="Times New Roman" w:eastAsia="Times New Roman" w:hAnsi="Times New Roman"/>
                <w:sz w:val="12"/>
                <w:szCs w:val="12"/>
                <w:color w:val="auto"/>
              </w:rPr>
              <w:t>(26,368,353)</w:t>
            </w:r>
          </w:p>
        </w:tc>
        <w:tc>
          <w:tcPr>
            <w:tcW w:w="700" w:type="dxa"/>
            <w:vAlign w:val="bottom"/>
            <w:shd w:val="clear" w:color="auto" w:fill="CCEEFF"/>
          </w:tcPr>
          <w:p>
            <w:pPr>
              <w:spacing w:after="0"/>
              <w:rPr>
                <w:sz w:val="13"/>
                <w:szCs w:val="13"/>
                <w:color w:val="auto"/>
              </w:rPr>
            </w:pPr>
          </w:p>
        </w:tc>
        <w:tc>
          <w:tcPr>
            <w:tcW w:w="1320" w:type="dxa"/>
            <w:vAlign w:val="bottom"/>
            <w:gridSpan w:val="2"/>
            <w:shd w:val="clear" w:color="auto" w:fill="CCEEFF"/>
          </w:tcPr>
          <w:p>
            <w:pPr>
              <w:jc w:val="right"/>
              <w:ind w:right="38"/>
              <w:spacing w:after="0"/>
              <w:rPr>
                <w:sz w:val="20"/>
                <w:szCs w:val="20"/>
                <w:color w:val="auto"/>
              </w:rPr>
            </w:pPr>
            <w:r>
              <w:rPr>
                <w:rFonts w:ascii="Times New Roman" w:cs="Times New Roman" w:eastAsia="Times New Roman" w:hAnsi="Times New Roman"/>
                <w:sz w:val="12"/>
                <w:szCs w:val="12"/>
                <w:color w:val="auto"/>
              </w:rPr>
              <w:t>(26,403,727)</w:t>
            </w:r>
          </w:p>
        </w:tc>
      </w:tr>
      <w:tr>
        <w:trPr>
          <w:trHeight w:val="149"/>
        </w:trPr>
        <w:tc>
          <w:tcPr>
            <w:tcW w:w="7020" w:type="dxa"/>
            <w:vAlign w:val="bottom"/>
            <w:tcBorders>
              <w:bottom w:val="single" w:sz="8" w:color="CCEEFF"/>
            </w:tcBorders>
            <w:gridSpan w:val="3"/>
          </w:tcPr>
          <w:p>
            <w:pPr>
              <w:ind w:left="240"/>
              <w:spacing w:after="0" w:line="135" w:lineRule="exact"/>
              <w:rPr>
                <w:sz w:val="20"/>
                <w:szCs w:val="20"/>
                <w:color w:val="auto"/>
              </w:rPr>
            </w:pPr>
            <w:r>
              <w:rPr>
                <w:rFonts w:ascii="Times New Roman" w:cs="Times New Roman" w:eastAsia="Times New Roman" w:hAnsi="Times New Roman"/>
                <w:sz w:val="12"/>
                <w:szCs w:val="12"/>
                <w:color w:val="auto"/>
              </w:rPr>
              <w:t>TOTAL STOCKHOLDERS’ DEFICIT</w:t>
            </w:r>
          </w:p>
        </w:tc>
        <w:tc>
          <w:tcPr>
            <w:tcW w:w="700" w:type="dxa"/>
            <w:vAlign w:val="bottom"/>
            <w:tcBorders>
              <w:top w:val="single" w:sz="8" w:color="auto"/>
              <w:bottom w:val="single" w:sz="8" w:color="auto"/>
            </w:tcBorders>
          </w:tcPr>
          <w:p>
            <w:pPr>
              <w:spacing w:after="0"/>
              <w:rPr>
                <w:sz w:val="12"/>
                <w:szCs w:val="12"/>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(1,305,177</w:t>
            </w:r>
          </w:p>
        </w:tc>
        <w:tc>
          <w:tcPr>
            <w:tcW w:w="340" w:type="dxa"/>
            <w:vAlign w:val="bottom"/>
            <w:tcBorders>
              <w:bottom w:val="single" w:sz="8" w:color="CCEEFF"/>
            </w:tcBorders>
          </w:tcPr>
          <w:p>
            <w:pPr>
              <w:jc w:val="right"/>
              <w:ind w:right="258"/>
              <w:spacing w:after="0"/>
              <w:rPr>
                <w:sz w:val="20"/>
                <w:szCs w:val="20"/>
                <w:color w:val="auto"/>
              </w:rPr>
            </w:pPr>
            <w:r>
              <w:rPr>
                <w:rFonts w:ascii="Times New Roman" w:cs="Times New Roman" w:eastAsia="Times New Roman" w:hAnsi="Times New Roman"/>
                <w:sz w:val="8"/>
                <w:szCs w:val="8"/>
                <w:color w:val="auto"/>
                <w:w w:val="73"/>
              </w:rPr>
              <w:t>)</w:t>
            </w:r>
          </w:p>
        </w:tc>
        <w:tc>
          <w:tcPr>
            <w:tcW w:w="700" w:type="dxa"/>
            <w:vAlign w:val="bottom"/>
            <w:tcBorders>
              <w:top w:val="single" w:sz="8" w:color="auto"/>
              <w:bottom w:val="single" w:sz="8" w:color="auto"/>
            </w:tcBorders>
          </w:tcPr>
          <w:p>
            <w:pPr>
              <w:spacing w:after="0"/>
              <w:rPr>
                <w:sz w:val="12"/>
                <w:szCs w:val="12"/>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(1,348,919</w:t>
            </w:r>
          </w:p>
        </w:tc>
        <w:tc>
          <w:tcPr>
            <w:tcW w:w="120" w:type="dxa"/>
            <w:vAlign w:val="bottom"/>
            <w:tcBorders>
              <w:bottom w:val="single" w:sz="8" w:color="CCEEFF"/>
            </w:tcBorders>
          </w:tcPr>
          <w:p>
            <w:pPr>
              <w:jc w:val="right"/>
              <w:ind w:right="38"/>
              <w:spacing w:after="0"/>
              <w:rPr>
                <w:sz w:val="20"/>
                <w:szCs w:val="20"/>
                <w:color w:val="auto"/>
              </w:rPr>
            </w:pPr>
            <w:r>
              <w:rPr>
                <w:rFonts w:ascii="Times New Roman" w:cs="Times New Roman" w:eastAsia="Times New Roman" w:hAnsi="Times New Roman"/>
                <w:sz w:val="8"/>
                <w:szCs w:val="8"/>
                <w:color w:val="auto"/>
                <w:w w:val="73"/>
              </w:rPr>
              <w:t>)</w:t>
            </w:r>
          </w:p>
        </w:tc>
      </w:tr>
      <w:tr>
        <w:trPr>
          <w:trHeight w:val="164"/>
        </w:trPr>
        <w:tc>
          <w:tcPr>
            <w:tcW w:w="7020" w:type="dxa"/>
            <w:vAlign w:val="bottom"/>
            <w:tcBorders>
              <w:bottom w:val="single" w:sz="8" w:color="CCEEFF"/>
            </w:tcBorders>
            <w:gridSpan w:val="3"/>
            <w:shd w:val="clear" w:color="auto" w:fill="CCEEFF"/>
          </w:tcPr>
          <w:p>
            <w:pPr>
              <w:ind w:left="240"/>
              <w:spacing w:after="0" w:line="137" w:lineRule="exact"/>
              <w:rPr>
                <w:sz w:val="20"/>
                <w:szCs w:val="20"/>
                <w:color w:val="auto"/>
              </w:rPr>
            </w:pPr>
            <w:r>
              <w:rPr>
                <w:rFonts w:ascii="Times New Roman" w:cs="Times New Roman" w:eastAsia="Times New Roman" w:hAnsi="Times New Roman"/>
                <w:sz w:val="12"/>
                <w:szCs w:val="12"/>
                <w:color w:val="auto"/>
              </w:rPr>
              <w:t>TOTAL LIABILITIES AND STOCKHOLDERS’ DEFICIT</w:t>
            </w:r>
          </w:p>
        </w:tc>
        <w:tc>
          <w:tcPr>
            <w:tcW w:w="700" w:type="dxa"/>
            <w:vAlign w:val="bottom"/>
            <w:tcBorders>
              <w:bottom w:val="single" w:sz="8" w:color="auto"/>
            </w:tcBorders>
            <w:shd w:val="clear" w:color="auto" w:fill="CCEEFF"/>
          </w:tcPr>
          <w:p>
            <w:pPr>
              <w:jc w:val="right"/>
              <w:ind w:right="586"/>
              <w:spacing w:after="0"/>
              <w:rPr>
                <w:sz w:val="20"/>
                <w:szCs w:val="20"/>
                <w:color w:val="auto"/>
              </w:rPr>
            </w:pPr>
            <w:r>
              <w:rPr>
                <w:rFonts w:ascii="Times New Roman" w:cs="Times New Roman" w:eastAsia="Times New Roman" w:hAnsi="Times New Roman"/>
                <w:sz w:val="11"/>
                <w:szCs w:val="11"/>
                <w:color w:val="auto"/>
                <w:w w:val="71"/>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2,524,106</w:t>
            </w:r>
          </w:p>
        </w:tc>
        <w:tc>
          <w:tcPr>
            <w:tcW w:w="340" w:type="dxa"/>
            <w:vAlign w:val="bottom"/>
            <w:tcBorders>
              <w:bottom w:val="single" w:sz="8" w:color="CCEEFF"/>
            </w:tcBorders>
            <w:shd w:val="clear" w:color="auto" w:fill="CCEEFF"/>
          </w:tcPr>
          <w:p>
            <w:pPr>
              <w:spacing w:after="0"/>
              <w:rPr>
                <w:sz w:val="14"/>
                <w:szCs w:val="14"/>
                <w:color w:val="auto"/>
              </w:rPr>
            </w:pPr>
          </w:p>
        </w:tc>
        <w:tc>
          <w:tcPr>
            <w:tcW w:w="700" w:type="dxa"/>
            <w:vAlign w:val="bottom"/>
            <w:tcBorders>
              <w:bottom w:val="single" w:sz="8" w:color="auto"/>
            </w:tcBorders>
            <w:shd w:val="clear" w:color="auto" w:fill="CCEEFF"/>
          </w:tcPr>
          <w:p>
            <w:pPr>
              <w:jc w:val="right"/>
              <w:ind w:right="586"/>
              <w:spacing w:after="0"/>
              <w:rPr>
                <w:sz w:val="20"/>
                <w:szCs w:val="20"/>
                <w:color w:val="auto"/>
              </w:rPr>
            </w:pPr>
            <w:r>
              <w:rPr>
                <w:rFonts w:ascii="Times New Roman" w:cs="Times New Roman" w:eastAsia="Times New Roman" w:hAnsi="Times New Roman"/>
                <w:sz w:val="11"/>
                <w:szCs w:val="11"/>
                <w:color w:val="auto"/>
                <w:w w:val="71"/>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3,297,319</w:t>
            </w:r>
          </w:p>
        </w:tc>
        <w:tc>
          <w:tcPr>
            <w:tcW w:w="120" w:type="dxa"/>
            <w:vAlign w:val="bottom"/>
            <w:tcBorders>
              <w:bottom w:val="single" w:sz="8" w:color="CCEEFF"/>
            </w:tcBorders>
            <w:shd w:val="clear" w:color="auto" w:fill="CCEEFF"/>
          </w:tcPr>
          <w:p>
            <w:pPr>
              <w:spacing w:after="0"/>
              <w:rPr>
                <w:sz w:val="14"/>
                <w:szCs w:val="14"/>
                <w:color w:val="auto"/>
              </w:rPr>
            </w:pPr>
          </w:p>
        </w:tc>
      </w:tr>
      <w:tr>
        <w:trPr>
          <w:trHeight w:val="275"/>
        </w:trPr>
        <w:tc>
          <w:tcPr>
            <w:tcW w:w="7020" w:type="dxa"/>
            <w:vAlign w:val="bottom"/>
            <w:tcBorders>
              <w:bottom w:val="single" w:sz="8" w:color="auto"/>
            </w:tcBorders>
            <w:gridSpan w:val="3"/>
          </w:tcPr>
          <w:p>
            <w:pPr>
              <w:ind w:left="5620"/>
              <w:spacing w:after="0"/>
              <w:rPr>
                <w:sz w:val="20"/>
                <w:szCs w:val="20"/>
                <w:color w:val="auto"/>
              </w:rPr>
            </w:pPr>
            <w:r>
              <w:rPr>
                <w:rFonts w:ascii="Times New Roman" w:cs="Times New Roman" w:eastAsia="Times New Roman" w:hAnsi="Times New Roman"/>
                <w:sz w:val="12"/>
                <w:szCs w:val="12"/>
                <w:color w:val="auto"/>
              </w:rPr>
              <w:t>1</w:t>
            </w:r>
          </w:p>
        </w:tc>
        <w:tc>
          <w:tcPr>
            <w:tcW w:w="70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70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r>
    </w:tbl>
    <w:p>
      <w:pPr>
        <w:sectPr>
          <w:pgSz w:w="11900" w:h="16838" w:orient="portrait"/>
          <w:cols w:equalWidth="0" w:num="1">
            <w:col w:w="11300"/>
          </w:cols>
          <w:pgMar w:left="300" w:top="269" w:right="299" w:bottom="1440" w:gutter="0" w:footer="0" w:header="0"/>
          <w:type w:val="continuous"/>
        </w:sectPr>
      </w:pPr>
    </w:p>
    <w:bookmarkStart w:id="34" w:name="page35"/>
    <w:bookmarkEnd w:id="3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3040" w:type="dxa"/>
            <w:vAlign w:val="bottom"/>
          </w:tcPr>
          <w:p>
            <w:pPr>
              <w:spacing w:after="0"/>
              <w:rPr>
                <w:sz w:val="13"/>
                <w:szCs w:val="13"/>
                <w:color w:val="auto"/>
              </w:rPr>
            </w:pPr>
          </w:p>
        </w:tc>
        <w:tc>
          <w:tcPr>
            <w:tcW w:w="5140" w:type="dxa"/>
            <w:vAlign w:val="bottom"/>
            <w:gridSpan w:val="2"/>
          </w:tcPr>
          <w:p>
            <w:pPr>
              <w:jc w:val="center"/>
              <w:ind w:left="20"/>
              <w:spacing w:after="0"/>
              <w:rPr>
                <w:sz w:val="20"/>
                <w:szCs w:val="20"/>
                <w:color w:val="auto"/>
              </w:rPr>
            </w:pPr>
            <w:r>
              <w:rPr>
                <w:rFonts w:ascii="Times New Roman" w:cs="Times New Roman" w:eastAsia="Times New Roman" w:hAnsi="Times New Roman"/>
                <w:sz w:val="12"/>
                <w:szCs w:val="12"/>
                <w:b w:val="1"/>
                <w:bCs w:val="1"/>
                <w:color w:val="auto"/>
              </w:rPr>
              <w:t>CLEARDOC, INC. AND SUBSIDIARY</w:t>
            </w:r>
          </w:p>
        </w:tc>
        <w:tc>
          <w:tcPr>
            <w:tcW w:w="5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288"/>
        </w:trPr>
        <w:tc>
          <w:tcPr>
            <w:tcW w:w="3040" w:type="dxa"/>
            <w:vAlign w:val="bottom"/>
          </w:tcPr>
          <w:p>
            <w:pPr>
              <w:spacing w:after="0"/>
              <w:rPr>
                <w:sz w:val="24"/>
                <w:szCs w:val="24"/>
                <w:color w:val="auto"/>
              </w:rPr>
            </w:pPr>
          </w:p>
        </w:tc>
        <w:tc>
          <w:tcPr>
            <w:tcW w:w="5140" w:type="dxa"/>
            <w:vAlign w:val="bottom"/>
            <w:gridSpan w:val="2"/>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UNAUDITED CONSOLIDATED STATEMENT OF OPERATION</w:t>
            </w:r>
          </w:p>
        </w:tc>
        <w:tc>
          <w:tcPr>
            <w:tcW w:w="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88"/>
        </w:trPr>
        <w:tc>
          <w:tcPr>
            <w:tcW w:w="3040" w:type="dxa"/>
            <w:vAlign w:val="bottom"/>
          </w:tcPr>
          <w:p>
            <w:pPr>
              <w:spacing w:after="0"/>
              <w:rPr>
                <w:sz w:val="24"/>
                <w:szCs w:val="24"/>
                <w:color w:val="auto"/>
              </w:rPr>
            </w:pPr>
          </w:p>
        </w:tc>
        <w:tc>
          <w:tcPr>
            <w:tcW w:w="5140" w:type="dxa"/>
            <w:vAlign w:val="bottom"/>
            <w:gridSpan w:val="2"/>
          </w:tcPr>
          <w:p>
            <w:pPr>
              <w:jc w:val="center"/>
              <w:ind w:left="20"/>
              <w:spacing w:after="0"/>
              <w:rPr>
                <w:sz w:val="20"/>
                <w:szCs w:val="20"/>
                <w:color w:val="auto"/>
              </w:rPr>
            </w:pPr>
            <w:r>
              <w:rPr>
                <w:rFonts w:ascii="Times New Roman" w:cs="Times New Roman" w:eastAsia="Times New Roman" w:hAnsi="Times New Roman"/>
                <w:sz w:val="12"/>
                <w:szCs w:val="12"/>
                <w:color w:val="auto"/>
              </w:rPr>
              <w:t>Period Ended September 30, 2024 (Unaudited)</w:t>
            </w:r>
          </w:p>
        </w:tc>
        <w:tc>
          <w:tcPr>
            <w:tcW w:w="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97"/>
        </w:trPr>
        <w:tc>
          <w:tcPr>
            <w:tcW w:w="304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September 30, 2024</w:t>
            </w:r>
          </w:p>
        </w:tc>
        <w:tc>
          <w:tcPr>
            <w:tcW w:w="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940" w:type="dxa"/>
            <w:vAlign w:val="bottom"/>
            <w:gridSpan w:val="2"/>
          </w:tcPr>
          <w:p>
            <w:pPr>
              <w:jc w:val="right"/>
              <w:ind w:right="638"/>
              <w:spacing w:after="0"/>
              <w:rPr>
                <w:sz w:val="20"/>
                <w:szCs w:val="20"/>
                <w:color w:val="auto"/>
              </w:rPr>
            </w:pPr>
            <w:r>
              <w:rPr>
                <w:rFonts w:ascii="Times New Roman" w:cs="Times New Roman" w:eastAsia="Times New Roman" w:hAnsi="Times New Roman"/>
                <w:sz w:val="12"/>
                <w:szCs w:val="12"/>
                <w:b w:val="1"/>
                <w:bCs w:val="1"/>
                <w:color w:val="auto"/>
              </w:rPr>
              <w:t>September 30, 2023</w:t>
            </w:r>
          </w:p>
        </w:tc>
      </w:tr>
      <w:tr>
        <w:trPr>
          <w:trHeight w:val="133"/>
        </w:trPr>
        <w:tc>
          <w:tcPr>
            <w:tcW w:w="3040" w:type="dxa"/>
            <w:vAlign w:val="bottom"/>
            <w:tcBorders>
              <w:top w:val="single" w:sz="8" w:color="CCEEFF"/>
            </w:tcBorders>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NET REVENUE</w:t>
            </w:r>
          </w:p>
        </w:tc>
        <w:tc>
          <w:tcPr>
            <w:tcW w:w="3520" w:type="dxa"/>
            <w:vAlign w:val="bottom"/>
            <w:tcBorders>
              <w:top w:val="single" w:sz="8" w:color="CCEEFF"/>
            </w:tcBorders>
            <w:shd w:val="clear" w:color="auto" w:fill="CCEEFF"/>
          </w:tcPr>
          <w:p>
            <w:pPr>
              <w:spacing w:after="0"/>
              <w:rPr>
                <w:sz w:val="11"/>
                <w:szCs w:val="11"/>
                <w:color w:val="auto"/>
              </w:rPr>
            </w:pPr>
          </w:p>
        </w:tc>
        <w:tc>
          <w:tcPr>
            <w:tcW w:w="1620" w:type="dxa"/>
            <w:vAlign w:val="bottom"/>
            <w:tcBorders>
              <w:top w:val="single" w:sz="8" w:color="auto"/>
            </w:tcBorders>
            <w:shd w:val="clear" w:color="auto" w:fill="CCEEFF"/>
          </w:tcPr>
          <w:p>
            <w:pPr>
              <w:jc w:val="right"/>
              <w:ind w:right="1504"/>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4,770,225</w:t>
            </w:r>
          </w:p>
        </w:tc>
        <w:tc>
          <w:tcPr>
            <w:tcW w:w="320" w:type="dxa"/>
            <w:vAlign w:val="bottom"/>
            <w:tcBorders>
              <w:top w:val="single" w:sz="8" w:color="CCEEFF"/>
            </w:tcBorders>
            <w:shd w:val="clear" w:color="auto" w:fill="CCEEFF"/>
          </w:tcPr>
          <w:p>
            <w:pPr>
              <w:spacing w:after="0"/>
              <w:rPr>
                <w:sz w:val="11"/>
                <w:szCs w:val="11"/>
                <w:color w:val="auto"/>
              </w:rPr>
            </w:pPr>
          </w:p>
        </w:tc>
        <w:tc>
          <w:tcPr>
            <w:tcW w:w="320" w:type="dxa"/>
            <w:vAlign w:val="bottom"/>
            <w:tcBorders>
              <w:top w:val="single" w:sz="8" w:color="auto"/>
            </w:tcBorders>
            <w:shd w:val="clear" w:color="auto" w:fill="CCEEFF"/>
          </w:tcPr>
          <w:p>
            <w:pPr>
              <w:jc w:val="right"/>
              <w:ind w:right="206"/>
              <w:spacing w:after="0"/>
              <w:rPr>
                <w:sz w:val="20"/>
                <w:szCs w:val="20"/>
                <w:color w:val="auto"/>
              </w:rPr>
            </w:pPr>
            <w:r>
              <w:rPr>
                <w:rFonts w:ascii="Times New Roman" w:cs="Times New Roman" w:eastAsia="Times New Roman" w:hAnsi="Times New Roman"/>
                <w:sz w:val="11"/>
                <w:szCs w:val="11"/>
                <w:color w:val="auto"/>
                <w:w w:val="71"/>
              </w:rPr>
              <w:t>$</w:t>
            </w:r>
          </w:p>
        </w:tc>
        <w:tc>
          <w:tcPr>
            <w:tcW w:w="182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5,741,637</w:t>
            </w:r>
          </w:p>
        </w:tc>
        <w:tc>
          <w:tcPr>
            <w:tcW w:w="120" w:type="dxa"/>
            <w:vAlign w:val="bottom"/>
            <w:tcBorders>
              <w:top w:val="single" w:sz="8" w:color="CCEEFF"/>
            </w:tcBorders>
            <w:shd w:val="clear" w:color="auto" w:fill="CCEEFF"/>
          </w:tcPr>
          <w:p>
            <w:pPr>
              <w:spacing w:after="0"/>
              <w:rPr>
                <w:sz w:val="11"/>
                <w:szCs w:val="11"/>
                <w:color w:val="auto"/>
              </w:rPr>
            </w:pPr>
          </w:p>
        </w:tc>
      </w:tr>
      <w:tr>
        <w:trPr>
          <w:trHeight w:val="153"/>
        </w:trPr>
        <w:tc>
          <w:tcPr>
            <w:tcW w:w="3040" w:type="dxa"/>
            <w:vAlign w:val="bottom"/>
          </w:tcPr>
          <w:p>
            <w:pPr>
              <w:spacing w:after="0"/>
              <w:rPr>
                <w:sz w:val="20"/>
                <w:szCs w:val="20"/>
                <w:color w:val="auto"/>
              </w:rPr>
            </w:pPr>
            <w:r>
              <w:rPr>
                <w:rFonts w:ascii="Times New Roman" w:cs="Times New Roman" w:eastAsia="Times New Roman" w:hAnsi="Times New Roman"/>
                <w:sz w:val="12"/>
                <w:szCs w:val="12"/>
                <w:color w:val="auto"/>
              </w:rPr>
              <w:t>COST OF REVENUE</w:t>
            </w:r>
          </w:p>
        </w:tc>
        <w:tc>
          <w:tcPr>
            <w:tcW w:w="352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860" w:type="dxa"/>
            <w:vAlign w:val="bottom"/>
            <w:gridSpan w:val="2"/>
          </w:tcPr>
          <w:p>
            <w:pPr>
              <w:jc w:val="right"/>
              <w:ind w:right="320"/>
              <w:spacing w:after="0"/>
              <w:rPr>
                <w:sz w:val="20"/>
                <w:szCs w:val="20"/>
                <w:color w:val="auto"/>
              </w:rPr>
            </w:pPr>
            <w:r>
              <w:rPr>
                <w:rFonts w:ascii="Times New Roman" w:cs="Times New Roman" w:eastAsia="Times New Roman" w:hAnsi="Times New Roman"/>
                <w:sz w:val="12"/>
                <w:szCs w:val="12"/>
                <w:color w:val="auto"/>
              </w:rPr>
              <w:t>581,540</w:t>
            </w:r>
          </w:p>
        </w:tc>
        <w:tc>
          <w:tcPr>
            <w:tcW w:w="320" w:type="dxa"/>
            <w:vAlign w:val="bottom"/>
          </w:tcPr>
          <w:p>
            <w:pPr>
              <w:spacing w:after="0"/>
              <w:rPr>
                <w:sz w:val="13"/>
                <w:szCs w:val="13"/>
                <w:color w:val="auto"/>
              </w:rPr>
            </w:pPr>
          </w:p>
        </w:tc>
        <w:tc>
          <w:tcPr>
            <w:tcW w:w="1940" w:type="dxa"/>
            <w:vAlign w:val="bottom"/>
            <w:gridSpan w:val="2"/>
          </w:tcPr>
          <w:p>
            <w:pPr>
              <w:jc w:val="right"/>
              <w:ind w:right="78"/>
              <w:spacing w:after="0"/>
              <w:rPr>
                <w:sz w:val="20"/>
                <w:szCs w:val="20"/>
                <w:color w:val="auto"/>
              </w:rPr>
            </w:pPr>
            <w:r>
              <w:rPr>
                <w:rFonts w:ascii="Times New Roman" w:cs="Times New Roman" w:eastAsia="Times New Roman" w:hAnsi="Times New Roman"/>
                <w:sz w:val="12"/>
                <w:szCs w:val="12"/>
                <w:color w:val="auto"/>
              </w:rPr>
              <w:t>743,398</w:t>
            </w:r>
          </w:p>
        </w:tc>
      </w:tr>
      <w:tr>
        <w:trPr>
          <w:trHeight w:val="133"/>
        </w:trPr>
        <w:tc>
          <w:tcPr>
            <w:tcW w:w="3040" w:type="dxa"/>
            <w:vAlign w:val="bottom"/>
            <w:tcBorders>
              <w:top w:val="single" w:sz="8" w:color="CCEEFF"/>
            </w:tcBorders>
            <w:shd w:val="clear" w:color="auto" w:fill="CCEEFF"/>
          </w:tcPr>
          <w:p>
            <w:pPr>
              <w:ind w:left="200"/>
              <w:spacing w:after="0" w:line="133" w:lineRule="exact"/>
              <w:rPr>
                <w:sz w:val="20"/>
                <w:szCs w:val="20"/>
                <w:color w:val="auto"/>
              </w:rPr>
            </w:pPr>
            <w:r>
              <w:rPr>
                <w:rFonts w:ascii="Times New Roman" w:cs="Times New Roman" w:eastAsia="Times New Roman" w:hAnsi="Times New Roman"/>
                <w:sz w:val="12"/>
                <w:szCs w:val="12"/>
                <w:color w:val="auto"/>
              </w:rPr>
              <w:t>GROSS PROFIT</w:t>
            </w:r>
          </w:p>
        </w:tc>
        <w:tc>
          <w:tcPr>
            <w:tcW w:w="3520" w:type="dxa"/>
            <w:vAlign w:val="bottom"/>
            <w:tcBorders>
              <w:top w:val="single" w:sz="8" w:color="CCEEFF"/>
            </w:tcBorders>
            <w:shd w:val="clear" w:color="auto" w:fill="CCEEFF"/>
          </w:tcPr>
          <w:p>
            <w:pPr>
              <w:spacing w:after="0"/>
              <w:rPr>
                <w:sz w:val="11"/>
                <w:szCs w:val="11"/>
                <w:color w:val="auto"/>
              </w:rPr>
            </w:pPr>
          </w:p>
        </w:tc>
        <w:tc>
          <w:tcPr>
            <w:tcW w:w="1620" w:type="dxa"/>
            <w:vAlign w:val="bottom"/>
            <w:tcBorders>
              <w:top w:val="single" w:sz="8" w:color="auto"/>
            </w:tcBorders>
            <w:shd w:val="clear" w:color="auto" w:fill="CCEEFF"/>
          </w:tcPr>
          <w:p>
            <w:pPr>
              <w:spacing w:after="0"/>
              <w:rPr>
                <w:sz w:val="11"/>
                <w:szCs w:val="11"/>
                <w:color w:val="auto"/>
              </w:rPr>
            </w:pPr>
          </w:p>
        </w:tc>
        <w:tc>
          <w:tcPr>
            <w:tcW w:w="54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4,188,685</w:t>
            </w:r>
          </w:p>
        </w:tc>
        <w:tc>
          <w:tcPr>
            <w:tcW w:w="320" w:type="dxa"/>
            <w:vAlign w:val="bottom"/>
            <w:tcBorders>
              <w:top w:val="single" w:sz="8" w:color="CCEEFF"/>
            </w:tcBorders>
            <w:shd w:val="clear" w:color="auto" w:fill="CCEEFF"/>
          </w:tcPr>
          <w:p>
            <w:pPr>
              <w:spacing w:after="0"/>
              <w:rPr>
                <w:sz w:val="11"/>
                <w:szCs w:val="11"/>
                <w:color w:val="auto"/>
              </w:rPr>
            </w:pPr>
          </w:p>
        </w:tc>
        <w:tc>
          <w:tcPr>
            <w:tcW w:w="320" w:type="dxa"/>
            <w:vAlign w:val="bottom"/>
            <w:tcBorders>
              <w:top w:val="single" w:sz="8" w:color="auto"/>
            </w:tcBorders>
            <w:shd w:val="clear" w:color="auto" w:fill="CCEEFF"/>
          </w:tcPr>
          <w:p>
            <w:pPr>
              <w:spacing w:after="0"/>
              <w:rPr>
                <w:sz w:val="11"/>
                <w:szCs w:val="11"/>
                <w:color w:val="auto"/>
              </w:rPr>
            </w:pPr>
          </w:p>
        </w:tc>
        <w:tc>
          <w:tcPr>
            <w:tcW w:w="182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4,998,239</w:t>
            </w:r>
          </w:p>
        </w:tc>
        <w:tc>
          <w:tcPr>
            <w:tcW w:w="120" w:type="dxa"/>
            <w:vAlign w:val="bottom"/>
            <w:tcBorders>
              <w:top w:val="single" w:sz="8" w:color="CCEEFF"/>
            </w:tcBorders>
            <w:shd w:val="clear" w:color="auto" w:fill="CCEEFF"/>
          </w:tcPr>
          <w:p>
            <w:pPr>
              <w:spacing w:after="0"/>
              <w:rPr>
                <w:sz w:val="11"/>
                <w:szCs w:val="11"/>
                <w:color w:val="auto"/>
              </w:rPr>
            </w:pPr>
          </w:p>
        </w:tc>
      </w:tr>
      <w:tr>
        <w:trPr>
          <w:trHeight w:val="144"/>
        </w:trPr>
        <w:tc>
          <w:tcPr>
            <w:tcW w:w="304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53"/>
        </w:trPr>
        <w:tc>
          <w:tcPr>
            <w:tcW w:w="30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OPERATING EXPENSES</w:t>
            </w:r>
          </w:p>
        </w:tc>
        <w:tc>
          <w:tcPr>
            <w:tcW w:w="3520" w:type="dxa"/>
            <w:vAlign w:val="bottom"/>
            <w:shd w:val="clear" w:color="auto" w:fill="CCEEFF"/>
          </w:tcPr>
          <w:p>
            <w:pPr>
              <w:spacing w:after="0"/>
              <w:rPr>
                <w:sz w:val="13"/>
                <w:szCs w:val="13"/>
                <w:color w:val="auto"/>
              </w:rPr>
            </w:pPr>
          </w:p>
        </w:tc>
        <w:tc>
          <w:tcPr>
            <w:tcW w:w="162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2"/>
                <w:szCs w:val="12"/>
                <w:color w:val="auto"/>
              </w:rPr>
              <w:t>4,116,732</w:t>
            </w:r>
          </w:p>
        </w:tc>
        <w:tc>
          <w:tcPr>
            <w:tcW w:w="320" w:type="dxa"/>
            <w:vAlign w:val="bottom"/>
            <w:shd w:val="clear" w:color="auto" w:fill="CCEEFF"/>
          </w:tcPr>
          <w:p>
            <w:pPr>
              <w:spacing w:after="0"/>
              <w:rPr>
                <w:sz w:val="13"/>
                <w:szCs w:val="13"/>
                <w:color w:val="auto"/>
              </w:rPr>
            </w:pPr>
          </w:p>
        </w:tc>
        <w:tc>
          <w:tcPr>
            <w:tcW w:w="1940" w:type="dxa"/>
            <w:vAlign w:val="bottom"/>
            <w:gridSpan w:val="2"/>
            <w:shd w:val="clear" w:color="auto" w:fill="CCEEFF"/>
          </w:tcPr>
          <w:p>
            <w:pPr>
              <w:jc w:val="right"/>
              <w:ind w:right="78"/>
              <w:spacing w:after="0"/>
              <w:rPr>
                <w:sz w:val="20"/>
                <w:szCs w:val="20"/>
                <w:color w:val="auto"/>
              </w:rPr>
            </w:pPr>
            <w:r>
              <w:rPr>
                <w:rFonts w:ascii="Times New Roman" w:cs="Times New Roman" w:eastAsia="Times New Roman" w:hAnsi="Times New Roman"/>
                <w:sz w:val="12"/>
                <w:szCs w:val="12"/>
                <w:color w:val="auto"/>
              </w:rPr>
              <w:t>6,269,568</w:t>
            </w:r>
          </w:p>
        </w:tc>
      </w:tr>
      <w:tr>
        <w:trPr>
          <w:trHeight w:val="133"/>
        </w:trPr>
        <w:tc>
          <w:tcPr>
            <w:tcW w:w="3040" w:type="dxa"/>
            <w:vAlign w:val="bottom"/>
            <w:tcBorders>
              <w:bottom w:val="single" w:sz="8" w:color="CCEEFF"/>
            </w:tcBorders>
          </w:tcPr>
          <w:p>
            <w:pPr>
              <w:ind w:left="320"/>
              <w:spacing w:after="0" w:line="133" w:lineRule="exact"/>
              <w:rPr>
                <w:sz w:val="20"/>
                <w:szCs w:val="20"/>
                <w:color w:val="auto"/>
              </w:rPr>
            </w:pPr>
            <w:r>
              <w:rPr>
                <w:rFonts w:ascii="Times New Roman" w:cs="Times New Roman" w:eastAsia="Times New Roman" w:hAnsi="Times New Roman"/>
                <w:sz w:val="12"/>
                <w:szCs w:val="12"/>
                <w:color w:val="auto"/>
              </w:rPr>
              <w:t>OPERATING LOSS</w:t>
            </w:r>
          </w:p>
        </w:tc>
        <w:tc>
          <w:tcPr>
            <w:tcW w:w="3520" w:type="dxa"/>
            <w:vAlign w:val="bottom"/>
            <w:tcBorders>
              <w:bottom w:val="single" w:sz="8" w:color="CCEEFF"/>
            </w:tcBorders>
          </w:tcPr>
          <w:p>
            <w:pPr>
              <w:spacing w:after="0"/>
              <w:rPr>
                <w:sz w:val="11"/>
                <w:szCs w:val="11"/>
                <w:color w:val="auto"/>
              </w:rPr>
            </w:pPr>
          </w:p>
        </w:tc>
        <w:tc>
          <w:tcPr>
            <w:tcW w:w="1620" w:type="dxa"/>
            <w:vAlign w:val="bottom"/>
            <w:tcBorders>
              <w:top w:val="single" w:sz="8" w:color="auto"/>
              <w:bottom w:val="single" w:sz="8" w:color="auto"/>
            </w:tcBorders>
          </w:tcPr>
          <w:p>
            <w:pPr>
              <w:spacing w:after="0"/>
              <w:rPr>
                <w:sz w:val="11"/>
                <w:szCs w:val="11"/>
                <w:color w:val="auto"/>
              </w:rPr>
            </w:pPr>
          </w:p>
        </w:tc>
        <w:tc>
          <w:tcPr>
            <w:tcW w:w="540" w:type="dxa"/>
            <w:vAlign w:val="bottom"/>
            <w:tcBorders>
              <w:top w:val="single" w:sz="8" w:color="auto"/>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71,953</w:t>
            </w:r>
          </w:p>
        </w:tc>
        <w:tc>
          <w:tcPr>
            <w:tcW w:w="320" w:type="dxa"/>
            <w:vAlign w:val="bottom"/>
            <w:tcBorders>
              <w:bottom w:val="single" w:sz="8" w:color="CCEEFF"/>
            </w:tcBorders>
          </w:tcPr>
          <w:p>
            <w:pPr>
              <w:spacing w:after="0"/>
              <w:rPr>
                <w:sz w:val="11"/>
                <w:szCs w:val="11"/>
                <w:color w:val="auto"/>
              </w:rPr>
            </w:pPr>
          </w:p>
        </w:tc>
        <w:tc>
          <w:tcPr>
            <w:tcW w:w="320" w:type="dxa"/>
            <w:vAlign w:val="bottom"/>
            <w:tcBorders>
              <w:top w:val="single" w:sz="8" w:color="auto"/>
              <w:bottom w:val="single" w:sz="8" w:color="auto"/>
            </w:tcBorders>
          </w:tcPr>
          <w:p>
            <w:pPr>
              <w:spacing w:after="0"/>
              <w:rPr>
                <w:sz w:val="11"/>
                <w:szCs w:val="11"/>
                <w:color w:val="auto"/>
              </w:rPr>
            </w:pPr>
          </w:p>
        </w:tc>
        <w:tc>
          <w:tcPr>
            <w:tcW w:w="1820" w:type="dxa"/>
            <w:vAlign w:val="bottom"/>
            <w:tcBorders>
              <w:top w:val="single" w:sz="8" w:color="auto"/>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(1,271,329)</w:t>
            </w:r>
          </w:p>
        </w:tc>
        <w:tc>
          <w:tcPr>
            <w:tcW w:w="120" w:type="dxa"/>
            <w:vAlign w:val="bottom"/>
            <w:tcBorders>
              <w:bottom w:val="single" w:sz="8" w:color="CCEEFF"/>
            </w:tcBorders>
          </w:tcPr>
          <w:p>
            <w:pPr>
              <w:spacing w:after="0"/>
              <w:rPr>
                <w:sz w:val="11"/>
                <w:szCs w:val="11"/>
                <w:color w:val="auto"/>
              </w:rPr>
            </w:pPr>
          </w:p>
        </w:tc>
      </w:tr>
      <w:tr>
        <w:trPr>
          <w:trHeight w:val="133"/>
        </w:trPr>
        <w:tc>
          <w:tcPr>
            <w:tcW w:w="3040" w:type="dxa"/>
            <w:vAlign w:val="bottom"/>
            <w:shd w:val="clear" w:color="auto" w:fill="CCEEFF"/>
          </w:tcPr>
          <w:p>
            <w:pPr>
              <w:spacing w:after="0"/>
              <w:rPr>
                <w:sz w:val="11"/>
                <w:szCs w:val="11"/>
                <w:color w:val="auto"/>
              </w:rPr>
            </w:pPr>
          </w:p>
        </w:tc>
        <w:tc>
          <w:tcPr>
            <w:tcW w:w="3520" w:type="dxa"/>
            <w:vAlign w:val="bottom"/>
            <w:shd w:val="clear" w:color="auto" w:fill="CCEEFF"/>
          </w:tcPr>
          <w:p>
            <w:pPr>
              <w:spacing w:after="0"/>
              <w:rPr>
                <w:sz w:val="11"/>
                <w:szCs w:val="11"/>
                <w:color w:val="auto"/>
              </w:rPr>
            </w:pPr>
          </w:p>
        </w:tc>
        <w:tc>
          <w:tcPr>
            <w:tcW w:w="16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8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r>
      <w:tr>
        <w:trPr>
          <w:trHeight w:val="144"/>
        </w:trPr>
        <w:tc>
          <w:tcPr>
            <w:tcW w:w="3040" w:type="dxa"/>
            <w:vAlign w:val="bottom"/>
          </w:tcPr>
          <w:p>
            <w:pPr>
              <w:spacing w:after="0"/>
              <w:rPr>
                <w:sz w:val="20"/>
                <w:szCs w:val="20"/>
                <w:color w:val="auto"/>
              </w:rPr>
            </w:pPr>
            <w:r>
              <w:rPr>
                <w:rFonts w:ascii="Times New Roman" w:cs="Times New Roman" w:eastAsia="Times New Roman" w:hAnsi="Times New Roman"/>
                <w:sz w:val="12"/>
                <w:szCs w:val="12"/>
                <w:color w:val="auto"/>
              </w:rPr>
              <w:t>OTHER INCOME (EXPENSE)</w:t>
            </w:r>
          </w:p>
        </w:tc>
        <w:tc>
          <w:tcPr>
            <w:tcW w:w="35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4"/>
        </w:trPr>
        <w:tc>
          <w:tcPr>
            <w:tcW w:w="30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Other income</w:t>
            </w:r>
          </w:p>
        </w:tc>
        <w:tc>
          <w:tcPr>
            <w:tcW w:w="3520" w:type="dxa"/>
            <w:vAlign w:val="bottom"/>
            <w:shd w:val="clear" w:color="auto" w:fill="CCEEFF"/>
          </w:tcPr>
          <w:p>
            <w:pPr>
              <w:spacing w:after="0"/>
              <w:rPr>
                <w:sz w:val="12"/>
                <w:szCs w:val="12"/>
                <w:color w:val="auto"/>
              </w:rPr>
            </w:pPr>
          </w:p>
        </w:tc>
        <w:tc>
          <w:tcPr>
            <w:tcW w:w="162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2"/>
                <w:szCs w:val="12"/>
                <w:color w:val="auto"/>
              </w:rPr>
              <w:t>14,367</w:t>
            </w:r>
          </w:p>
        </w:tc>
        <w:tc>
          <w:tcPr>
            <w:tcW w:w="320" w:type="dxa"/>
            <w:vAlign w:val="bottom"/>
            <w:shd w:val="clear" w:color="auto" w:fill="CCEEFF"/>
          </w:tcPr>
          <w:p>
            <w:pPr>
              <w:spacing w:after="0"/>
              <w:rPr>
                <w:sz w:val="12"/>
                <w:szCs w:val="12"/>
                <w:color w:val="auto"/>
              </w:rPr>
            </w:pPr>
          </w:p>
        </w:tc>
        <w:tc>
          <w:tcPr>
            <w:tcW w:w="1940" w:type="dxa"/>
            <w:vAlign w:val="bottom"/>
            <w:gridSpan w:val="2"/>
            <w:shd w:val="clear" w:color="auto" w:fill="CCEEFF"/>
          </w:tcPr>
          <w:p>
            <w:pPr>
              <w:jc w:val="right"/>
              <w:ind w:right="78"/>
              <w:spacing w:after="0"/>
              <w:rPr>
                <w:sz w:val="20"/>
                <w:szCs w:val="20"/>
                <w:color w:val="auto"/>
              </w:rPr>
            </w:pPr>
            <w:r>
              <w:rPr>
                <w:rFonts w:ascii="Times New Roman" w:cs="Times New Roman" w:eastAsia="Times New Roman" w:hAnsi="Times New Roman"/>
                <w:sz w:val="12"/>
                <w:szCs w:val="12"/>
                <w:color w:val="auto"/>
              </w:rPr>
              <w:t>20,629</w:t>
            </w:r>
          </w:p>
        </w:tc>
      </w:tr>
      <w:tr>
        <w:trPr>
          <w:trHeight w:val="153"/>
        </w:trPr>
        <w:tc>
          <w:tcPr>
            <w:tcW w:w="304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Interest expense, net</w:t>
            </w:r>
          </w:p>
        </w:tc>
        <w:tc>
          <w:tcPr>
            <w:tcW w:w="352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860" w:type="dxa"/>
            <w:vAlign w:val="bottom"/>
            <w:gridSpan w:val="2"/>
          </w:tcPr>
          <w:p>
            <w:pPr>
              <w:jc w:val="right"/>
              <w:ind w:right="280"/>
              <w:spacing w:after="0"/>
              <w:rPr>
                <w:sz w:val="20"/>
                <w:szCs w:val="20"/>
                <w:color w:val="auto"/>
              </w:rPr>
            </w:pPr>
            <w:r>
              <w:rPr>
                <w:rFonts w:ascii="Times New Roman" w:cs="Times New Roman" w:eastAsia="Times New Roman" w:hAnsi="Times New Roman"/>
                <w:sz w:val="12"/>
                <w:szCs w:val="12"/>
                <w:color w:val="auto"/>
              </w:rPr>
              <w:t>(50,946)</w:t>
            </w:r>
          </w:p>
        </w:tc>
        <w:tc>
          <w:tcPr>
            <w:tcW w:w="320" w:type="dxa"/>
            <w:vAlign w:val="bottom"/>
          </w:tcPr>
          <w:p>
            <w:pPr>
              <w:spacing w:after="0"/>
              <w:rPr>
                <w:sz w:val="13"/>
                <w:szCs w:val="13"/>
                <w:color w:val="auto"/>
              </w:rPr>
            </w:pPr>
          </w:p>
        </w:tc>
        <w:tc>
          <w:tcPr>
            <w:tcW w:w="1940" w:type="dxa"/>
            <w:vAlign w:val="bottom"/>
            <w:gridSpan w:val="2"/>
          </w:tcPr>
          <w:p>
            <w:pPr>
              <w:jc w:val="right"/>
              <w:ind w:right="38"/>
              <w:spacing w:after="0"/>
              <w:rPr>
                <w:sz w:val="20"/>
                <w:szCs w:val="20"/>
                <w:color w:val="auto"/>
              </w:rPr>
            </w:pPr>
            <w:r>
              <w:rPr>
                <w:rFonts w:ascii="Times New Roman" w:cs="Times New Roman" w:eastAsia="Times New Roman" w:hAnsi="Times New Roman"/>
                <w:sz w:val="12"/>
                <w:szCs w:val="12"/>
                <w:color w:val="auto"/>
              </w:rPr>
              <w:t>(54,095)</w:t>
            </w:r>
          </w:p>
        </w:tc>
      </w:tr>
      <w:tr>
        <w:trPr>
          <w:trHeight w:val="133"/>
        </w:trPr>
        <w:tc>
          <w:tcPr>
            <w:tcW w:w="3040" w:type="dxa"/>
            <w:vAlign w:val="bottom"/>
            <w:tcBorders>
              <w:top w:val="single" w:sz="8" w:color="CCEEFF"/>
            </w:tcBorders>
            <w:shd w:val="clear" w:color="auto" w:fill="CCEEFF"/>
          </w:tcPr>
          <w:p>
            <w:pPr>
              <w:ind w:left="200"/>
              <w:spacing w:after="0" w:line="133" w:lineRule="exact"/>
              <w:rPr>
                <w:sz w:val="20"/>
                <w:szCs w:val="20"/>
                <w:color w:val="auto"/>
              </w:rPr>
            </w:pPr>
            <w:r>
              <w:rPr>
                <w:rFonts w:ascii="Times New Roman" w:cs="Times New Roman" w:eastAsia="Times New Roman" w:hAnsi="Times New Roman"/>
                <w:sz w:val="12"/>
                <w:szCs w:val="12"/>
                <w:color w:val="auto"/>
              </w:rPr>
              <w:t>TOTAL OTHER INCOME (EXPENSE)</w:t>
            </w:r>
          </w:p>
        </w:tc>
        <w:tc>
          <w:tcPr>
            <w:tcW w:w="3520" w:type="dxa"/>
            <w:vAlign w:val="bottom"/>
            <w:tcBorders>
              <w:top w:val="single" w:sz="8" w:color="CCEEFF"/>
            </w:tcBorders>
            <w:shd w:val="clear" w:color="auto" w:fill="CCEEFF"/>
          </w:tcPr>
          <w:p>
            <w:pPr>
              <w:spacing w:after="0"/>
              <w:rPr>
                <w:sz w:val="11"/>
                <w:szCs w:val="11"/>
                <w:color w:val="auto"/>
              </w:rPr>
            </w:pPr>
          </w:p>
        </w:tc>
        <w:tc>
          <w:tcPr>
            <w:tcW w:w="1620" w:type="dxa"/>
            <w:vAlign w:val="bottom"/>
            <w:tcBorders>
              <w:top w:val="single" w:sz="8" w:color="auto"/>
              <w:bottom w:val="single" w:sz="8" w:color="auto"/>
            </w:tcBorders>
            <w:shd w:val="clear" w:color="auto" w:fill="CCEEFF"/>
          </w:tcPr>
          <w:p>
            <w:pPr>
              <w:spacing w:after="0"/>
              <w:rPr>
                <w:sz w:val="11"/>
                <w:szCs w:val="11"/>
                <w:color w:val="auto"/>
              </w:rPr>
            </w:pPr>
          </w:p>
        </w:tc>
        <w:tc>
          <w:tcPr>
            <w:tcW w:w="54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(36,579)</w:t>
            </w:r>
          </w:p>
        </w:tc>
        <w:tc>
          <w:tcPr>
            <w:tcW w:w="320" w:type="dxa"/>
            <w:vAlign w:val="bottom"/>
            <w:tcBorders>
              <w:top w:val="single" w:sz="8" w:color="CCEEFF"/>
            </w:tcBorders>
            <w:shd w:val="clear" w:color="auto" w:fill="CCEEFF"/>
          </w:tcPr>
          <w:p>
            <w:pPr>
              <w:spacing w:after="0"/>
              <w:rPr>
                <w:sz w:val="11"/>
                <w:szCs w:val="11"/>
                <w:color w:val="auto"/>
              </w:rPr>
            </w:pPr>
          </w:p>
        </w:tc>
        <w:tc>
          <w:tcPr>
            <w:tcW w:w="320" w:type="dxa"/>
            <w:vAlign w:val="bottom"/>
            <w:tcBorders>
              <w:top w:val="single" w:sz="8" w:color="auto"/>
              <w:bottom w:val="single" w:sz="8" w:color="auto"/>
            </w:tcBorders>
            <w:shd w:val="clear" w:color="auto" w:fill="CCEEFF"/>
          </w:tcPr>
          <w:p>
            <w:pPr>
              <w:spacing w:after="0"/>
              <w:rPr>
                <w:sz w:val="11"/>
                <w:szCs w:val="11"/>
                <w:color w:val="auto"/>
              </w:rPr>
            </w:pPr>
          </w:p>
        </w:tc>
        <w:tc>
          <w:tcPr>
            <w:tcW w:w="182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(33,466)</w:t>
            </w:r>
          </w:p>
        </w:tc>
        <w:tc>
          <w:tcPr>
            <w:tcW w:w="120" w:type="dxa"/>
            <w:vAlign w:val="bottom"/>
            <w:tcBorders>
              <w:top w:val="single" w:sz="8" w:color="CCEEFF"/>
            </w:tcBorders>
            <w:shd w:val="clear" w:color="auto" w:fill="CCEEFF"/>
          </w:tcPr>
          <w:p>
            <w:pPr>
              <w:spacing w:after="0"/>
              <w:rPr>
                <w:sz w:val="11"/>
                <w:szCs w:val="11"/>
                <w:color w:val="auto"/>
              </w:rPr>
            </w:pPr>
          </w:p>
        </w:tc>
      </w:tr>
      <w:tr>
        <w:trPr>
          <w:trHeight w:val="133"/>
        </w:trPr>
        <w:tc>
          <w:tcPr>
            <w:tcW w:w="3040" w:type="dxa"/>
            <w:vAlign w:val="bottom"/>
          </w:tcPr>
          <w:p>
            <w:pPr>
              <w:ind w:left="200"/>
              <w:spacing w:after="0" w:line="133" w:lineRule="exact"/>
              <w:rPr>
                <w:sz w:val="20"/>
                <w:szCs w:val="20"/>
                <w:color w:val="auto"/>
              </w:rPr>
            </w:pPr>
            <w:r>
              <w:rPr>
                <w:rFonts w:ascii="Times New Roman" w:cs="Times New Roman" w:eastAsia="Times New Roman" w:hAnsi="Times New Roman"/>
                <w:sz w:val="12"/>
                <w:szCs w:val="12"/>
                <w:color w:val="auto"/>
              </w:rPr>
              <w:t>LOSS BEFORE INCOME TAXES</w:t>
            </w:r>
          </w:p>
        </w:tc>
        <w:tc>
          <w:tcPr>
            <w:tcW w:w="352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54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35,374</w:t>
            </w:r>
          </w:p>
        </w:tc>
        <w:tc>
          <w:tcPr>
            <w:tcW w:w="3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82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(1,304,795)</w:t>
            </w:r>
          </w:p>
        </w:tc>
        <w:tc>
          <w:tcPr>
            <w:tcW w:w="120" w:type="dxa"/>
            <w:vAlign w:val="bottom"/>
          </w:tcPr>
          <w:p>
            <w:pPr>
              <w:spacing w:after="0"/>
              <w:rPr>
                <w:sz w:val="11"/>
                <w:szCs w:val="11"/>
                <w:color w:val="auto"/>
              </w:rPr>
            </w:pPr>
          </w:p>
        </w:tc>
      </w:tr>
      <w:tr>
        <w:trPr>
          <w:trHeight w:val="153"/>
        </w:trPr>
        <w:tc>
          <w:tcPr>
            <w:tcW w:w="30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2"/>
                <w:szCs w:val="12"/>
                <w:color w:val="auto"/>
              </w:rPr>
              <w:t>INCOME TAX BENEFIT</w:t>
            </w:r>
          </w:p>
        </w:tc>
        <w:tc>
          <w:tcPr>
            <w:tcW w:w="3520" w:type="dxa"/>
            <w:vAlign w:val="bottom"/>
            <w:shd w:val="clear" w:color="auto" w:fill="CCEEFF"/>
          </w:tcPr>
          <w:p>
            <w:pPr>
              <w:spacing w:after="0"/>
              <w:rPr>
                <w:sz w:val="13"/>
                <w:szCs w:val="13"/>
                <w:color w:val="auto"/>
              </w:rPr>
            </w:pPr>
          </w:p>
        </w:tc>
        <w:tc>
          <w:tcPr>
            <w:tcW w:w="162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2"/>
                <w:szCs w:val="12"/>
                <w:color w:val="auto"/>
              </w:rPr>
              <w:t>-</w:t>
            </w:r>
          </w:p>
        </w:tc>
        <w:tc>
          <w:tcPr>
            <w:tcW w:w="320" w:type="dxa"/>
            <w:vAlign w:val="bottom"/>
            <w:shd w:val="clear" w:color="auto" w:fill="CCEEFF"/>
          </w:tcPr>
          <w:p>
            <w:pPr>
              <w:spacing w:after="0"/>
              <w:rPr>
                <w:sz w:val="13"/>
                <w:szCs w:val="13"/>
                <w:color w:val="auto"/>
              </w:rPr>
            </w:pPr>
          </w:p>
        </w:tc>
        <w:tc>
          <w:tcPr>
            <w:tcW w:w="1940" w:type="dxa"/>
            <w:vAlign w:val="bottom"/>
            <w:gridSpan w:val="2"/>
            <w:shd w:val="clear" w:color="auto" w:fill="CCEEFF"/>
          </w:tcPr>
          <w:p>
            <w:pPr>
              <w:jc w:val="right"/>
              <w:ind w:right="78"/>
              <w:spacing w:after="0"/>
              <w:rPr>
                <w:sz w:val="20"/>
                <w:szCs w:val="20"/>
                <w:color w:val="auto"/>
              </w:rPr>
            </w:pPr>
            <w:r>
              <w:rPr>
                <w:rFonts w:ascii="Times New Roman" w:cs="Times New Roman" w:eastAsia="Times New Roman" w:hAnsi="Times New Roman"/>
                <w:sz w:val="12"/>
                <w:szCs w:val="12"/>
                <w:color w:val="auto"/>
              </w:rPr>
              <w:t>-</w:t>
            </w:r>
          </w:p>
        </w:tc>
      </w:tr>
      <w:tr>
        <w:trPr>
          <w:trHeight w:val="149"/>
        </w:trPr>
        <w:tc>
          <w:tcPr>
            <w:tcW w:w="3040" w:type="dxa"/>
            <w:vAlign w:val="bottom"/>
          </w:tcPr>
          <w:p>
            <w:pPr>
              <w:ind w:left="200"/>
              <w:spacing w:after="0" w:line="135" w:lineRule="exact"/>
              <w:rPr>
                <w:sz w:val="20"/>
                <w:szCs w:val="20"/>
                <w:color w:val="auto"/>
              </w:rPr>
            </w:pPr>
            <w:r>
              <w:rPr>
                <w:rFonts w:ascii="Times New Roman" w:cs="Times New Roman" w:eastAsia="Times New Roman" w:hAnsi="Times New Roman"/>
                <w:sz w:val="12"/>
                <w:szCs w:val="12"/>
                <w:color w:val="auto"/>
              </w:rPr>
              <w:t>NET LOSS</w:t>
            </w:r>
          </w:p>
        </w:tc>
        <w:tc>
          <w:tcPr>
            <w:tcW w:w="3520" w:type="dxa"/>
            <w:vAlign w:val="bottom"/>
          </w:tcPr>
          <w:p>
            <w:pPr>
              <w:spacing w:after="0"/>
              <w:rPr>
                <w:sz w:val="12"/>
                <w:szCs w:val="12"/>
                <w:color w:val="auto"/>
              </w:rPr>
            </w:pPr>
          </w:p>
        </w:tc>
        <w:tc>
          <w:tcPr>
            <w:tcW w:w="1620" w:type="dxa"/>
            <w:vAlign w:val="bottom"/>
            <w:tcBorders>
              <w:top w:val="single" w:sz="8" w:color="auto"/>
              <w:bottom w:val="single" w:sz="8" w:color="auto"/>
            </w:tcBorders>
          </w:tcPr>
          <w:p>
            <w:pPr>
              <w:jc w:val="right"/>
              <w:ind w:right="1504"/>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35,374</w:t>
            </w:r>
          </w:p>
        </w:tc>
        <w:tc>
          <w:tcPr>
            <w:tcW w:w="320" w:type="dxa"/>
            <w:vAlign w:val="bottom"/>
          </w:tcPr>
          <w:p>
            <w:pPr>
              <w:spacing w:after="0"/>
              <w:rPr>
                <w:sz w:val="12"/>
                <w:szCs w:val="12"/>
                <w:color w:val="auto"/>
              </w:rPr>
            </w:pPr>
          </w:p>
        </w:tc>
        <w:tc>
          <w:tcPr>
            <w:tcW w:w="320" w:type="dxa"/>
            <w:vAlign w:val="bottom"/>
            <w:tcBorders>
              <w:top w:val="single" w:sz="8" w:color="auto"/>
              <w:bottom w:val="single" w:sz="8" w:color="auto"/>
            </w:tcBorders>
          </w:tcPr>
          <w:p>
            <w:pPr>
              <w:jc w:val="right"/>
              <w:ind w:right="206"/>
              <w:spacing w:after="0"/>
              <w:rPr>
                <w:sz w:val="20"/>
                <w:szCs w:val="20"/>
                <w:color w:val="auto"/>
              </w:rPr>
            </w:pPr>
            <w:r>
              <w:rPr>
                <w:rFonts w:ascii="Times New Roman" w:cs="Times New Roman" w:eastAsia="Times New Roman" w:hAnsi="Times New Roman"/>
                <w:sz w:val="11"/>
                <w:szCs w:val="11"/>
                <w:color w:val="auto"/>
                <w:w w:val="71"/>
              </w:rPr>
              <w:t>$</w:t>
            </w:r>
          </w:p>
        </w:tc>
        <w:tc>
          <w:tcPr>
            <w:tcW w:w="1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(1,304,795</w:t>
            </w:r>
          </w:p>
        </w:tc>
        <w:tc>
          <w:tcPr>
            <w:tcW w:w="120" w:type="dxa"/>
            <w:vAlign w:val="bottom"/>
          </w:tcPr>
          <w:p>
            <w:pPr>
              <w:jc w:val="right"/>
              <w:ind w:right="38"/>
              <w:spacing w:after="0"/>
              <w:rPr>
                <w:sz w:val="20"/>
                <w:szCs w:val="20"/>
                <w:color w:val="auto"/>
              </w:rPr>
            </w:pPr>
            <w:r>
              <w:rPr>
                <w:rFonts w:ascii="Times New Roman" w:cs="Times New Roman" w:eastAsia="Times New Roman" w:hAnsi="Times New Roman"/>
                <w:sz w:val="8"/>
                <w:szCs w:val="8"/>
                <w:color w:val="auto"/>
                <w:w w:val="73"/>
              </w:rPr>
              <w:t>)</w:t>
            </w:r>
          </w:p>
        </w:tc>
      </w:tr>
      <w:tr>
        <w:trPr>
          <w:trHeight w:val="288"/>
        </w:trPr>
        <w:tc>
          <w:tcPr>
            <w:tcW w:w="3040" w:type="dxa"/>
            <w:vAlign w:val="bottom"/>
            <w:tcBorders>
              <w:bottom w:val="single" w:sz="8" w:color="auto"/>
            </w:tcBorders>
          </w:tcPr>
          <w:p>
            <w:pPr>
              <w:spacing w:after="0"/>
              <w:rPr>
                <w:sz w:val="24"/>
                <w:szCs w:val="24"/>
                <w:color w:val="auto"/>
              </w:rPr>
            </w:pPr>
          </w:p>
        </w:tc>
        <w:tc>
          <w:tcPr>
            <w:tcW w:w="3520" w:type="dxa"/>
            <w:vAlign w:val="bottom"/>
            <w:tcBorders>
              <w:bottom w:val="single" w:sz="8" w:color="auto"/>
            </w:tcBorders>
          </w:tcPr>
          <w:p>
            <w:pPr>
              <w:jc w:val="center"/>
              <w:ind w:left="1640"/>
              <w:spacing w:after="0"/>
              <w:rPr>
                <w:sz w:val="20"/>
                <w:szCs w:val="20"/>
                <w:color w:val="auto"/>
              </w:rPr>
            </w:pPr>
            <w:r>
              <w:rPr>
                <w:rFonts w:ascii="Times New Roman" w:cs="Times New Roman" w:eastAsia="Times New Roman" w:hAnsi="Times New Roman"/>
                <w:sz w:val="12"/>
                <w:szCs w:val="12"/>
                <w:color w:val="auto"/>
                <w:w w:val="99"/>
              </w:rPr>
              <w:t>2</w:t>
            </w:r>
          </w:p>
        </w:tc>
        <w:tc>
          <w:tcPr>
            <w:tcW w:w="162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r>
    </w:tbl>
    <w:p>
      <w:pPr>
        <w:sectPr>
          <w:pgSz w:w="11900" w:h="16838" w:orient="portrait"/>
          <w:cols w:equalWidth="0" w:num="1">
            <w:col w:w="11300"/>
          </w:cols>
          <w:pgMar w:left="300" w:top="503" w:right="299" w:bottom="1440" w:gutter="0" w:footer="0" w:header="0"/>
        </w:sectPr>
      </w:pPr>
    </w:p>
    <w:bookmarkStart w:id="35" w:name="page36"/>
    <w:bookmarkEnd w:id="3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3880" w:type="dxa"/>
            <w:vAlign w:val="bottom"/>
          </w:tcPr>
          <w:p>
            <w:pPr>
              <w:spacing w:after="0"/>
              <w:rPr>
                <w:sz w:val="13"/>
                <w:szCs w:val="13"/>
                <w:color w:val="auto"/>
              </w:rPr>
            </w:pPr>
          </w:p>
        </w:tc>
        <w:tc>
          <w:tcPr>
            <w:tcW w:w="4340" w:type="dxa"/>
            <w:vAlign w:val="bottom"/>
            <w:gridSpan w:val="2"/>
          </w:tcPr>
          <w:p>
            <w:pPr>
              <w:jc w:val="center"/>
              <w:ind w:right="763"/>
              <w:spacing w:after="0"/>
              <w:rPr>
                <w:sz w:val="20"/>
                <w:szCs w:val="20"/>
                <w:color w:val="auto"/>
              </w:rPr>
            </w:pPr>
            <w:r>
              <w:rPr>
                <w:rFonts w:ascii="Times New Roman" w:cs="Times New Roman" w:eastAsia="Times New Roman" w:hAnsi="Times New Roman"/>
                <w:sz w:val="12"/>
                <w:szCs w:val="12"/>
                <w:b w:val="1"/>
                <w:bCs w:val="1"/>
                <w:color w:val="auto"/>
                <w:w w:val="99"/>
              </w:rPr>
              <w:t>CLEARDOC, INC. AND SUBSIDIARY CONSOLIDATED</w:t>
            </w:r>
          </w:p>
        </w:tc>
        <w:tc>
          <w:tcPr>
            <w:tcW w:w="5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288"/>
        </w:trPr>
        <w:tc>
          <w:tcPr>
            <w:tcW w:w="3880" w:type="dxa"/>
            <w:vAlign w:val="bottom"/>
          </w:tcPr>
          <w:p>
            <w:pPr>
              <w:spacing w:after="0"/>
              <w:rPr>
                <w:sz w:val="24"/>
                <w:szCs w:val="24"/>
                <w:color w:val="auto"/>
              </w:rPr>
            </w:pPr>
          </w:p>
        </w:tc>
        <w:tc>
          <w:tcPr>
            <w:tcW w:w="4340" w:type="dxa"/>
            <w:vAlign w:val="bottom"/>
            <w:gridSpan w:val="2"/>
          </w:tcPr>
          <w:p>
            <w:pPr>
              <w:jc w:val="center"/>
              <w:ind w:right="763"/>
              <w:spacing w:after="0"/>
              <w:rPr>
                <w:sz w:val="20"/>
                <w:szCs w:val="20"/>
                <w:color w:val="auto"/>
              </w:rPr>
            </w:pPr>
            <w:r>
              <w:rPr>
                <w:rFonts w:ascii="Times New Roman" w:cs="Times New Roman" w:eastAsia="Times New Roman" w:hAnsi="Times New Roman"/>
                <w:sz w:val="12"/>
                <w:szCs w:val="12"/>
                <w:b w:val="1"/>
                <w:bCs w:val="1"/>
                <w:color w:val="auto"/>
                <w:w w:val="99"/>
              </w:rPr>
              <w:t>UNAUDITED STATEMENT OF CASH FLOWS</w:t>
            </w:r>
          </w:p>
        </w:tc>
        <w:tc>
          <w:tcPr>
            <w:tcW w:w="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88"/>
        </w:trPr>
        <w:tc>
          <w:tcPr>
            <w:tcW w:w="3880" w:type="dxa"/>
            <w:vAlign w:val="bottom"/>
          </w:tcPr>
          <w:p>
            <w:pPr>
              <w:spacing w:after="0"/>
              <w:rPr>
                <w:sz w:val="24"/>
                <w:szCs w:val="24"/>
                <w:color w:val="auto"/>
              </w:rPr>
            </w:pPr>
          </w:p>
        </w:tc>
        <w:tc>
          <w:tcPr>
            <w:tcW w:w="4340" w:type="dxa"/>
            <w:vAlign w:val="bottom"/>
            <w:gridSpan w:val="2"/>
          </w:tcPr>
          <w:p>
            <w:pPr>
              <w:jc w:val="center"/>
              <w:ind w:right="763"/>
              <w:spacing w:after="0"/>
              <w:rPr>
                <w:sz w:val="20"/>
                <w:szCs w:val="20"/>
                <w:color w:val="auto"/>
              </w:rPr>
            </w:pPr>
            <w:r>
              <w:rPr>
                <w:rFonts w:ascii="Times New Roman" w:cs="Times New Roman" w:eastAsia="Times New Roman" w:hAnsi="Times New Roman"/>
                <w:sz w:val="12"/>
                <w:szCs w:val="12"/>
                <w:color w:val="auto"/>
                <w:w w:val="99"/>
              </w:rPr>
              <w:t>Period Ended September 30, 2024</w:t>
            </w:r>
          </w:p>
        </w:tc>
        <w:tc>
          <w:tcPr>
            <w:tcW w:w="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97"/>
        </w:trPr>
        <w:tc>
          <w:tcPr>
            <w:tcW w:w="388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1660" w:type="dxa"/>
            <w:vAlign w:val="bottom"/>
          </w:tcPr>
          <w:p>
            <w:pPr>
              <w:jc w:val="right"/>
              <w:ind w:right="23"/>
              <w:spacing w:after="0"/>
              <w:rPr>
                <w:sz w:val="20"/>
                <w:szCs w:val="20"/>
                <w:color w:val="auto"/>
              </w:rPr>
            </w:pPr>
            <w:r>
              <w:rPr>
                <w:rFonts w:ascii="Times New Roman" w:cs="Times New Roman" w:eastAsia="Times New Roman" w:hAnsi="Times New Roman"/>
                <w:sz w:val="12"/>
                <w:szCs w:val="12"/>
                <w:b w:val="1"/>
                <w:bCs w:val="1"/>
                <w:color w:val="auto"/>
              </w:rPr>
              <w:t>September 30, 2024</w:t>
            </w:r>
          </w:p>
        </w:tc>
        <w:tc>
          <w:tcPr>
            <w:tcW w:w="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940" w:type="dxa"/>
            <w:vAlign w:val="bottom"/>
            <w:gridSpan w:val="2"/>
          </w:tcPr>
          <w:p>
            <w:pPr>
              <w:jc w:val="right"/>
              <w:ind w:right="680"/>
              <w:spacing w:after="0"/>
              <w:rPr>
                <w:sz w:val="20"/>
                <w:szCs w:val="20"/>
                <w:color w:val="auto"/>
              </w:rPr>
            </w:pPr>
            <w:r>
              <w:rPr>
                <w:rFonts w:ascii="Times New Roman" w:cs="Times New Roman" w:eastAsia="Times New Roman" w:hAnsi="Times New Roman"/>
                <w:sz w:val="12"/>
                <w:szCs w:val="12"/>
                <w:b w:val="1"/>
                <w:bCs w:val="1"/>
                <w:color w:val="auto"/>
              </w:rPr>
              <w:t>September 30, 2023</w:t>
            </w:r>
          </w:p>
        </w:tc>
      </w:tr>
      <w:tr>
        <w:trPr>
          <w:trHeight w:val="133"/>
        </w:trPr>
        <w:tc>
          <w:tcPr>
            <w:tcW w:w="3880" w:type="dxa"/>
            <w:vAlign w:val="bottom"/>
            <w:tcBorders>
              <w:top w:val="single" w:sz="8" w:color="CCEEFF"/>
            </w:tcBorders>
            <w:shd w:val="clear" w:color="auto" w:fill="CCEEFF"/>
          </w:tcPr>
          <w:p>
            <w:pPr>
              <w:spacing w:after="0" w:line="133" w:lineRule="exact"/>
              <w:rPr>
                <w:sz w:val="20"/>
                <w:szCs w:val="20"/>
                <w:color w:val="auto"/>
              </w:rPr>
            </w:pPr>
            <w:r>
              <w:rPr>
                <w:rFonts w:ascii="Times New Roman" w:cs="Times New Roman" w:eastAsia="Times New Roman" w:hAnsi="Times New Roman"/>
                <w:sz w:val="12"/>
                <w:szCs w:val="12"/>
                <w:b w:val="1"/>
                <w:bCs w:val="1"/>
                <w:color w:val="auto"/>
              </w:rPr>
              <w:t>CASH FLOWS FROM OPERATING ACTIVITIES</w:t>
            </w:r>
          </w:p>
        </w:tc>
        <w:tc>
          <w:tcPr>
            <w:tcW w:w="2680" w:type="dxa"/>
            <w:vAlign w:val="bottom"/>
            <w:tcBorders>
              <w:top w:val="single" w:sz="8" w:color="CCEEFF"/>
            </w:tcBorders>
            <w:shd w:val="clear" w:color="auto" w:fill="CCEEFF"/>
          </w:tcPr>
          <w:p>
            <w:pPr>
              <w:spacing w:after="0"/>
              <w:rPr>
                <w:sz w:val="11"/>
                <w:szCs w:val="11"/>
                <w:color w:val="auto"/>
              </w:rPr>
            </w:pPr>
          </w:p>
        </w:tc>
        <w:tc>
          <w:tcPr>
            <w:tcW w:w="1660" w:type="dxa"/>
            <w:vAlign w:val="bottom"/>
            <w:tcBorders>
              <w:top w:val="single" w:sz="8" w:color="auto"/>
            </w:tcBorders>
            <w:shd w:val="clear" w:color="auto" w:fill="CCEEFF"/>
          </w:tcPr>
          <w:p>
            <w:pPr>
              <w:spacing w:after="0"/>
              <w:rPr>
                <w:sz w:val="11"/>
                <w:szCs w:val="11"/>
                <w:color w:val="auto"/>
              </w:rPr>
            </w:pPr>
          </w:p>
        </w:tc>
        <w:tc>
          <w:tcPr>
            <w:tcW w:w="500" w:type="dxa"/>
            <w:vAlign w:val="bottom"/>
            <w:tcBorders>
              <w:top w:val="single" w:sz="8" w:color="auto"/>
            </w:tcBorders>
            <w:shd w:val="clear" w:color="auto" w:fill="CCEEFF"/>
          </w:tcPr>
          <w:p>
            <w:pPr>
              <w:spacing w:after="0"/>
              <w:rPr>
                <w:sz w:val="11"/>
                <w:szCs w:val="11"/>
                <w:color w:val="auto"/>
              </w:rPr>
            </w:pPr>
          </w:p>
        </w:tc>
        <w:tc>
          <w:tcPr>
            <w:tcW w:w="320" w:type="dxa"/>
            <w:vAlign w:val="bottom"/>
            <w:tcBorders>
              <w:top w:val="single" w:sz="8" w:color="CCEEFF"/>
            </w:tcBorders>
            <w:shd w:val="clear" w:color="auto" w:fill="CCEEFF"/>
          </w:tcPr>
          <w:p>
            <w:pPr>
              <w:spacing w:after="0"/>
              <w:rPr>
                <w:sz w:val="11"/>
                <w:szCs w:val="11"/>
                <w:color w:val="auto"/>
              </w:rPr>
            </w:pPr>
          </w:p>
        </w:tc>
        <w:tc>
          <w:tcPr>
            <w:tcW w:w="320" w:type="dxa"/>
            <w:vAlign w:val="bottom"/>
            <w:tcBorders>
              <w:top w:val="single" w:sz="8" w:color="auto"/>
            </w:tcBorders>
            <w:shd w:val="clear" w:color="auto" w:fill="CCEEFF"/>
          </w:tcPr>
          <w:p>
            <w:pPr>
              <w:spacing w:after="0"/>
              <w:rPr>
                <w:sz w:val="11"/>
                <w:szCs w:val="11"/>
                <w:color w:val="auto"/>
              </w:rPr>
            </w:pPr>
          </w:p>
        </w:tc>
        <w:tc>
          <w:tcPr>
            <w:tcW w:w="182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r>
      <w:tr>
        <w:trPr>
          <w:trHeight w:val="144"/>
        </w:trPr>
        <w:tc>
          <w:tcPr>
            <w:tcW w:w="388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Net loss</w:t>
            </w:r>
          </w:p>
        </w:tc>
        <w:tc>
          <w:tcPr>
            <w:tcW w:w="4340" w:type="dxa"/>
            <w:vAlign w:val="bottom"/>
            <w:gridSpan w:val="2"/>
          </w:tcPr>
          <w:p>
            <w:pPr>
              <w:jc w:val="right"/>
              <w:ind w:right="1543"/>
              <w:spacing w:after="0"/>
              <w:rPr>
                <w:sz w:val="20"/>
                <w:szCs w:val="20"/>
                <w:color w:val="auto"/>
              </w:rPr>
            </w:pPr>
            <w:r>
              <w:rPr>
                <w:rFonts w:ascii="Times New Roman" w:cs="Times New Roman" w:eastAsia="Times New Roman" w:hAnsi="Times New Roman"/>
                <w:sz w:val="12"/>
                <w:szCs w:val="12"/>
                <w:color w:val="auto"/>
              </w:rPr>
              <w:t>$</w:t>
            </w:r>
          </w:p>
        </w:tc>
        <w:tc>
          <w:tcPr>
            <w:tcW w:w="820" w:type="dxa"/>
            <w:vAlign w:val="bottom"/>
            <w:gridSpan w:val="2"/>
          </w:tcPr>
          <w:p>
            <w:pPr>
              <w:jc w:val="right"/>
              <w:ind w:right="320"/>
              <w:spacing w:after="0"/>
              <w:rPr>
                <w:sz w:val="20"/>
                <w:szCs w:val="20"/>
                <w:color w:val="auto"/>
              </w:rPr>
            </w:pPr>
            <w:r>
              <w:rPr>
                <w:rFonts w:ascii="Times New Roman" w:cs="Times New Roman" w:eastAsia="Times New Roman" w:hAnsi="Times New Roman"/>
                <w:sz w:val="12"/>
                <w:szCs w:val="12"/>
                <w:color w:val="auto"/>
              </w:rPr>
              <w:t>35,374</w:t>
            </w:r>
          </w:p>
        </w:tc>
        <w:tc>
          <w:tcPr>
            <w:tcW w:w="320" w:type="dxa"/>
            <w:vAlign w:val="bottom"/>
          </w:tcPr>
          <w:p>
            <w:pPr>
              <w:jc w:val="right"/>
              <w:ind w:right="206"/>
              <w:spacing w:after="0"/>
              <w:rPr>
                <w:sz w:val="20"/>
                <w:szCs w:val="20"/>
                <w:color w:val="auto"/>
              </w:rPr>
            </w:pPr>
            <w:r>
              <w:rPr>
                <w:rFonts w:ascii="Times New Roman" w:cs="Times New Roman" w:eastAsia="Times New Roman" w:hAnsi="Times New Roman"/>
                <w:sz w:val="11"/>
                <w:szCs w:val="11"/>
                <w:color w:val="auto"/>
                <w:w w:val="71"/>
              </w:rPr>
              <w:t>$</w:t>
            </w:r>
          </w:p>
        </w:tc>
        <w:tc>
          <w:tcPr>
            <w:tcW w:w="194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(1,304,795)</w:t>
            </w:r>
          </w:p>
        </w:tc>
      </w:tr>
      <w:tr>
        <w:trPr>
          <w:trHeight w:val="144"/>
        </w:trPr>
        <w:tc>
          <w:tcPr>
            <w:tcW w:w="38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Adjustments to reconcile net loss to net cash flows from</w:t>
            </w:r>
          </w:p>
        </w:tc>
        <w:tc>
          <w:tcPr>
            <w:tcW w:w="2680" w:type="dxa"/>
            <w:vAlign w:val="bottom"/>
            <w:shd w:val="clear" w:color="auto" w:fill="CCEEFF"/>
          </w:tcPr>
          <w:p>
            <w:pPr>
              <w:spacing w:after="0"/>
              <w:rPr>
                <w:sz w:val="12"/>
                <w:szCs w:val="12"/>
                <w:color w:val="auto"/>
              </w:rPr>
            </w:pPr>
          </w:p>
        </w:tc>
        <w:tc>
          <w:tcPr>
            <w:tcW w:w="16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r>
      <w:tr>
        <w:trPr>
          <w:trHeight w:val="144"/>
        </w:trPr>
        <w:tc>
          <w:tcPr>
            <w:tcW w:w="3880" w:type="dxa"/>
            <w:vAlign w:val="bottom"/>
          </w:tcPr>
          <w:p>
            <w:pPr>
              <w:ind w:left="200"/>
              <w:spacing w:after="0"/>
              <w:rPr>
                <w:sz w:val="20"/>
                <w:szCs w:val="20"/>
                <w:color w:val="auto"/>
              </w:rPr>
            </w:pPr>
            <w:r>
              <w:rPr>
                <w:rFonts w:ascii="Times New Roman" w:cs="Times New Roman" w:eastAsia="Times New Roman" w:hAnsi="Times New Roman"/>
                <w:sz w:val="12"/>
                <w:szCs w:val="12"/>
                <w:color w:val="auto"/>
              </w:rPr>
              <w:t>Operating activities:</w:t>
            </w:r>
          </w:p>
        </w:tc>
        <w:tc>
          <w:tcPr>
            <w:tcW w:w="268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4"/>
        </w:trPr>
        <w:tc>
          <w:tcPr>
            <w:tcW w:w="38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2"/>
                <w:szCs w:val="12"/>
                <w:color w:val="auto"/>
              </w:rPr>
              <w:t>Depreciation and amortization</w:t>
            </w:r>
          </w:p>
        </w:tc>
        <w:tc>
          <w:tcPr>
            <w:tcW w:w="2680" w:type="dxa"/>
            <w:vAlign w:val="bottom"/>
            <w:shd w:val="clear" w:color="auto" w:fill="CCEEFF"/>
          </w:tcPr>
          <w:p>
            <w:pPr>
              <w:spacing w:after="0"/>
              <w:rPr>
                <w:sz w:val="12"/>
                <w:szCs w:val="12"/>
                <w:color w:val="auto"/>
              </w:rPr>
            </w:pPr>
          </w:p>
        </w:tc>
        <w:tc>
          <w:tcPr>
            <w:tcW w:w="16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2"/>
                <w:szCs w:val="12"/>
                <w:color w:val="auto"/>
              </w:rPr>
              <w:t>94,606</w:t>
            </w:r>
          </w:p>
        </w:tc>
        <w:tc>
          <w:tcPr>
            <w:tcW w:w="320" w:type="dxa"/>
            <w:vAlign w:val="bottom"/>
            <w:shd w:val="clear" w:color="auto" w:fill="CCEEFF"/>
          </w:tcPr>
          <w:p>
            <w:pPr>
              <w:spacing w:after="0"/>
              <w:rPr>
                <w:sz w:val="12"/>
                <w:szCs w:val="12"/>
                <w:color w:val="auto"/>
              </w:rPr>
            </w:pPr>
          </w:p>
        </w:tc>
        <w:tc>
          <w:tcPr>
            <w:tcW w:w="1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99,545</w:t>
            </w:r>
          </w:p>
        </w:tc>
      </w:tr>
      <w:tr>
        <w:trPr>
          <w:trHeight w:val="144"/>
        </w:trPr>
        <w:tc>
          <w:tcPr>
            <w:tcW w:w="3880" w:type="dxa"/>
            <w:vAlign w:val="bottom"/>
          </w:tcPr>
          <w:p>
            <w:pPr>
              <w:ind w:left="320"/>
              <w:spacing w:after="0"/>
              <w:rPr>
                <w:sz w:val="20"/>
                <w:szCs w:val="20"/>
                <w:color w:val="auto"/>
              </w:rPr>
            </w:pPr>
            <w:r>
              <w:rPr>
                <w:rFonts w:ascii="Times New Roman" w:cs="Times New Roman" w:eastAsia="Times New Roman" w:hAnsi="Times New Roman"/>
                <w:sz w:val="12"/>
                <w:szCs w:val="12"/>
                <w:color w:val="auto"/>
              </w:rPr>
              <w:t>Provision for credit losses</w:t>
            </w:r>
          </w:p>
        </w:tc>
        <w:tc>
          <w:tcPr>
            <w:tcW w:w="268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820" w:type="dxa"/>
            <w:vAlign w:val="bottom"/>
            <w:gridSpan w:val="2"/>
          </w:tcPr>
          <w:p>
            <w:pPr>
              <w:jc w:val="right"/>
              <w:ind w:right="320"/>
              <w:spacing w:after="0"/>
              <w:rPr>
                <w:sz w:val="20"/>
                <w:szCs w:val="20"/>
                <w:color w:val="auto"/>
              </w:rPr>
            </w:pPr>
            <w:r>
              <w:rPr>
                <w:rFonts w:ascii="Times New Roman" w:cs="Times New Roman" w:eastAsia="Times New Roman" w:hAnsi="Times New Roman"/>
                <w:sz w:val="12"/>
                <w:szCs w:val="12"/>
                <w:color w:val="auto"/>
              </w:rPr>
              <w:t>11,562</w:t>
            </w:r>
          </w:p>
        </w:tc>
        <w:tc>
          <w:tcPr>
            <w:tcW w:w="320" w:type="dxa"/>
            <w:vAlign w:val="bottom"/>
          </w:tcPr>
          <w:p>
            <w:pPr>
              <w:spacing w:after="0"/>
              <w:rPr>
                <w:sz w:val="12"/>
                <w:szCs w:val="12"/>
                <w:color w:val="auto"/>
              </w:rPr>
            </w:pPr>
          </w:p>
        </w:tc>
        <w:tc>
          <w:tcPr>
            <w:tcW w:w="194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28,688</w:t>
            </w:r>
          </w:p>
        </w:tc>
      </w:tr>
      <w:tr>
        <w:trPr>
          <w:trHeight w:val="144"/>
        </w:trPr>
        <w:tc>
          <w:tcPr>
            <w:tcW w:w="38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2"/>
                <w:szCs w:val="12"/>
                <w:color w:val="auto"/>
              </w:rPr>
              <w:t>Amortization of deferred sales commissions</w:t>
            </w:r>
          </w:p>
        </w:tc>
        <w:tc>
          <w:tcPr>
            <w:tcW w:w="2680" w:type="dxa"/>
            <w:vAlign w:val="bottom"/>
            <w:shd w:val="clear" w:color="auto" w:fill="CCEEFF"/>
          </w:tcPr>
          <w:p>
            <w:pPr>
              <w:spacing w:after="0"/>
              <w:rPr>
                <w:sz w:val="12"/>
                <w:szCs w:val="12"/>
                <w:color w:val="auto"/>
              </w:rPr>
            </w:pPr>
          </w:p>
        </w:tc>
        <w:tc>
          <w:tcPr>
            <w:tcW w:w="16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2"/>
                <w:szCs w:val="12"/>
                <w:color w:val="auto"/>
              </w:rPr>
              <w:t>165,383</w:t>
            </w:r>
          </w:p>
        </w:tc>
        <w:tc>
          <w:tcPr>
            <w:tcW w:w="320" w:type="dxa"/>
            <w:vAlign w:val="bottom"/>
            <w:shd w:val="clear" w:color="auto" w:fill="CCEEFF"/>
          </w:tcPr>
          <w:p>
            <w:pPr>
              <w:spacing w:after="0"/>
              <w:rPr>
                <w:sz w:val="12"/>
                <w:szCs w:val="12"/>
                <w:color w:val="auto"/>
              </w:rPr>
            </w:pPr>
          </w:p>
        </w:tc>
        <w:tc>
          <w:tcPr>
            <w:tcW w:w="1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151,497</w:t>
            </w:r>
          </w:p>
        </w:tc>
      </w:tr>
      <w:tr>
        <w:trPr>
          <w:trHeight w:val="144"/>
        </w:trPr>
        <w:tc>
          <w:tcPr>
            <w:tcW w:w="3880" w:type="dxa"/>
            <w:vAlign w:val="bottom"/>
          </w:tcPr>
          <w:p>
            <w:pPr>
              <w:ind w:left="320"/>
              <w:spacing w:after="0"/>
              <w:rPr>
                <w:sz w:val="20"/>
                <w:szCs w:val="20"/>
                <w:color w:val="auto"/>
              </w:rPr>
            </w:pPr>
            <w:r>
              <w:rPr>
                <w:rFonts w:ascii="Times New Roman" w:cs="Times New Roman" w:eastAsia="Times New Roman" w:hAnsi="Times New Roman"/>
                <w:sz w:val="12"/>
                <w:szCs w:val="12"/>
                <w:color w:val="auto"/>
              </w:rPr>
              <w:t>Amortization of deferred financing costs reflected as interest expense</w:t>
            </w:r>
          </w:p>
        </w:tc>
        <w:tc>
          <w:tcPr>
            <w:tcW w:w="268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820" w:type="dxa"/>
            <w:vAlign w:val="bottom"/>
            <w:gridSpan w:val="2"/>
          </w:tcPr>
          <w:p>
            <w:pPr>
              <w:jc w:val="right"/>
              <w:ind w:right="320"/>
              <w:spacing w:after="0"/>
              <w:rPr>
                <w:sz w:val="20"/>
                <w:szCs w:val="20"/>
                <w:color w:val="auto"/>
              </w:rPr>
            </w:pPr>
            <w:r>
              <w:rPr>
                <w:rFonts w:ascii="Times New Roman" w:cs="Times New Roman" w:eastAsia="Times New Roman" w:hAnsi="Times New Roman"/>
                <w:sz w:val="12"/>
                <w:szCs w:val="12"/>
                <w:color w:val="auto"/>
              </w:rPr>
              <w:t>2,959</w:t>
            </w:r>
          </w:p>
        </w:tc>
        <w:tc>
          <w:tcPr>
            <w:tcW w:w="320" w:type="dxa"/>
            <w:vAlign w:val="bottom"/>
          </w:tcPr>
          <w:p>
            <w:pPr>
              <w:spacing w:after="0"/>
              <w:rPr>
                <w:sz w:val="12"/>
                <w:szCs w:val="12"/>
                <w:color w:val="auto"/>
              </w:rPr>
            </w:pPr>
          </w:p>
        </w:tc>
        <w:tc>
          <w:tcPr>
            <w:tcW w:w="194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2,959</w:t>
            </w:r>
          </w:p>
        </w:tc>
      </w:tr>
      <w:tr>
        <w:trPr>
          <w:trHeight w:val="144"/>
        </w:trPr>
        <w:tc>
          <w:tcPr>
            <w:tcW w:w="38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2"/>
                <w:szCs w:val="12"/>
                <w:color w:val="auto"/>
              </w:rPr>
              <w:t>Stock-based compensation</w:t>
            </w:r>
          </w:p>
        </w:tc>
        <w:tc>
          <w:tcPr>
            <w:tcW w:w="2680" w:type="dxa"/>
            <w:vAlign w:val="bottom"/>
            <w:shd w:val="clear" w:color="auto" w:fill="CCEEFF"/>
          </w:tcPr>
          <w:p>
            <w:pPr>
              <w:spacing w:after="0"/>
              <w:rPr>
                <w:sz w:val="12"/>
                <w:szCs w:val="12"/>
                <w:color w:val="auto"/>
              </w:rPr>
            </w:pPr>
          </w:p>
        </w:tc>
        <w:tc>
          <w:tcPr>
            <w:tcW w:w="16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2"/>
                <w:szCs w:val="12"/>
                <w:color w:val="auto"/>
              </w:rPr>
              <w:t>8,368</w:t>
            </w:r>
          </w:p>
        </w:tc>
        <w:tc>
          <w:tcPr>
            <w:tcW w:w="320" w:type="dxa"/>
            <w:vAlign w:val="bottom"/>
            <w:shd w:val="clear" w:color="auto" w:fill="CCEEFF"/>
          </w:tcPr>
          <w:p>
            <w:pPr>
              <w:spacing w:after="0"/>
              <w:rPr>
                <w:sz w:val="12"/>
                <w:szCs w:val="12"/>
                <w:color w:val="auto"/>
              </w:rPr>
            </w:pPr>
          </w:p>
        </w:tc>
        <w:tc>
          <w:tcPr>
            <w:tcW w:w="1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130,126</w:t>
            </w:r>
          </w:p>
        </w:tc>
      </w:tr>
      <w:tr>
        <w:trPr>
          <w:trHeight w:val="144"/>
        </w:trPr>
        <w:tc>
          <w:tcPr>
            <w:tcW w:w="388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Change in operating assets:</w:t>
            </w:r>
          </w:p>
        </w:tc>
        <w:tc>
          <w:tcPr>
            <w:tcW w:w="268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4"/>
        </w:trPr>
        <w:tc>
          <w:tcPr>
            <w:tcW w:w="38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2"/>
                <w:szCs w:val="12"/>
                <w:color w:val="auto"/>
              </w:rPr>
              <w:t>Accounts receivable</w:t>
            </w:r>
          </w:p>
        </w:tc>
        <w:tc>
          <w:tcPr>
            <w:tcW w:w="2680" w:type="dxa"/>
            <w:vAlign w:val="bottom"/>
            <w:shd w:val="clear" w:color="auto" w:fill="CCEEFF"/>
          </w:tcPr>
          <w:p>
            <w:pPr>
              <w:spacing w:after="0"/>
              <w:rPr>
                <w:sz w:val="12"/>
                <w:szCs w:val="12"/>
                <w:color w:val="auto"/>
              </w:rPr>
            </w:pPr>
          </w:p>
        </w:tc>
        <w:tc>
          <w:tcPr>
            <w:tcW w:w="16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2"/>
                <w:szCs w:val="12"/>
                <w:color w:val="auto"/>
              </w:rPr>
              <w:t>270,456</w:t>
            </w:r>
          </w:p>
        </w:tc>
        <w:tc>
          <w:tcPr>
            <w:tcW w:w="320" w:type="dxa"/>
            <w:vAlign w:val="bottom"/>
            <w:shd w:val="clear" w:color="auto" w:fill="CCEEFF"/>
          </w:tcPr>
          <w:p>
            <w:pPr>
              <w:spacing w:after="0"/>
              <w:rPr>
                <w:sz w:val="12"/>
                <w:szCs w:val="12"/>
                <w:color w:val="auto"/>
              </w:rPr>
            </w:pPr>
          </w:p>
        </w:tc>
        <w:tc>
          <w:tcPr>
            <w:tcW w:w="1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476,635</w:t>
            </w:r>
          </w:p>
        </w:tc>
      </w:tr>
      <w:tr>
        <w:trPr>
          <w:trHeight w:val="144"/>
        </w:trPr>
        <w:tc>
          <w:tcPr>
            <w:tcW w:w="3880" w:type="dxa"/>
            <w:vAlign w:val="bottom"/>
          </w:tcPr>
          <w:p>
            <w:pPr>
              <w:ind w:left="320"/>
              <w:spacing w:after="0"/>
              <w:rPr>
                <w:sz w:val="20"/>
                <w:szCs w:val="20"/>
                <w:color w:val="auto"/>
              </w:rPr>
            </w:pPr>
            <w:r>
              <w:rPr>
                <w:rFonts w:ascii="Times New Roman" w:cs="Times New Roman" w:eastAsia="Times New Roman" w:hAnsi="Times New Roman"/>
                <w:sz w:val="12"/>
                <w:szCs w:val="12"/>
                <w:color w:val="auto"/>
              </w:rPr>
              <w:t>Deferred sales commissions</w:t>
            </w:r>
          </w:p>
        </w:tc>
        <w:tc>
          <w:tcPr>
            <w:tcW w:w="268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820" w:type="dxa"/>
            <w:vAlign w:val="bottom"/>
            <w:gridSpan w:val="2"/>
          </w:tcPr>
          <w:p>
            <w:pPr>
              <w:jc w:val="right"/>
              <w:ind w:right="320"/>
              <w:spacing w:after="0"/>
              <w:rPr>
                <w:sz w:val="20"/>
                <w:szCs w:val="20"/>
                <w:color w:val="auto"/>
              </w:rPr>
            </w:pPr>
            <w:r>
              <w:rPr>
                <w:rFonts w:ascii="Times New Roman" w:cs="Times New Roman" w:eastAsia="Times New Roman" w:hAnsi="Times New Roman"/>
                <w:sz w:val="12"/>
                <w:szCs w:val="12"/>
                <w:color w:val="auto"/>
              </w:rPr>
              <w:t>113,264</w:t>
            </w:r>
          </w:p>
        </w:tc>
        <w:tc>
          <w:tcPr>
            <w:tcW w:w="320" w:type="dxa"/>
            <w:vAlign w:val="bottom"/>
          </w:tcPr>
          <w:p>
            <w:pPr>
              <w:spacing w:after="0"/>
              <w:rPr>
                <w:sz w:val="12"/>
                <w:szCs w:val="12"/>
                <w:color w:val="auto"/>
              </w:rPr>
            </w:pPr>
          </w:p>
        </w:tc>
        <w:tc>
          <w:tcPr>
            <w:tcW w:w="194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161,358</w:t>
            </w:r>
          </w:p>
        </w:tc>
      </w:tr>
      <w:tr>
        <w:trPr>
          <w:trHeight w:val="144"/>
        </w:trPr>
        <w:tc>
          <w:tcPr>
            <w:tcW w:w="38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2"/>
                <w:szCs w:val="12"/>
                <w:color w:val="auto"/>
              </w:rPr>
              <w:t>Prepaid expenses</w:t>
            </w:r>
          </w:p>
        </w:tc>
        <w:tc>
          <w:tcPr>
            <w:tcW w:w="2680" w:type="dxa"/>
            <w:vAlign w:val="bottom"/>
            <w:shd w:val="clear" w:color="auto" w:fill="CCEEFF"/>
          </w:tcPr>
          <w:p>
            <w:pPr>
              <w:spacing w:after="0"/>
              <w:rPr>
                <w:sz w:val="12"/>
                <w:szCs w:val="12"/>
                <w:color w:val="auto"/>
              </w:rPr>
            </w:pPr>
          </w:p>
        </w:tc>
        <w:tc>
          <w:tcPr>
            <w:tcW w:w="16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2"/>
                <w:szCs w:val="12"/>
                <w:color w:val="auto"/>
              </w:rPr>
              <w:t>13,986</w:t>
            </w:r>
          </w:p>
        </w:tc>
        <w:tc>
          <w:tcPr>
            <w:tcW w:w="320" w:type="dxa"/>
            <w:vAlign w:val="bottom"/>
            <w:shd w:val="clear" w:color="auto" w:fill="CCEEFF"/>
          </w:tcPr>
          <w:p>
            <w:pPr>
              <w:spacing w:after="0"/>
              <w:rPr>
                <w:sz w:val="12"/>
                <w:szCs w:val="12"/>
                <w:color w:val="auto"/>
              </w:rPr>
            </w:pPr>
          </w:p>
        </w:tc>
        <w:tc>
          <w:tcPr>
            <w:tcW w:w="1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76,966</w:t>
            </w:r>
          </w:p>
        </w:tc>
      </w:tr>
      <w:tr>
        <w:trPr>
          <w:trHeight w:val="144"/>
        </w:trPr>
        <w:tc>
          <w:tcPr>
            <w:tcW w:w="388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Change in operating liabilities: Accounts payable</w:t>
            </w:r>
          </w:p>
        </w:tc>
        <w:tc>
          <w:tcPr>
            <w:tcW w:w="268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820" w:type="dxa"/>
            <w:vAlign w:val="bottom"/>
            <w:gridSpan w:val="2"/>
          </w:tcPr>
          <w:p>
            <w:pPr>
              <w:jc w:val="right"/>
              <w:ind w:right="280"/>
              <w:spacing w:after="0"/>
              <w:rPr>
                <w:sz w:val="20"/>
                <w:szCs w:val="20"/>
                <w:color w:val="auto"/>
              </w:rPr>
            </w:pPr>
            <w:r>
              <w:rPr>
                <w:rFonts w:ascii="Times New Roman" w:cs="Times New Roman" w:eastAsia="Times New Roman" w:hAnsi="Times New Roman"/>
                <w:sz w:val="12"/>
                <w:szCs w:val="12"/>
                <w:color w:val="auto"/>
              </w:rPr>
              <w:t>(54,890)</w:t>
            </w:r>
          </w:p>
        </w:tc>
        <w:tc>
          <w:tcPr>
            <w:tcW w:w="320" w:type="dxa"/>
            <w:vAlign w:val="bottom"/>
          </w:tcPr>
          <w:p>
            <w:pPr>
              <w:spacing w:after="0"/>
              <w:rPr>
                <w:sz w:val="12"/>
                <w:szCs w:val="12"/>
                <w:color w:val="auto"/>
              </w:rPr>
            </w:pPr>
          </w:p>
        </w:tc>
        <w:tc>
          <w:tcPr>
            <w:tcW w:w="194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(434,634)</w:t>
            </w:r>
          </w:p>
        </w:tc>
      </w:tr>
      <w:tr>
        <w:trPr>
          <w:trHeight w:val="144"/>
        </w:trPr>
        <w:tc>
          <w:tcPr>
            <w:tcW w:w="38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2"/>
                <w:szCs w:val="12"/>
                <w:color w:val="auto"/>
              </w:rPr>
              <w:t>Accrued expenses</w:t>
            </w:r>
          </w:p>
        </w:tc>
        <w:tc>
          <w:tcPr>
            <w:tcW w:w="2680" w:type="dxa"/>
            <w:vAlign w:val="bottom"/>
            <w:shd w:val="clear" w:color="auto" w:fill="CCEEFF"/>
          </w:tcPr>
          <w:p>
            <w:pPr>
              <w:spacing w:after="0"/>
              <w:rPr>
                <w:sz w:val="12"/>
                <w:szCs w:val="12"/>
                <w:color w:val="auto"/>
              </w:rPr>
            </w:pPr>
          </w:p>
        </w:tc>
        <w:tc>
          <w:tcPr>
            <w:tcW w:w="16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2"/>
                <w:szCs w:val="12"/>
                <w:color w:val="auto"/>
              </w:rPr>
              <w:t>(121,085)</w:t>
            </w:r>
          </w:p>
        </w:tc>
        <w:tc>
          <w:tcPr>
            <w:tcW w:w="320" w:type="dxa"/>
            <w:vAlign w:val="bottom"/>
            <w:shd w:val="clear" w:color="auto" w:fill="CCEEFF"/>
          </w:tcPr>
          <w:p>
            <w:pPr>
              <w:spacing w:after="0"/>
              <w:rPr>
                <w:sz w:val="12"/>
                <w:szCs w:val="12"/>
                <w:color w:val="auto"/>
              </w:rPr>
            </w:pPr>
          </w:p>
        </w:tc>
        <w:tc>
          <w:tcPr>
            <w:tcW w:w="19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(440,541)</w:t>
            </w:r>
          </w:p>
        </w:tc>
      </w:tr>
      <w:tr>
        <w:trPr>
          <w:trHeight w:val="144"/>
        </w:trPr>
        <w:tc>
          <w:tcPr>
            <w:tcW w:w="3880" w:type="dxa"/>
            <w:vAlign w:val="bottom"/>
          </w:tcPr>
          <w:p>
            <w:pPr>
              <w:ind w:left="320"/>
              <w:spacing w:after="0"/>
              <w:rPr>
                <w:sz w:val="20"/>
                <w:szCs w:val="20"/>
                <w:color w:val="auto"/>
              </w:rPr>
            </w:pPr>
            <w:r>
              <w:rPr>
                <w:rFonts w:ascii="Times New Roman" w:cs="Times New Roman" w:eastAsia="Times New Roman" w:hAnsi="Times New Roman"/>
                <w:sz w:val="12"/>
                <w:szCs w:val="12"/>
                <w:color w:val="auto"/>
              </w:rPr>
              <w:t>Deferred revenue</w:t>
            </w:r>
          </w:p>
        </w:tc>
        <w:tc>
          <w:tcPr>
            <w:tcW w:w="268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820" w:type="dxa"/>
            <w:vAlign w:val="bottom"/>
            <w:gridSpan w:val="2"/>
          </w:tcPr>
          <w:p>
            <w:pPr>
              <w:jc w:val="right"/>
              <w:ind w:right="280"/>
              <w:spacing w:after="0"/>
              <w:rPr>
                <w:sz w:val="20"/>
                <w:szCs w:val="20"/>
                <w:color w:val="auto"/>
              </w:rPr>
            </w:pPr>
            <w:r>
              <w:rPr>
                <w:rFonts w:ascii="Times New Roman" w:cs="Times New Roman" w:eastAsia="Times New Roman" w:hAnsi="Times New Roman"/>
                <w:sz w:val="12"/>
                <w:szCs w:val="12"/>
                <w:color w:val="auto"/>
              </w:rPr>
              <w:t>(339,313)</w:t>
            </w:r>
          </w:p>
        </w:tc>
        <w:tc>
          <w:tcPr>
            <w:tcW w:w="320" w:type="dxa"/>
            <w:vAlign w:val="bottom"/>
          </w:tcPr>
          <w:p>
            <w:pPr>
              <w:spacing w:after="0"/>
              <w:rPr>
                <w:sz w:val="12"/>
                <w:szCs w:val="12"/>
                <w:color w:val="auto"/>
              </w:rPr>
            </w:pPr>
          </w:p>
        </w:tc>
        <w:tc>
          <w:tcPr>
            <w:tcW w:w="194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(777,772)</w:t>
            </w:r>
          </w:p>
        </w:tc>
      </w:tr>
      <w:tr>
        <w:trPr>
          <w:trHeight w:val="153"/>
        </w:trPr>
        <w:tc>
          <w:tcPr>
            <w:tcW w:w="388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2"/>
                <w:szCs w:val="12"/>
                <w:color w:val="auto"/>
              </w:rPr>
              <w:t>NET CASH FLOWS FROM OPERATING ACTIVITIES</w:t>
            </w:r>
          </w:p>
        </w:tc>
        <w:tc>
          <w:tcPr>
            <w:tcW w:w="2680" w:type="dxa"/>
            <w:vAlign w:val="bottom"/>
            <w:shd w:val="clear" w:color="auto" w:fill="CCEEFF"/>
          </w:tcPr>
          <w:p>
            <w:pPr>
              <w:spacing w:after="0"/>
              <w:rPr>
                <w:sz w:val="13"/>
                <w:szCs w:val="13"/>
                <w:color w:val="auto"/>
              </w:rPr>
            </w:pPr>
          </w:p>
        </w:tc>
        <w:tc>
          <w:tcPr>
            <w:tcW w:w="166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2"/>
                <w:szCs w:val="12"/>
                <w:color w:val="auto"/>
              </w:rPr>
              <w:t>200,670</w:t>
            </w:r>
          </w:p>
        </w:tc>
        <w:tc>
          <w:tcPr>
            <w:tcW w:w="320" w:type="dxa"/>
            <w:vAlign w:val="bottom"/>
            <w:shd w:val="clear" w:color="auto" w:fill="CCEEFF"/>
          </w:tcPr>
          <w:p>
            <w:pPr>
              <w:spacing w:after="0"/>
              <w:rPr>
                <w:sz w:val="13"/>
                <w:szCs w:val="13"/>
                <w:color w:val="auto"/>
              </w:rPr>
            </w:pPr>
          </w:p>
        </w:tc>
        <w:tc>
          <w:tcPr>
            <w:tcW w:w="19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(1,829,968)</w:t>
            </w:r>
          </w:p>
        </w:tc>
      </w:tr>
      <w:tr>
        <w:trPr>
          <w:trHeight w:val="133"/>
        </w:trPr>
        <w:tc>
          <w:tcPr>
            <w:tcW w:w="3880" w:type="dxa"/>
            <w:vAlign w:val="bottom"/>
          </w:tcPr>
          <w:p>
            <w:pPr>
              <w:spacing w:after="0" w:line="133" w:lineRule="exact"/>
              <w:rPr>
                <w:sz w:val="20"/>
                <w:szCs w:val="20"/>
                <w:color w:val="auto"/>
              </w:rPr>
            </w:pPr>
            <w:r>
              <w:rPr>
                <w:rFonts w:ascii="Times New Roman" w:cs="Times New Roman" w:eastAsia="Times New Roman" w:hAnsi="Times New Roman"/>
                <w:sz w:val="12"/>
                <w:szCs w:val="12"/>
                <w:b w:val="1"/>
                <w:bCs w:val="1"/>
                <w:color w:val="auto"/>
              </w:rPr>
              <w:t>CASH FLOWS FROM INVESTING ACTIVITIES</w:t>
            </w:r>
          </w:p>
        </w:tc>
        <w:tc>
          <w:tcPr>
            <w:tcW w:w="2680" w:type="dxa"/>
            <w:vAlign w:val="bottom"/>
          </w:tcPr>
          <w:p>
            <w:pPr>
              <w:spacing w:after="0"/>
              <w:rPr>
                <w:sz w:val="11"/>
                <w:szCs w:val="11"/>
                <w:color w:val="auto"/>
              </w:rPr>
            </w:pPr>
          </w:p>
        </w:tc>
        <w:tc>
          <w:tcPr>
            <w:tcW w:w="166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182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r>
      <w:tr>
        <w:trPr>
          <w:trHeight w:val="153"/>
        </w:trPr>
        <w:tc>
          <w:tcPr>
            <w:tcW w:w="38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Purchase of intangible assets</w:t>
            </w:r>
          </w:p>
        </w:tc>
        <w:tc>
          <w:tcPr>
            <w:tcW w:w="2680" w:type="dxa"/>
            <w:vAlign w:val="bottom"/>
            <w:shd w:val="clear" w:color="auto" w:fill="CCEEFF"/>
          </w:tcPr>
          <w:p>
            <w:pPr>
              <w:spacing w:after="0"/>
              <w:rPr>
                <w:sz w:val="13"/>
                <w:szCs w:val="13"/>
                <w:color w:val="auto"/>
              </w:rPr>
            </w:pPr>
          </w:p>
        </w:tc>
        <w:tc>
          <w:tcPr>
            <w:tcW w:w="166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2"/>
                <w:szCs w:val="12"/>
                <w:color w:val="auto"/>
              </w:rPr>
              <w:t>(8,811)</w:t>
            </w:r>
          </w:p>
        </w:tc>
        <w:tc>
          <w:tcPr>
            <w:tcW w:w="320" w:type="dxa"/>
            <w:vAlign w:val="bottom"/>
            <w:shd w:val="clear" w:color="auto" w:fill="CCEEFF"/>
          </w:tcPr>
          <w:p>
            <w:pPr>
              <w:spacing w:after="0"/>
              <w:rPr>
                <w:sz w:val="13"/>
                <w:szCs w:val="13"/>
                <w:color w:val="auto"/>
              </w:rPr>
            </w:pPr>
          </w:p>
        </w:tc>
        <w:tc>
          <w:tcPr>
            <w:tcW w:w="19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(5,415)</w:t>
            </w:r>
          </w:p>
        </w:tc>
      </w:tr>
      <w:tr>
        <w:trPr>
          <w:trHeight w:val="133"/>
        </w:trPr>
        <w:tc>
          <w:tcPr>
            <w:tcW w:w="3880" w:type="dxa"/>
            <w:vAlign w:val="bottom"/>
          </w:tcPr>
          <w:p>
            <w:pPr>
              <w:spacing w:after="0" w:line="133" w:lineRule="exact"/>
              <w:rPr>
                <w:sz w:val="20"/>
                <w:szCs w:val="20"/>
                <w:color w:val="auto"/>
              </w:rPr>
            </w:pPr>
            <w:r>
              <w:rPr>
                <w:rFonts w:ascii="Times New Roman" w:cs="Times New Roman" w:eastAsia="Times New Roman" w:hAnsi="Times New Roman"/>
                <w:sz w:val="12"/>
                <w:szCs w:val="12"/>
                <w:b w:val="1"/>
                <w:bCs w:val="1"/>
                <w:color w:val="auto"/>
              </w:rPr>
              <w:t>CASH FLOWS FROM FINANCING ACTIVITIES</w:t>
            </w:r>
          </w:p>
        </w:tc>
        <w:tc>
          <w:tcPr>
            <w:tcW w:w="2680" w:type="dxa"/>
            <w:vAlign w:val="bottom"/>
          </w:tcPr>
          <w:p>
            <w:pPr>
              <w:spacing w:after="0"/>
              <w:rPr>
                <w:sz w:val="11"/>
                <w:szCs w:val="11"/>
                <w:color w:val="auto"/>
              </w:rPr>
            </w:pPr>
          </w:p>
        </w:tc>
        <w:tc>
          <w:tcPr>
            <w:tcW w:w="166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182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r>
      <w:tr>
        <w:trPr>
          <w:trHeight w:val="144"/>
        </w:trPr>
        <w:tc>
          <w:tcPr>
            <w:tcW w:w="38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Proceeds from exercise of stock options</w:t>
            </w:r>
          </w:p>
        </w:tc>
        <w:tc>
          <w:tcPr>
            <w:tcW w:w="2680" w:type="dxa"/>
            <w:vAlign w:val="bottom"/>
            <w:shd w:val="clear" w:color="auto" w:fill="CCEEFF"/>
          </w:tcPr>
          <w:p>
            <w:pPr>
              <w:spacing w:after="0"/>
              <w:rPr>
                <w:sz w:val="12"/>
                <w:szCs w:val="12"/>
                <w:color w:val="auto"/>
              </w:rPr>
            </w:pPr>
          </w:p>
        </w:tc>
        <w:tc>
          <w:tcPr>
            <w:tcW w:w="16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2"/>
                <w:szCs w:val="12"/>
                <w:color w:val="auto"/>
              </w:rPr>
              <w:t>-</w:t>
            </w:r>
          </w:p>
        </w:tc>
        <w:tc>
          <w:tcPr>
            <w:tcW w:w="320" w:type="dxa"/>
            <w:vAlign w:val="bottom"/>
            <w:shd w:val="clear" w:color="auto" w:fill="CCEEFF"/>
          </w:tcPr>
          <w:p>
            <w:pPr>
              <w:spacing w:after="0"/>
              <w:rPr>
                <w:sz w:val="12"/>
                <w:szCs w:val="12"/>
                <w:color w:val="auto"/>
              </w:rPr>
            </w:pPr>
          </w:p>
        </w:tc>
        <w:tc>
          <w:tcPr>
            <w:tcW w:w="1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888</w:t>
            </w:r>
          </w:p>
        </w:tc>
      </w:tr>
      <w:tr>
        <w:trPr>
          <w:trHeight w:val="144"/>
        </w:trPr>
        <w:tc>
          <w:tcPr>
            <w:tcW w:w="388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Payments of long-term debt</w:t>
            </w:r>
          </w:p>
        </w:tc>
        <w:tc>
          <w:tcPr>
            <w:tcW w:w="268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820" w:type="dxa"/>
            <w:vAlign w:val="bottom"/>
            <w:gridSpan w:val="2"/>
          </w:tcPr>
          <w:p>
            <w:pPr>
              <w:jc w:val="right"/>
              <w:ind w:right="280"/>
              <w:spacing w:after="0"/>
              <w:rPr>
                <w:sz w:val="20"/>
                <w:szCs w:val="20"/>
                <w:color w:val="auto"/>
              </w:rPr>
            </w:pPr>
            <w:r>
              <w:rPr>
                <w:rFonts w:ascii="Times New Roman" w:cs="Times New Roman" w:eastAsia="Times New Roman" w:hAnsi="Times New Roman"/>
                <w:sz w:val="12"/>
                <w:szCs w:val="12"/>
                <w:color w:val="auto"/>
              </w:rPr>
              <w:t>(301,667)</w:t>
            </w:r>
          </w:p>
        </w:tc>
        <w:tc>
          <w:tcPr>
            <w:tcW w:w="320" w:type="dxa"/>
            <w:vAlign w:val="bottom"/>
          </w:tcPr>
          <w:p>
            <w:pPr>
              <w:spacing w:after="0"/>
              <w:rPr>
                <w:sz w:val="12"/>
                <w:szCs w:val="12"/>
                <w:color w:val="auto"/>
              </w:rPr>
            </w:pPr>
          </w:p>
        </w:tc>
        <w:tc>
          <w:tcPr>
            <w:tcW w:w="194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(100,000)</w:t>
            </w:r>
          </w:p>
        </w:tc>
      </w:tr>
      <w:tr>
        <w:trPr>
          <w:trHeight w:val="153"/>
        </w:trPr>
        <w:tc>
          <w:tcPr>
            <w:tcW w:w="38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Proceeds from long-term debt</w:t>
            </w:r>
          </w:p>
        </w:tc>
        <w:tc>
          <w:tcPr>
            <w:tcW w:w="2680" w:type="dxa"/>
            <w:vAlign w:val="bottom"/>
            <w:shd w:val="clear" w:color="auto" w:fill="CCEEFF"/>
          </w:tcPr>
          <w:p>
            <w:pPr>
              <w:spacing w:after="0"/>
              <w:rPr>
                <w:sz w:val="13"/>
                <w:szCs w:val="13"/>
                <w:color w:val="auto"/>
              </w:rPr>
            </w:pPr>
          </w:p>
        </w:tc>
        <w:tc>
          <w:tcPr>
            <w:tcW w:w="166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2"/>
                <w:szCs w:val="12"/>
                <w:color w:val="auto"/>
              </w:rPr>
              <w:t>-</w:t>
            </w:r>
          </w:p>
        </w:tc>
        <w:tc>
          <w:tcPr>
            <w:tcW w:w="320" w:type="dxa"/>
            <w:vAlign w:val="bottom"/>
            <w:shd w:val="clear" w:color="auto" w:fill="CCEEFF"/>
          </w:tcPr>
          <w:p>
            <w:pPr>
              <w:spacing w:after="0"/>
              <w:rPr>
                <w:sz w:val="13"/>
                <w:szCs w:val="13"/>
                <w:color w:val="auto"/>
              </w:rPr>
            </w:pPr>
          </w:p>
        </w:tc>
        <w:tc>
          <w:tcPr>
            <w:tcW w:w="1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750,000</w:t>
            </w:r>
          </w:p>
        </w:tc>
      </w:tr>
      <w:tr>
        <w:trPr>
          <w:trHeight w:val="133"/>
        </w:trPr>
        <w:tc>
          <w:tcPr>
            <w:tcW w:w="3880" w:type="dxa"/>
            <w:vAlign w:val="bottom"/>
            <w:tcBorders>
              <w:bottom w:val="single" w:sz="8" w:color="CCEEFF"/>
            </w:tcBorders>
          </w:tcPr>
          <w:p>
            <w:pPr>
              <w:ind w:left="420"/>
              <w:spacing w:after="0" w:line="133" w:lineRule="exact"/>
              <w:rPr>
                <w:sz w:val="20"/>
                <w:szCs w:val="20"/>
                <w:color w:val="auto"/>
              </w:rPr>
            </w:pPr>
            <w:r>
              <w:rPr>
                <w:rFonts w:ascii="Times New Roman" w:cs="Times New Roman" w:eastAsia="Times New Roman" w:hAnsi="Times New Roman"/>
                <w:sz w:val="12"/>
                <w:szCs w:val="12"/>
                <w:color w:val="auto"/>
              </w:rPr>
              <w:t>NET CASH FLOWS FROM FINANCING ACTIVITIES</w:t>
            </w:r>
          </w:p>
        </w:tc>
        <w:tc>
          <w:tcPr>
            <w:tcW w:w="2680" w:type="dxa"/>
            <w:vAlign w:val="bottom"/>
            <w:tcBorders>
              <w:bottom w:val="single" w:sz="8" w:color="CCEEFF"/>
            </w:tcBorders>
          </w:tcPr>
          <w:p>
            <w:pPr>
              <w:spacing w:after="0"/>
              <w:rPr>
                <w:sz w:val="11"/>
                <w:szCs w:val="11"/>
                <w:color w:val="auto"/>
              </w:rPr>
            </w:pPr>
          </w:p>
        </w:tc>
        <w:tc>
          <w:tcPr>
            <w:tcW w:w="1660" w:type="dxa"/>
            <w:vAlign w:val="bottom"/>
            <w:tcBorders>
              <w:top w:val="single" w:sz="8" w:color="auto"/>
              <w:bottom w:val="single" w:sz="8" w:color="auto"/>
            </w:tcBorders>
          </w:tcPr>
          <w:p>
            <w:pPr>
              <w:spacing w:after="0"/>
              <w:rPr>
                <w:sz w:val="11"/>
                <w:szCs w:val="11"/>
                <w:color w:val="auto"/>
              </w:rPr>
            </w:pPr>
          </w:p>
        </w:tc>
        <w:tc>
          <w:tcPr>
            <w:tcW w:w="500" w:type="dxa"/>
            <w:vAlign w:val="bottom"/>
            <w:tcBorders>
              <w:top w:val="single" w:sz="8" w:color="auto"/>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(301,667)</w:t>
            </w:r>
          </w:p>
        </w:tc>
        <w:tc>
          <w:tcPr>
            <w:tcW w:w="320" w:type="dxa"/>
            <w:vAlign w:val="bottom"/>
            <w:tcBorders>
              <w:bottom w:val="single" w:sz="8" w:color="CCEEFF"/>
            </w:tcBorders>
          </w:tcPr>
          <w:p>
            <w:pPr>
              <w:spacing w:after="0"/>
              <w:rPr>
                <w:sz w:val="11"/>
                <w:szCs w:val="11"/>
                <w:color w:val="auto"/>
              </w:rPr>
            </w:pPr>
          </w:p>
        </w:tc>
        <w:tc>
          <w:tcPr>
            <w:tcW w:w="320" w:type="dxa"/>
            <w:vAlign w:val="bottom"/>
            <w:tcBorders>
              <w:top w:val="single" w:sz="8" w:color="auto"/>
              <w:bottom w:val="single" w:sz="8" w:color="auto"/>
            </w:tcBorders>
          </w:tcPr>
          <w:p>
            <w:pPr>
              <w:spacing w:after="0"/>
              <w:rPr>
                <w:sz w:val="11"/>
                <w:szCs w:val="11"/>
                <w:color w:val="auto"/>
              </w:rPr>
            </w:pPr>
          </w:p>
        </w:tc>
        <w:tc>
          <w:tcPr>
            <w:tcW w:w="1820" w:type="dxa"/>
            <w:vAlign w:val="bottom"/>
            <w:tcBorders>
              <w:top w:val="single" w:sz="8" w:color="auto"/>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650,888</w:t>
            </w:r>
          </w:p>
        </w:tc>
        <w:tc>
          <w:tcPr>
            <w:tcW w:w="120" w:type="dxa"/>
            <w:vAlign w:val="bottom"/>
            <w:tcBorders>
              <w:bottom w:val="single" w:sz="8" w:color="CCEEFF"/>
            </w:tcBorders>
          </w:tcPr>
          <w:p>
            <w:pPr>
              <w:spacing w:after="0"/>
              <w:rPr>
                <w:sz w:val="11"/>
                <w:szCs w:val="11"/>
                <w:color w:val="auto"/>
              </w:rPr>
            </w:pPr>
          </w:p>
        </w:tc>
      </w:tr>
      <w:tr>
        <w:trPr>
          <w:trHeight w:val="133"/>
        </w:trPr>
        <w:tc>
          <w:tcPr>
            <w:tcW w:w="3880" w:type="dxa"/>
            <w:vAlign w:val="bottom"/>
            <w:shd w:val="clear" w:color="auto" w:fill="CCEEFF"/>
          </w:tcPr>
          <w:p>
            <w:pPr>
              <w:ind w:left="420"/>
              <w:spacing w:after="0" w:line="133" w:lineRule="exact"/>
              <w:rPr>
                <w:sz w:val="20"/>
                <w:szCs w:val="20"/>
                <w:color w:val="auto"/>
              </w:rPr>
            </w:pPr>
            <w:r>
              <w:rPr>
                <w:rFonts w:ascii="Times New Roman" w:cs="Times New Roman" w:eastAsia="Times New Roman" w:hAnsi="Times New Roman"/>
                <w:sz w:val="12"/>
                <w:szCs w:val="12"/>
                <w:color w:val="auto"/>
              </w:rPr>
              <w:t>NET CHANGE IN CASH</w:t>
            </w:r>
          </w:p>
        </w:tc>
        <w:tc>
          <w:tcPr>
            <w:tcW w:w="2680" w:type="dxa"/>
            <w:vAlign w:val="bottom"/>
            <w:shd w:val="clear" w:color="auto" w:fill="CCEEFF"/>
          </w:tcPr>
          <w:p>
            <w:pPr>
              <w:spacing w:after="0"/>
              <w:rPr>
                <w:sz w:val="11"/>
                <w:szCs w:val="11"/>
                <w:color w:val="auto"/>
              </w:rPr>
            </w:pPr>
          </w:p>
        </w:tc>
        <w:tc>
          <w:tcPr>
            <w:tcW w:w="166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(109,808)</w:t>
            </w:r>
          </w:p>
        </w:tc>
        <w:tc>
          <w:tcPr>
            <w:tcW w:w="32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82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(1,184,495)</w:t>
            </w:r>
          </w:p>
        </w:tc>
        <w:tc>
          <w:tcPr>
            <w:tcW w:w="120" w:type="dxa"/>
            <w:vAlign w:val="bottom"/>
            <w:shd w:val="clear" w:color="auto" w:fill="CCEEFF"/>
          </w:tcPr>
          <w:p>
            <w:pPr>
              <w:spacing w:after="0"/>
              <w:rPr>
                <w:sz w:val="11"/>
                <w:szCs w:val="11"/>
                <w:color w:val="auto"/>
              </w:rPr>
            </w:pPr>
          </w:p>
        </w:tc>
      </w:tr>
      <w:tr>
        <w:trPr>
          <w:trHeight w:val="153"/>
        </w:trPr>
        <w:tc>
          <w:tcPr>
            <w:tcW w:w="3880" w:type="dxa"/>
            <w:vAlign w:val="bottom"/>
          </w:tcPr>
          <w:p>
            <w:pPr>
              <w:ind w:left="420"/>
              <w:spacing w:after="0"/>
              <w:rPr>
                <w:sz w:val="20"/>
                <w:szCs w:val="20"/>
                <w:color w:val="auto"/>
              </w:rPr>
            </w:pPr>
            <w:r>
              <w:rPr>
                <w:rFonts w:ascii="Times New Roman" w:cs="Times New Roman" w:eastAsia="Times New Roman" w:hAnsi="Times New Roman"/>
                <w:sz w:val="12"/>
                <w:szCs w:val="12"/>
                <w:color w:val="auto"/>
              </w:rPr>
              <w:t>CASH, BEGINNING OF YEAR</w:t>
            </w:r>
          </w:p>
        </w:tc>
        <w:tc>
          <w:tcPr>
            <w:tcW w:w="268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820" w:type="dxa"/>
            <w:vAlign w:val="bottom"/>
            <w:gridSpan w:val="2"/>
          </w:tcPr>
          <w:p>
            <w:pPr>
              <w:jc w:val="right"/>
              <w:ind w:right="320"/>
              <w:spacing w:after="0"/>
              <w:rPr>
                <w:sz w:val="20"/>
                <w:szCs w:val="20"/>
                <w:color w:val="auto"/>
              </w:rPr>
            </w:pPr>
            <w:r>
              <w:rPr>
                <w:rFonts w:ascii="Times New Roman" w:cs="Times New Roman" w:eastAsia="Times New Roman" w:hAnsi="Times New Roman"/>
                <w:sz w:val="12"/>
                <w:szCs w:val="12"/>
                <w:color w:val="auto"/>
              </w:rPr>
              <w:t>720,633</w:t>
            </w:r>
          </w:p>
        </w:tc>
        <w:tc>
          <w:tcPr>
            <w:tcW w:w="320" w:type="dxa"/>
            <w:vAlign w:val="bottom"/>
          </w:tcPr>
          <w:p>
            <w:pPr>
              <w:spacing w:after="0"/>
              <w:rPr>
                <w:sz w:val="13"/>
                <w:szCs w:val="13"/>
                <w:color w:val="auto"/>
              </w:rPr>
            </w:pPr>
          </w:p>
        </w:tc>
        <w:tc>
          <w:tcPr>
            <w:tcW w:w="194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1,966,147</w:t>
            </w:r>
          </w:p>
        </w:tc>
      </w:tr>
      <w:tr>
        <w:trPr>
          <w:trHeight w:val="162"/>
        </w:trPr>
        <w:tc>
          <w:tcPr>
            <w:tcW w:w="3880" w:type="dxa"/>
            <w:vAlign w:val="bottom"/>
            <w:tcBorders>
              <w:top w:val="single" w:sz="8" w:color="CCEEFF"/>
              <w:bottom w:val="single" w:sz="8" w:color="CCEEFF"/>
            </w:tcBorders>
            <w:shd w:val="clear" w:color="auto" w:fill="CCEEFF"/>
          </w:tcPr>
          <w:p>
            <w:pPr>
              <w:ind w:left="420"/>
              <w:spacing w:after="0" w:line="135" w:lineRule="exact"/>
              <w:rPr>
                <w:sz w:val="20"/>
                <w:szCs w:val="20"/>
                <w:color w:val="auto"/>
              </w:rPr>
            </w:pPr>
            <w:r>
              <w:rPr>
                <w:rFonts w:ascii="Times New Roman" w:cs="Times New Roman" w:eastAsia="Times New Roman" w:hAnsi="Times New Roman"/>
                <w:sz w:val="12"/>
                <w:szCs w:val="12"/>
                <w:color w:val="auto"/>
              </w:rPr>
              <w:t>CASH, END OF YEAR</w:t>
            </w:r>
          </w:p>
        </w:tc>
        <w:tc>
          <w:tcPr>
            <w:tcW w:w="2680" w:type="dxa"/>
            <w:vAlign w:val="bottom"/>
            <w:tcBorders>
              <w:top w:val="single" w:sz="8" w:color="CCEEFF"/>
              <w:bottom w:val="single" w:sz="8" w:color="CCEEFF"/>
            </w:tcBorders>
            <w:shd w:val="clear" w:color="auto" w:fill="CCEEFF"/>
          </w:tcPr>
          <w:p>
            <w:pPr>
              <w:spacing w:after="0"/>
              <w:rPr>
                <w:sz w:val="14"/>
                <w:szCs w:val="14"/>
                <w:color w:val="auto"/>
              </w:rPr>
            </w:pPr>
          </w:p>
        </w:tc>
        <w:tc>
          <w:tcPr>
            <w:tcW w:w="1660" w:type="dxa"/>
            <w:vAlign w:val="bottom"/>
            <w:tcBorders>
              <w:top w:val="single" w:sz="8" w:color="auto"/>
              <w:bottom w:val="single" w:sz="8" w:color="auto"/>
            </w:tcBorders>
            <w:shd w:val="clear" w:color="auto" w:fill="CCEEFF"/>
          </w:tcPr>
          <w:p>
            <w:pPr>
              <w:jc w:val="right"/>
              <w:ind w:right="1543"/>
              <w:spacing w:after="0"/>
              <w:rPr>
                <w:sz w:val="20"/>
                <w:szCs w:val="20"/>
                <w:color w:val="auto"/>
              </w:rPr>
            </w:pPr>
            <w:r>
              <w:rPr>
                <w:rFonts w:ascii="Times New Roman" w:cs="Times New Roman" w:eastAsia="Times New Roman" w:hAnsi="Times New Roman"/>
                <w:sz w:val="11"/>
                <w:szCs w:val="11"/>
                <w:color w:val="auto"/>
                <w:w w:val="71"/>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610,825</w:t>
            </w:r>
          </w:p>
        </w:tc>
        <w:tc>
          <w:tcPr>
            <w:tcW w:w="320" w:type="dxa"/>
            <w:vAlign w:val="bottom"/>
            <w:tcBorders>
              <w:top w:val="single" w:sz="8" w:color="CCEEFF"/>
              <w:bottom w:val="single" w:sz="8" w:color="CCEEFF"/>
            </w:tcBorders>
            <w:shd w:val="clear" w:color="auto" w:fill="CCEEFF"/>
          </w:tcPr>
          <w:p>
            <w:pPr>
              <w:spacing w:after="0"/>
              <w:rPr>
                <w:sz w:val="14"/>
                <w:szCs w:val="14"/>
                <w:color w:val="auto"/>
              </w:rPr>
            </w:pPr>
          </w:p>
        </w:tc>
        <w:tc>
          <w:tcPr>
            <w:tcW w:w="320" w:type="dxa"/>
            <w:vAlign w:val="bottom"/>
            <w:tcBorders>
              <w:top w:val="single" w:sz="8" w:color="auto"/>
              <w:bottom w:val="single" w:sz="8" w:color="auto"/>
            </w:tcBorders>
            <w:shd w:val="clear" w:color="auto" w:fill="CCEEFF"/>
          </w:tcPr>
          <w:p>
            <w:pPr>
              <w:jc w:val="right"/>
              <w:ind w:right="206"/>
              <w:spacing w:after="0"/>
              <w:rPr>
                <w:sz w:val="20"/>
                <w:szCs w:val="20"/>
                <w:color w:val="auto"/>
              </w:rPr>
            </w:pPr>
            <w:r>
              <w:rPr>
                <w:rFonts w:ascii="Times New Roman" w:cs="Times New Roman" w:eastAsia="Times New Roman" w:hAnsi="Times New Roman"/>
                <w:sz w:val="11"/>
                <w:szCs w:val="11"/>
                <w:color w:val="auto"/>
                <w:w w:val="71"/>
              </w:rPr>
              <w:t>$</w:t>
            </w:r>
          </w:p>
        </w:tc>
        <w:tc>
          <w:tcPr>
            <w:tcW w:w="1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781,652</w:t>
            </w:r>
          </w:p>
        </w:tc>
        <w:tc>
          <w:tcPr>
            <w:tcW w:w="120" w:type="dxa"/>
            <w:vAlign w:val="bottom"/>
            <w:tcBorders>
              <w:top w:val="single" w:sz="8" w:color="CCEEFF"/>
              <w:bottom w:val="single" w:sz="8" w:color="CCEEFF"/>
            </w:tcBorders>
            <w:shd w:val="clear" w:color="auto" w:fill="CCEEFF"/>
          </w:tcPr>
          <w:p>
            <w:pPr>
              <w:spacing w:after="0"/>
              <w:rPr>
                <w:sz w:val="14"/>
                <w:szCs w:val="14"/>
                <w:color w:val="auto"/>
              </w:rPr>
            </w:pPr>
          </w:p>
        </w:tc>
      </w:tr>
      <w:tr>
        <w:trPr>
          <w:trHeight w:val="131"/>
        </w:trPr>
        <w:tc>
          <w:tcPr>
            <w:tcW w:w="3880" w:type="dxa"/>
            <w:vAlign w:val="bottom"/>
          </w:tcPr>
          <w:p>
            <w:pPr>
              <w:ind w:left="420"/>
              <w:spacing w:after="0" w:line="131" w:lineRule="exact"/>
              <w:rPr>
                <w:sz w:val="20"/>
                <w:szCs w:val="20"/>
                <w:color w:val="auto"/>
              </w:rPr>
            </w:pPr>
            <w:r>
              <w:rPr>
                <w:rFonts w:ascii="Times New Roman" w:cs="Times New Roman" w:eastAsia="Times New Roman" w:hAnsi="Times New Roman"/>
                <w:sz w:val="12"/>
                <w:szCs w:val="12"/>
                <w:b w:val="1"/>
                <w:bCs w:val="1"/>
                <w:color w:val="auto"/>
              </w:rPr>
              <w:t>SUPPLEMENTAL CASH FLOWS INFORMATION</w:t>
            </w:r>
          </w:p>
        </w:tc>
        <w:tc>
          <w:tcPr>
            <w:tcW w:w="268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82"/>
        </w:trPr>
        <w:tc>
          <w:tcPr>
            <w:tcW w:w="388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2"/>
                <w:szCs w:val="12"/>
                <w:color w:val="auto"/>
              </w:rPr>
              <w:t>Interest paid</w:t>
            </w:r>
          </w:p>
        </w:tc>
        <w:tc>
          <w:tcPr>
            <w:tcW w:w="4340" w:type="dxa"/>
            <w:vAlign w:val="bottom"/>
            <w:gridSpan w:val="2"/>
            <w:shd w:val="clear" w:color="auto" w:fill="CCEEFF"/>
          </w:tcPr>
          <w:p>
            <w:pPr>
              <w:jc w:val="right"/>
              <w:ind w:right="1543"/>
              <w:spacing w:after="0"/>
              <w:rPr>
                <w:sz w:val="20"/>
                <w:szCs w:val="20"/>
                <w:color w:val="auto"/>
              </w:rPr>
            </w:pPr>
            <w:r>
              <w:rPr>
                <w:rFonts w:ascii="Times New Roman" w:cs="Times New Roman" w:eastAsia="Times New Roman" w:hAnsi="Times New Roman"/>
                <w:sz w:val="12"/>
                <w:szCs w:val="12"/>
                <w:color w:val="auto"/>
              </w:rPr>
              <w:t>$</w:t>
            </w:r>
          </w:p>
        </w:tc>
        <w:tc>
          <w:tcPr>
            <w:tcW w:w="8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2"/>
                <w:szCs w:val="12"/>
                <w:color w:val="auto"/>
              </w:rPr>
              <w:t>47,987</w:t>
            </w:r>
          </w:p>
        </w:tc>
        <w:tc>
          <w:tcPr>
            <w:tcW w:w="320" w:type="dxa"/>
            <w:vAlign w:val="bottom"/>
            <w:shd w:val="clear" w:color="auto" w:fill="CCEEFF"/>
          </w:tcPr>
          <w:p>
            <w:pPr>
              <w:jc w:val="right"/>
              <w:ind w:right="206"/>
              <w:spacing w:after="0"/>
              <w:rPr>
                <w:sz w:val="20"/>
                <w:szCs w:val="20"/>
                <w:color w:val="auto"/>
              </w:rPr>
            </w:pPr>
            <w:r>
              <w:rPr>
                <w:rFonts w:ascii="Times New Roman" w:cs="Times New Roman" w:eastAsia="Times New Roman" w:hAnsi="Times New Roman"/>
                <w:sz w:val="11"/>
                <w:szCs w:val="11"/>
                <w:color w:val="auto"/>
                <w:w w:val="71"/>
              </w:rPr>
              <w:t>$</w:t>
            </w:r>
          </w:p>
        </w:tc>
        <w:tc>
          <w:tcPr>
            <w:tcW w:w="1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51,136</w:t>
            </w:r>
          </w:p>
        </w:tc>
      </w:tr>
      <w:tr>
        <w:trPr>
          <w:trHeight w:val="275"/>
        </w:trPr>
        <w:tc>
          <w:tcPr>
            <w:tcW w:w="3880" w:type="dxa"/>
            <w:vAlign w:val="bottom"/>
            <w:tcBorders>
              <w:top w:val="single" w:sz="8" w:color="CCEEFF"/>
              <w:bottom w:val="single" w:sz="8" w:color="auto"/>
            </w:tcBorders>
          </w:tcPr>
          <w:p>
            <w:pPr>
              <w:spacing w:after="0"/>
              <w:rPr>
                <w:sz w:val="23"/>
                <w:szCs w:val="23"/>
                <w:color w:val="auto"/>
              </w:rPr>
            </w:pPr>
          </w:p>
        </w:tc>
        <w:tc>
          <w:tcPr>
            <w:tcW w:w="2680" w:type="dxa"/>
            <w:vAlign w:val="bottom"/>
            <w:tcBorders>
              <w:top w:val="single" w:sz="8" w:color="CCEEFF"/>
              <w:bottom w:val="single" w:sz="8" w:color="auto"/>
            </w:tcBorders>
          </w:tcPr>
          <w:p>
            <w:pPr>
              <w:jc w:val="center"/>
              <w:ind w:left="800"/>
              <w:spacing w:after="0"/>
              <w:rPr>
                <w:sz w:val="20"/>
                <w:szCs w:val="20"/>
                <w:color w:val="auto"/>
              </w:rPr>
            </w:pPr>
            <w:r>
              <w:rPr>
                <w:rFonts w:ascii="Times New Roman" w:cs="Times New Roman" w:eastAsia="Times New Roman" w:hAnsi="Times New Roman"/>
                <w:sz w:val="12"/>
                <w:szCs w:val="12"/>
                <w:color w:val="auto"/>
                <w:w w:val="99"/>
              </w:rPr>
              <w:t>3</w:t>
            </w:r>
          </w:p>
        </w:tc>
        <w:tc>
          <w:tcPr>
            <w:tcW w:w="1660" w:type="dxa"/>
            <w:vAlign w:val="bottom"/>
            <w:tcBorders>
              <w:top w:val="single" w:sz="8" w:color="auto"/>
              <w:bottom w:val="single" w:sz="8" w:color="auto"/>
            </w:tcBorders>
          </w:tcPr>
          <w:p>
            <w:pPr>
              <w:spacing w:after="0"/>
              <w:rPr>
                <w:sz w:val="23"/>
                <w:szCs w:val="23"/>
                <w:color w:val="auto"/>
              </w:rPr>
            </w:pPr>
          </w:p>
        </w:tc>
        <w:tc>
          <w:tcPr>
            <w:tcW w:w="500" w:type="dxa"/>
            <w:vAlign w:val="bottom"/>
            <w:tcBorders>
              <w:top w:val="single" w:sz="8" w:color="auto"/>
              <w:bottom w:val="single" w:sz="8" w:color="auto"/>
            </w:tcBorders>
          </w:tcPr>
          <w:p>
            <w:pPr>
              <w:spacing w:after="0"/>
              <w:rPr>
                <w:sz w:val="23"/>
                <w:szCs w:val="23"/>
                <w:color w:val="auto"/>
              </w:rPr>
            </w:pPr>
          </w:p>
        </w:tc>
        <w:tc>
          <w:tcPr>
            <w:tcW w:w="320" w:type="dxa"/>
            <w:vAlign w:val="bottom"/>
            <w:tcBorders>
              <w:top w:val="single" w:sz="8" w:color="CCEEFF"/>
              <w:bottom w:val="single" w:sz="8" w:color="auto"/>
            </w:tcBorders>
          </w:tcPr>
          <w:p>
            <w:pPr>
              <w:spacing w:after="0"/>
              <w:rPr>
                <w:sz w:val="23"/>
                <w:szCs w:val="23"/>
                <w:color w:val="auto"/>
              </w:rPr>
            </w:pPr>
          </w:p>
        </w:tc>
        <w:tc>
          <w:tcPr>
            <w:tcW w:w="320" w:type="dxa"/>
            <w:vAlign w:val="bottom"/>
            <w:tcBorders>
              <w:top w:val="single" w:sz="8" w:color="auto"/>
              <w:bottom w:val="single" w:sz="8" w:color="auto"/>
            </w:tcBorders>
          </w:tcPr>
          <w:p>
            <w:pPr>
              <w:spacing w:after="0"/>
              <w:rPr>
                <w:sz w:val="23"/>
                <w:szCs w:val="23"/>
                <w:color w:val="auto"/>
              </w:rPr>
            </w:pPr>
          </w:p>
        </w:tc>
        <w:tc>
          <w:tcPr>
            <w:tcW w:w="1820" w:type="dxa"/>
            <w:vAlign w:val="bottom"/>
            <w:tcBorders>
              <w:top w:val="single" w:sz="8" w:color="auto"/>
              <w:bottom w:val="single" w:sz="8" w:color="auto"/>
            </w:tcBorders>
          </w:tcPr>
          <w:p>
            <w:pPr>
              <w:spacing w:after="0"/>
              <w:rPr>
                <w:sz w:val="23"/>
                <w:szCs w:val="23"/>
                <w:color w:val="auto"/>
              </w:rPr>
            </w:pPr>
          </w:p>
        </w:tc>
        <w:tc>
          <w:tcPr>
            <w:tcW w:w="120" w:type="dxa"/>
            <w:vAlign w:val="bottom"/>
            <w:tcBorders>
              <w:top w:val="single" w:sz="8" w:color="CCEEFF"/>
              <w:bottom w:val="single" w:sz="8" w:color="auto"/>
            </w:tcBorders>
          </w:tcPr>
          <w:p>
            <w:pPr>
              <w:spacing w:after="0"/>
              <w:rPr>
                <w:sz w:val="23"/>
                <w:szCs w:val="23"/>
                <w:color w:val="auto"/>
              </w:rPr>
            </w:pPr>
          </w:p>
        </w:tc>
      </w:tr>
    </w:tbl>
    <w:p>
      <w:pPr>
        <w:sectPr>
          <w:pgSz w:w="11900" w:h="16838" w:orient="portrait"/>
          <w:cols w:equalWidth="0" w:num="1">
            <w:col w:w="11300"/>
          </w:cols>
          <w:pgMar w:left="300" w:top="503" w:right="299" w:bottom="1440" w:gutter="0" w:footer="0" w:header="0"/>
        </w:sectPr>
      </w:pPr>
    </w:p>
    <w:bookmarkStart w:id="36" w:name="page37"/>
    <w:bookmarkEnd w:id="36"/>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CLEARDOC, INC. AND SUBSIDIARY</w:t>
      </w:r>
    </w:p>
    <w:p>
      <w:pPr>
        <w:spacing w:after="0" w:line="15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UNAUDITED CONSOLIDATED STATEMENT OF CHANGES IN STOCKHOLDERS’ DEFICIT</w:t>
      </w:r>
    </w:p>
    <w:p>
      <w:pPr>
        <w:spacing w:after="0" w:line="15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color w:val="auto"/>
        </w:rPr>
        <w:t>Period Ended September 30, 2024 (Unaudited)</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1320" w:type="dxa"/>
            <w:vAlign w:val="bottom"/>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940" w:type="dxa"/>
            <w:vAlign w:val="bottom"/>
            <w:tcBorders>
              <w:bottom w:val="single" w:sz="8" w:color="auto"/>
            </w:tcBorders>
            <w:gridSpan w:val="7"/>
          </w:tcPr>
          <w:p>
            <w:pPr>
              <w:ind w:left="500"/>
              <w:spacing w:after="0"/>
              <w:rPr>
                <w:sz w:val="20"/>
                <w:szCs w:val="20"/>
                <w:color w:val="auto"/>
              </w:rPr>
            </w:pPr>
            <w:r>
              <w:rPr>
                <w:rFonts w:ascii="Times New Roman" w:cs="Times New Roman" w:eastAsia="Times New Roman" w:hAnsi="Times New Roman"/>
                <w:sz w:val="11"/>
                <w:szCs w:val="11"/>
                <w:b w:val="1"/>
                <w:bCs w:val="1"/>
                <w:color w:val="auto"/>
              </w:rPr>
              <w:t>Convertible Preferred Stock</w:t>
            </w:r>
          </w:p>
        </w:tc>
        <w:tc>
          <w:tcPr>
            <w:tcW w:w="46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gridSpan w:val="2"/>
          </w:tcPr>
          <w:p>
            <w:pPr>
              <w:jc w:val="center"/>
              <w:ind w:right="140"/>
              <w:spacing w:after="0"/>
              <w:rPr>
                <w:sz w:val="20"/>
                <w:szCs w:val="20"/>
                <w:color w:val="auto"/>
              </w:rPr>
            </w:pPr>
            <w:r>
              <w:rPr>
                <w:rFonts w:ascii="Times New Roman" w:cs="Times New Roman" w:eastAsia="Times New Roman" w:hAnsi="Times New Roman"/>
                <w:sz w:val="11"/>
                <w:szCs w:val="11"/>
                <w:b w:val="1"/>
                <w:bCs w:val="1"/>
                <w:color w:val="auto"/>
                <w:w w:val="99"/>
              </w:rPr>
              <w:t>Additional</w:t>
            </w: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gridSpan w:val="3"/>
          </w:tcPr>
          <w:p>
            <w:pPr>
              <w:jc w:val="center"/>
              <w:ind w:right="55"/>
              <w:spacing w:after="0"/>
              <w:rPr>
                <w:sz w:val="20"/>
                <w:szCs w:val="20"/>
                <w:color w:val="auto"/>
              </w:rPr>
            </w:pPr>
            <w:r>
              <w:rPr>
                <w:rFonts w:ascii="Times New Roman" w:cs="Times New Roman" w:eastAsia="Times New Roman" w:hAnsi="Times New Roman"/>
                <w:sz w:val="11"/>
                <w:szCs w:val="11"/>
                <w:b w:val="1"/>
                <w:bCs w:val="1"/>
                <w:color w:val="auto"/>
                <w:w w:val="97"/>
              </w:rPr>
              <w:t>Total Stockholders’</w:t>
            </w:r>
          </w:p>
        </w:tc>
        <w:tc>
          <w:tcPr>
            <w:tcW w:w="0" w:type="dxa"/>
            <w:vAlign w:val="bottom"/>
          </w:tcPr>
          <w:p>
            <w:pPr>
              <w:spacing w:after="0"/>
              <w:rPr>
                <w:sz w:val="1"/>
                <w:szCs w:val="1"/>
                <w:color w:val="auto"/>
              </w:rPr>
            </w:pPr>
          </w:p>
        </w:tc>
      </w:tr>
      <w:tr>
        <w:trPr>
          <w:trHeight w:val="126"/>
        </w:trPr>
        <w:tc>
          <w:tcPr>
            <w:tcW w:w="1320" w:type="dxa"/>
            <w:vAlign w:val="bottom"/>
          </w:tcPr>
          <w:p>
            <w:pPr>
              <w:spacing w:after="0"/>
              <w:rPr>
                <w:sz w:val="10"/>
                <w:szCs w:val="10"/>
                <w:color w:val="auto"/>
              </w:rPr>
            </w:pPr>
          </w:p>
        </w:tc>
        <w:tc>
          <w:tcPr>
            <w:tcW w:w="1300" w:type="dxa"/>
            <w:vAlign w:val="bottom"/>
            <w:gridSpan w:val="4"/>
          </w:tcPr>
          <w:p>
            <w:pPr>
              <w:jc w:val="right"/>
              <w:ind w:right="520"/>
              <w:spacing w:after="0"/>
              <w:rPr>
                <w:sz w:val="20"/>
                <w:szCs w:val="20"/>
                <w:color w:val="auto"/>
              </w:rPr>
            </w:pPr>
            <w:r>
              <w:rPr>
                <w:rFonts w:ascii="Times New Roman" w:cs="Times New Roman" w:eastAsia="Times New Roman" w:hAnsi="Times New Roman"/>
                <w:sz w:val="11"/>
                <w:szCs w:val="11"/>
                <w:b w:val="1"/>
                <w:bCs w:val="1"/>
                <w:color w:val="auto"/>
              </w:rPr>
              <w:t>Series A</w:t>
            </w:r>
          </w:p>
        </w:tc>
        <w:tc>
          <w:tcPr>
            <w:tcW w:w="1300" w:type="dxa"/>
            <w:vAlign w:val="bottom"/>
            <w:gridSpan w:val="4"/>
          </w:tcPr>
          <w:p>
            <w:pPr>
              <w:jc w:val="right"/>
              <w:ind w:right="400"/>
              <w:spacing w:after="0"/>
              <w:rPr>
                <w:sz w:val="20"/>
                <w:szCs w:val="20"/>
                <w:color w:val="auto"/>
              </w:rPr>
            </w:pPr>
            <w:r>
              <w:rPr>
                <w:rFonts w:ascii="Times New Roman" w:cs="Times New Roman" w:eastAsia="Times New Roman" w:hAnsi="Times New Roman"/>
                <w:sz w:val="11"/>
                <w:szCs w:val="11"/>
                <w:b w:val="1"/>
                <w:bCs w:val="1"/>
                <w:color w:val="auto"/>
              </w:rPr>
              <w:t>Series Seed-1</w:t>
            </w:r>
          </w:p>
        </w:tc>
        <w:tc>
          <w:tcPr>
            <w:tcW w:w="1280" w:type="dxa"/>
            <w:vAlign w:val="bottom"/>
            <w:gridSpan w:val="5"/>
          </w:tcPr>
          <w:p>
            <w:pPr>
              <w:ind w:left="280"/>
              <w:spacing w:after="0"/>
              <w:rPr>
                <w:sz w:val="20"/>
                <w:szCs w:val="20"/>
                <w:color w:val="auto"/>
              </w:rPr>
            </w:pPr>
            <w:r>
              <w:rPr>
                <w:rFonts w:ascii="Times New Roman" w:cs="Times New Roman" w:eastAsia="Times New Roman" w:hAnsi="Times New Roman"/>
                <w:sz w:val="11"/>
                <w:szCs w:val="11"/>
                <w:b w:val="1"/>
                <w:bCs w:val="1"/>
                <w:color w:val="auto"/>
              </w:rPr>
              <w:t>Series Seed-2</w:t>
            </w:r>
          </w:p>
        </w:tc>
        <w:tc>
          <w:tcPr>
            <w:tcW w:w="1240" w:type="dxa"/>
            <w:vAlign w:val="bottom"/>
            <w:gridSpan w:val="5"/>
          </w:tcPr>
          <w:p>
            <w:pPr>
              <w:ind w:left="240"/>
              <w:spacing w:after="0"/>
              <w:rPr>
                <w:sz w:val="20"/>
                <w:szCs w:val="20"/>
                <w:color w:val="auto"/>
              </w:rPr>
            </w:pPr>
            <w:r>
              <w:rPr>
                <w:rFonts w:ascii="Times New Roman" w:cs="Times New Roman" w:eastAsia="Times New Roman" w:hAnsi="Times New Roman"/>
                <w:sz w:val="11"/>
                <w:szCs w:val="11"/>
                <w:b w:val="1"/>
                <w:bCs w:val="1"/>
                <w:color w:val="auto"/>
              </w:rPr>
              <w:t>Series Seed-3</w:t>
            </w:r>
          </w:p>
        </w:tc>
        <w:tc>
          <w:tcPr>
            <w:tcW w:w="1060" w:type="dxa"/>
            <w:vAlign w:val="bottom"/>
            <w:gridSpan w:val="4"/>
          </w:tcPr>
          <w:p>
            <w:pPr>
              <w:jc w:val="right"/>
              <w:ind w:right="166"/>
              <w:spacing w:after="0"/>
              <w:rPr>
                <w:sz w:val="20"/>
                <w:szCs w:val="20"/>
                <w:color w:val="auto"/>
              </w:rPr>
            </w:pPr>
            <w:r>
              <w:rPr>
                <w:rFonts w:ascii="Times New Roman" w:cs="Times New Roman" w:eastAsia="Times New Roman" w:hAnsi="Times New Roman"/>
                <w:sz w:val="11"/>
                <w:szCs w:val="11"/>
                <w:b w:val="1"/>
                <w:bCs w:val="1"/>
                <w:color w:val="auto"/>
              </w:rPr>
              <w:t>Series Seed-4</w:t>
            </w:r>
          </w:p>
        </w:tc>
        <w:tc>
          <w:tcPr>
            <w:tcW w:w="160" w:type="dxa"/>
            <w:vAlign w:val="bottom"/>
          </w:tcPr>
          <w:p>
            <w:pPr>
              <w:spacing w:after="0"/>
              <w:rPr>
                <w:sz w:val="10"/>
                <w:szCs w:val="10"/>
                <w:color w:val="auto"/>
              </w:rPr>
            </w:pPr>
          </w:p>
        </w:tc>
        <w:tc>
          <w:tcPr>
            <w:tcW w:w="940" w:type="dxa"/>
            <w:vAlign w:val="bottom"/>
            <w:gridSpan w:val="3"/>
          </w:tcPr>
          <w:p>
            <w:pPr>
              <w:ind w:left="180"/>
              <w:spacing w:after="0" w:line="124" w:lineRule="exact"/>
              <w:rPr>
                <w:sz w:val="20"/>
                <w:szCs w:val="20"/>
                <w:color w:val="auto"/>
              </w:rPr>
            </w:pPr>
            <w:r>
              <w:rPr>
                <w:rFonts w:ascii="Times New Roman" w:cs="Times New Roman" w:eastAsia="Times New Roman" w:hAnsi="Times New Roman"/>
                <w:sz w:val="11"/>
                <w:szCs w:val="11"/>
                <w:b w:val="1"/>
                <w:bCs w:val="1"/>
                <w:color w:val="auto"/>
              </w:rPr>
              <w:t>Common Stock</w:t>
            </w: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gridSpan w:val="2"/>
          </w:tcPr>
          <w:p>
            <w:pPr>
              <w:jc w:val="center"/>
              <w:ind w:right="140"/>
              <w:spacing w:after="0" w:line="124" w:lineRule="exact"/>
              <w:rPr>
                <w:sz w:val="20"/>
                <w:szCs w:val="20"/>
                <w:color w:val="auto"/>
              </w:rPr>
            </w:pPr>
            <w:r>
              <w:rPr>
                <w:rFonts w:ascii="Times New Roman" w:cs="Times New Roman" w:eastAsia="Times New Roman" w:hAnsi="Times New Roman"/>
                <w:sz w:val="11"/>
                <w:szCs w:val="11"/>
                <w:b w:val="1"/>
                <w:bCs w:val="1"/>
                <w:color w:val="auto"/>
              </w:rPr>
              <w:t>Paid in</w:t>
            </w:r>
          </w:p>
        </w:tc>
        <w:tc>
          <w:tcPr>
            <w:tcW w:w="760" w:type="dxa"/>
            <w:vAlign w:val="bottom"/>
            <w:gridSpan w:val="3"/>
          </w:tcPr>
          <w:p>
            <w:pPr>
              <w:jc w:val="center"/>
              <w:ind w:right="78"/>
              <w:spacing w:after="0" w:line="124" w:lineRule="exact"/>
              <w:rPr>
                <w:sz w:val="20"/>
                <w:szCs w:val="20"/>
                <w:color w:val="auto"/>
              </w:rPr>
            </w:pPr>
            <w:r>
              <w:rPr>
                <w:rFonts w:ascii="Times New Roman" w:cs="Times New Roman" w:eastAsia="Times New Roman" w:hAnsi="Times New Roman"/>
                <w:sz w:val="11"/>
                <w:szCs w:val="11"/>
                <w:b w:val="1"/>
                <w:bCs w:val="1"/>
                <w:color w:val="auto"/>
                <w:w w:val="96"/>
              </w:rPr>
              <w:t>Accumulated</w:t>
            </w:r>
          </w:p>
        </w:tc>
        <w:tc>
          <w:tcPr>
            <w:tcW w:w="160" w:type="dxa"/>
            <w:vAlign w:val="bottom"/>
          </w:tcPr>
          <w:p>
            <w:pPr>
              <w:spacing w:after="0"/>
              <w:rPr>
                <w:sz w:val="10"/>
                <w:szCs w:val="10"/>
                <w:color w:val="auto"/>
              </w:rPr>
            </w:pPr>
          </w:p>
        </w:tc>
        <w:tc>
          <w:tcPr>
            <w:tcW w:w="800" w:type="dxa"/>
            <w:vAlign w:val="bottom"/>
            <w:gridSpan w:val="2"/>
          </w:tcPr>
          <w:p>
            <w:pPr>
              <w:jc w:val="center"/>
              <w:ind w:right="235"/>
              <w:spacing w:after="0" w:line="124" w:lineRule="exact"/>
              <w:rPr>
                <w:sz w:val="20"/>
                <w:szCs w:val="20"/>
                <w:color w:val="auto"/>
              </w:rPr>
            </w:pPr>
            <w:r>
              <w:rPr>
                <w:rFonts w:ascii="Times New Roman" w:cs="Times New Roman" w:eastAsia="Times New Roman" w:hAnsi="Times New Roman"/>
                <w:sz w:val="11"/>
                <w:szCs w:val="11"/>
                <w:b w:val="1"/>
                <w:bCs w:val="1"/>
                <w:color w:val="auto"/>
              </w:rPr>
              <w:t>Equity</w:t>
            </w:r>
          </w:p>
        </w:tc>
        <w:tc>
          <w:tcPr>
            <w:tcW w:w="0" w:type="dxa"/>
            <w:vAlign w:val="bottom"/>
          </w:tcPr>
          <w:p>
            <w:pPr>
              <w:spacing w:after="0"/>
              <w:rPr>
                <w:sz w:val="1"/>
                <w:szCs w:val="1"/>
                <w:color w:val="auto"/>
              </w:rPr>
            </w:pPr>
          </w:p>
        </w:tc>
      </w:tr>
      <w:tr>
        <w:trPr>
          <w:trHeight w:val="144"/>
        </w:trPr>
        <w:tc>
          <w:tcPr>
            <w:tcW w:w="1320" w:type="dxa"/>
            <w:vAlign w:val="bottom"/>
          </w:tcPr>
          <w:p>
            <w:pPr>
              <w:spacing w:after="0"/>
              <w:rPr>
                <w:sz w:val="12"/>
                <w:szCs w:val="12"/>
                <w:color w:val="auto"/>
              </w:rPr>
            </w:pPr>
          </w:p>
        </w:tc>
        <w:tc>
          <w:tcPr>
            <w:tcW w:w="62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68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b w:val="1"/>
                <w:bCs w:val="1"/>
                <w:color w:val="auto"/>
              </w:rPr>
              <w:t>Dollars</w:t>
            </w:r>
          </w:p>
        </w:tc>
        <w:tc>
          <w:tcPr>
            <w:tcW w:w="640" w:type="dxa"/>
            <w:vAlign w:val="bottom"/>
            <w:gridSpan w:val="2"/>
          </w:tcPr>
          <w:p>
            <w:pPr>
              <w:ind w:left="100"/>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66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b w:val="1"/>
                <w:bCs w:val="1"/>
                <w:color w:val="auto"/>
              </w:rPr>
              <w:t>Dollars</w:t>
            </w:r>
          </w:p>
        </w:tc>
        <w:tc>
          <w:tcPr>
            <w:tcW w:w="62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80" w:type="dxa"/>
            <w:vAlign w:val="bottom"/>
          </w:tcPr>
          <w:p>
            <w:pPr>
              <w:spacing w:after="0"/>
              <w:rPr>
                <w:sz w:val="12"/>
                <w:szCs w:val="12"/>
                <w:color w:val="auto"/>
              </w:rPr>
            </w:pPr>
          </w:p>
        </w:tc>
        <w:tc>
          <w:tcPr>
            <w:tcW w:w="580" w:type="dxa"/>
            <w:vAlign w:val="bottom"/>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Dollars</w:t>
            </w:r>
          </w:p>
        </w:tc>
        <w:tc>
          <w:tcPr>
            <w:tcW w:w="60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60" w:type="dxa"/>
            <w:vAlign w:val="bottom"/>
          </w:tcPr>
          <w:p>
            <w:pPr>
              <w:spacing w:after="0"/>
              <w:rPr>
                <w:sz w:val="12"/>
                <w:szCs w:val="12"/>
                <w:color w:val="auto"/>
              </w:rPr>
            </w:pPr>
          </w:p>
        </w:tc>
        <w:tc>
          <w:tcPr>
            <w:tcW w:w="580" w:type="dxa"/>
            <w:vAlign w:val="bottom"/>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Dollars</w:t>
            </w:r>
          </w:p>
        </w:tc>
        <w:tc>
          <w:tcPr>
            <w:tcW w:w="580" w:type="dxa"/>
            <w:vAlign w:val="bottom"/>
            <w:gridSpan w:val="2"/>
          </w:tcPr>
          <w:p>
            <w:pPr>
              <w:ind w:left="60"/>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60" w:type="dxa"/>
            <w:vAlign w:val="bottom"/>
          </w:tcPr>
          <w:p>
            <w:pPr>
              <w:spacing w:after="0"/>
              <w:rPr>
                <w:sz w:val="12"/>
                <w:szCs w:val="12"/>
                <w:color w:val="auto"/>
              </w:rPr>
            </w:pPr>
          </w:p>
        </w:tc>
        <w:tc>
          <w:tcPr>
            <w:tcW w:w="58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b w:val="1"/>
                <w:bCs w:val="1"/>
                <w:color w:val="auto"/>
                <w:w w:val="99"/>
              </w:rPr>
              <w:t>Dollars</w:t>
            </w:r>
          </w:p>
        </w:tc>
        <w:tc>
          <w:tcPr>
            <w:tcW w:w="64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600" w:type="dxa"/>
            <w:vAlign w:val="bottom"/>
            <w:gridSpan w:val="3"/>
          </w:tcPr>
          <w:p>
            <w:pPr>
              <w:ind w:left="60"/>
              <w:spacing w:after="0"/>
              <w:rPr>
                <w:sz w:val="20"/>
                <w:szCs w:val="20"/>
                <w:color w:val="auto"/>
              </w:rPr>
            </w:pPr>
            <w:r>
              <w:rPr>
                <w:rFonts w:ascii="Times New Roman" w:cs="Times New Roman" w:eastAsia="Times New Roman" w:hAnsi="Times New Roman"/>
                <w:sz w:val="11"/>
                <w:szCs w:val="11"/>
                <w:b w:val="1"/>
                <w:bCs w:val="1"/>
                <w:color w:val="auto"/>
              </w:rPr>
              <w:t>Dollars</w:t>
            </w:r>
          </w:p>
        </w:tc>
        <w:tc>
          <w:tcPr>
            <w:tcW w:w="680" w:type="dxa"/>
            <w:vAlign w:val="bottom"/>
            <w:gridSpan w:val="2"/>
          </w:tcPr>
          <w:p>
            <w:pPr>
              <w:jc w:val="center"/>
              <w:ind w:right="140"/>
              <w:spacing w:after="0"/>
              <w:rPr>
                <w:sz w:val="20"/>
                <w:szCs w:val="20"/>
                <w:color w:val="auto"/>
              </w:rPr>
            </w:pPr>
            <w:r>
              <w:rPr>
                <w:rFonts w:ascii="Times New Roman" w:cs="Times New Roman" w:eastAsia="Times New Roman" w:hAnsi="Times New Roman"/>
                <w:sz w:val="11"/>
                <w:szCs w:val="11"/>
                <w:b w:val="1"/>
                <w:bCs w:val="1"/>
                <w:color w:val="auto"/>
                <w:w w:val="97"/>
              </w:rPr>
              <w:t>Capital</w:t>
            </w:r>
          </w:p>
        </w:tc>
        <w:tc>
          <w:tcPr>
            <w:tcW w:w="80" w:type="dxa"/>
            <w:vAlign w:val="bottom"/>
          </w:tcPr>
          <w:p>
            <w:pPr>
              <w:spacing w:after="0"/>
              <w:rPr>
                <w:sz w:val="12"/>
                <w:szCs w:val="12"/>
                <w:color w:val="auto"/>
              </w:rPr>
            </w:pPr>
          </w:p>
        </w:tc>
        <w:tc>
          <w:tcPr>
            <w:tcW w:w="680" w:type="dxa"/>
            <w:vAlign w:val="bottom"/>
            <w:gridSpan w:val="2"/>
          </w:tcPr>
          <w:p>
            <w:pPr>
              <w:jc w:val="center"/>
              <w:ind w:right="178"/>
              <w:spacing w:after="0"/>
              <w:rPr>
                <w:sz w:val="20"/>
                <w:szCs w:val="20"/>
                <w:color w:val="auto"/>
              </w:rPr>
            </w:pPr>
            <w:r>
              <w:rPr>
                <w:rFonts w:ascii="Times New Roman" w:cs="Times New Roman" w:eastAsia="Times New Roman" w:hAnsi="Times New Roman"/>
                <w:sz w:val="11"/>
                <w:szCs w:val="11"/>
                <w:b w:val="1"/>
                <w:bCs w:val="1"/>
                <w:color w:val="auto"/>
                <w:w w:val="96"/>
              </w:rPr>
              <w:t>Deficit</w:t>
            </w:r>
          </w:p>
        </w:tc>
        <w:tc>
          <w:tcPr>
            <w:tcW w:w="160" w:type="dxa"/>
            <w:vAlign w:val="bottom"/>
          </w:tcPr>
          <w:p>
            <w:pPr>
              <w:spacing w:after="0"/>
              <w:rPr>
                <w:sz w:val="12"/>
                <w:szCs w:val="12"/>
                <w:color w:val="auto"/>
              </w:rPr>
            </w:pPr>
          </w:p>
        </w:tc>
        <w:tc>
          <w:tcPr>
            <w:tcW w:w="800" w:type="dxa"/>
            <w:vAlign w:val="bottom"/>
            <w:gridSpan w:val="2"/>
          </w:tcPr>
          <w:p>
            <w:pPr>
              <w:jc w:val="center"/>
              <w:ind w:right="215"/>
              <w:spacing w:after="0"/>
              <w:rPr>
                <w:sz w:val="20"/>
                <w:szCs w:val="20"/>
                <w:color w:val="auto"/>
              </w:rPr>
            </w:pPr>
            <w:r>
              <w:rPr>
                <w:rFonts w:ascii="Times New Roman" w:cs="Times New Roman" w:eastAsia="Times New Roman" w:hAnsi="Times New Roman"/>
                <w:sz w:val="11"/>
                <w:szCs w:val="11"/>
                <w:b w:val="1"/>
                <w:bCs w:val="1"/>
                <w:color w:val="auto"/>
                <w:w w:val="98"/>
              </w:rPr>
              <w:t>(Deficit)</w:t>
            </w:r>
          </w:p>
        </w:tc>
        <w:tc>
          <w:tcPr>
            <w:tcW w:w="0" w:type="dxa"/>
            <w:vAlign w:val="bottom"/>
          </w:tcPr>
          <w:p>
            <w:pPr>
              <w:spacing w:after="0"/>
              <w:rPr>
                <w:sz w:val="1"/>
                <w:szCs w:val="1"/>
                <w:color w:val="auto"/>
              </w:rPr>
            </w:pPr>
          </w:p>
        </w:tc>
      </w:tr>
      <w:tr>
        <w:trPr>
          <w:trHeight w:val="135"/>
        </w:trPr>
        <w:tc>
          <w:tcPr>
            <w:tcW w:w="13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1"/>
                <w:szCs w:val="11"/>
                <w:color w:val="auto"/>
              </w:rPr>
              <w:t>Balance, January 1, 2024,</w:t>
            </w: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2,415,046</w:t>
            </w:r>
          </w:p>
        </w:tc>
        <w:tc>
          <w:tcPr>
            <w:tcW w:w="140" w:type="dxa"/>
            <w:vAlign w:val="bottom"/>
            <w:tcBorders>
              <w:top w:val="single" w:sz="8" w:color="CCEEFF"/>
            </w:tcBorders>
            <w:shd w:val="clear" w:color="auto" w:fill="CCEEFF"/>
          </w:tcPr>
          <w:p>
            <w:pPr>
              <w:spacing w:after="0"/>
              <w:rPr>
                <w:sz w:val="11"/>
                <w:szCs w:val="11"/>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93"/>
              </w:rPr>
              <w:t>$ 19,064,628</w:t>
            </w:r>
          </w:p>
        </w:tc>
        <w:tc>
          <w:tcPr>
            <w:tcW w:w="120" w:type="dxa"/>
            <w:vAlign w:val="bottom"/>
            <w:tcBorders>
              <w:top w:val="single" w:sz="8" w:color="CCEEFF"/>
            </w:tcBorders>
            <w:shd w:val="clear" w:color="auto" w:fill="CCEEFF"/>
          </w:tcPr>
          <w:p>
            <w:pPr>
              <w:spacing w:after="0"/>
              <w:rPr>
                <w:sz w:val="11"/>
                <w:szCs w:val="11"/>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1,451,191</w:t>
            </w:r>
          </w:p>
        </w:tc>
        <w:tc>
          <w:tcPr>
            <w:tcW w:w="120" w:type="dxa"/>
            <w:vAlign w:val="bottom"/>
            <w:tcBorders>
              <w:top w:val="single" w:sz="8" w:color="CCEEFF"/>
            </w:tcBorders>
            <w:shd w:val="clear" w:color="auto" w:fill="CCEEFF"/>
          </w:tcPr>
          <w:p>
            <w:pPr>
              <w:spacing w:after="0"/>
              <w:rPr>
                <w:sz w:val="11"/>
                <w:szCs w:val="11"/>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95"/>
              </w:rPr>
              <w:t>$ 2,440,758</w:t>
            </w:r>
          </w:p>
        </w:tc>
        <w:tc>
          <w:tcPr>
            <w:tcW w:w="140" w:type="dxa"/>
            <w:vAlign w:val="bottom"/>
            <w:tcBorders>
              <w:top w:val="single" w:sz="8" w:color="CCEEFF"/>
            </w:tcBorders>
            <w:shd w:val="clear" w:color="auto" w:fill="CCEEFF"/>
          </w:tcPr>
          <w:p>
            <w:pPr>
              <w:spacing w:after="0"/>
              <w:rPr>
                <w:sz w:val="11"/>
                <w:szCs w:val="11"/>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1,121,610</w:t>
            </w:r>
          </w:p>
        </w:tc>
        <w:tc>
          <w:tcPr>
            <w:tcW w:w="1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1"/>
                <w:szCs w:val="11"/>
                <w:color w:val="auto"/>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1,086,50</w:t>
            </w:r>
          </w:p>
        </w:tc>
        <w:tc>
          <w:tcPr>
            <w:tcW w:w="120" w:type="dxa"/>
            <w:vAlign w:val="bottom"/>
            <w:tcBorders>
              <w:top w:val="single" w:sz="8" w:color="CCEEFF"/>
            </w:tcBorders>
            <w:shd w:val="clear" w:color="auto" w:fill="CCEEFF"/>
          </w:tcPr>
          <w:p>
            <w:pPr>
              <w:spacing w:after="0"/>
              <w:rPr>
                <w:sz w:val="11"/>
                <w:szCs w:val="11"/>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519,963</w:t>
            </w:r>
          </w:p>
        </w:tc>
        <w:tc>
          <w:tcPr>
            <w:tcW w:w="14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1"/>
                <w:szCs w:val="11"/>
                <w:color w:val="auto"/>
                <w:w w:val="71"/>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671,58</w:t>
            </w:r>
          </w:p>
        </w:tc>
        <w:tc>
          <w:tcPr>
            <w:tcW w:w="140" w:type="dxa"/>
            <w:vAlign w:val="bottom"/>
            <w:tcBorders>
              <w:top w:val="single" w:sz="8" w:color="CCEEFF"/>
            </w:tcBorders>
            <w:shd w:val="clear" w:color="auto" w:fill="CCEEFF"/>
          </w:tcPr>
          <w:p>
            <w:pPr>
              <w:spacing w:after="0"/>
              <w:rPr>
                <w:sz w:val="11"/>
                <w:szCs w:val="11"/>
                <w:color w:val="auto"/>
              </w:rPr>
            </w:pPr>
          </w:p>
        </w:tc>
        <w:tc>
          <w:tcPr>
            <w:tcW w:w="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74,379</w:t>
            </w:r>
          </w:p>
        </w:tc>
        <w:tc>
          <w:tcPr>
            <w:tcW w:w="14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132,90</w:t>
            </w:r>
          </w:p>
        </w:tc>
        <w:tc>
          <w:tcPr>
            <w:tcW w:w="160" w:type="dxa"/>
            <w:vAlign w:val="bottom"/>
            <w:tcBorders>
              <w:top w:val="single" w:sz="8" w:color="CCEEFF"/>
            </w:tcBorders>
            <w:shd w:val="clear" w:color="auto" w:fill="CCEEFF"/>
          </w:tcPr>
          <w:p>
            <w:pPr>
              <w:spacing w:after="0"/>
              <w:rPr>
                <w:sz w:val="11"/>
                <w:szCs w:val="11"/>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2,885,943</w:t>
            </w:r>
          </w:p>
        </w:tc>
        <w:tc>
          <w:tcPr>
            <w:tcW w:w="140" w:type="dxa"/>
            <w:vAlign w:val="bottom"/>
            <w:tcBorders>
              <w:top w:val="single" w:sz="8" w:color="CCEEFF"/>
            </w:tcBorders>
            <w:shd w:val="clear" w:color="auto" w:fill="CCEEFF"/>
          </w:tcPr>
          <w:p>
            <w:pPr>
              <w:spacing w:after="0"/>
              <w:rPr>
                <w:sz w:val="11"/>
                <w:szCs w:val="11"/>
                <w:color w:val="auto"/>
              </w:rPr>
            </w:pPr>
          </w:p>
        </w:tc>
        <w:tc>
          <w:tcPr>
            <w:tcW w:w="3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29</w:t>
            </w:r>
          </w:p>
        </w:tc>
        <w:tc>
          <w:tcPr>
            <w:tcW w:w="140" w:type="dxa"/>
            <w:vAlign w:val="bottom"/>
            <w:tcBorders>
              <w:top w:val="single" w:sz="8" w:color="CCEEFF"/>
            </w:tcBorders>
            <w:shd w:val="clear" w:color="auto" w:fill="CCEEFF"/>
          </w:tcPr>
          <w:p>
            <w:pPr>
              <w:spacing w:after="0"/>
              <w:rPr>
                <w:sz w:val="11"/>
                <w:szCs w:val="11"/>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99"/>
              </w:rPr>
              <w:t>$ 1,871,690</w:t>
            </w:r>
          </w:p>
        </w:tc>
        <w:tc>
          <w:tcPr>
            <w:tcW w:w="14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1"/>
                <w:szCs w:val="11"/>
                <w:color w:val="auto"/>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94"/>
              </w:rPr>
              <w:t>(26,403,727)</w:t>
            </w:r>
          </w:p>
        </w:tc>
        <w:tc>
          <w:tcPr>
            <w:tcW w:w="12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tcBorders>
              <w:top w:val="single" w:sz="8" w:color="auto"/>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2"/>
                <w:szCs w:val="12"/>
                <w:color w:val="auto"/>
              </w:rPr>
              <w:t>(1,348,919</w:t>
            </w:r>
          </w:p>
        </w:tc>
        <w:tc>
          <w:tcPr>
            <w:tcW w:w="60" w:type="dxa"/>
            <w:vAlign w:val="bottom"/>
            <w:tcBorders>
              <w:top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
                <w:szCs w:val="1"/>
                <w:color w:val="auto"/>
                <w:w w:val="4294967281"/>
              </w:rPr>
              <w:t>)</w:t>
            </w:r>
          </w:p>
        </w:tc>
        <w:tc>
          <w:tcPr>
            <w:tcW w:w="0" w:type="dxa"/>
            <w:vAlign w:val="bottom"/>
          </w:tcPr>
          <w:p>
            <w:pPr>
              <w:spacing w:after="0"/>
              <w:rPr>
                <w:sz w:val="1"/>
                <w:szCs w:val="1"/>
                <w:color w:val="auto"/>
              </w:rPr>
            </w:pPr>
          </w:p>
        </w:tc>
      </w:tr>
      <w:tr>
        <w:trPr>
          <w:trHeight w:val="135"/>
        </w:trPr>
        <w:tc>
          <w:tcPr>
            <w:tcW w:w="13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3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Exerciseofstock options</w:t>
            </w:r>
          </w:p>
        </w:tc>
        <w:tc>
          <w:tcPr>
            <w:tcW w:w="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6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300" w:type="dxa"/>
            <w:vAlign w:val="bottom"/>
            <w:shd w:val="clear" w:color="auto" w:fill="CCEEFF"/>
          </w:tcPr>
          <w:p>
            <w:pPr>
              <w:spacing w:after="0"/>
              <w:rPr>
                <w:sz w:val="11"/>
                <w:szCs w:val="11"/>
                <w:color w:val="auto"/>
              </w:rPr>
            </w:pPr>
          </w:p>
        </w:tc>
        <w:tc>
          <w:tcPr>
            <w:tcW w:w="3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78"/>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55"/>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35"/>
        </w:trPr>
        <w:tc>
          <w:tcPr>
            <w:tcW w:w="1320" w:type="dxa"/>
            <w:vAlign w:val="bottom"/>
          </w:tcPr>
          <w:p>
            <w:pPr>
              <w:spacing w:after="0"/>
              <w:rPr>
                <w:sz w:val="20"/>
                <w:szCs w:val="20"/>
                <w:color w:val="auto"/>
              </w:rPr>
            </w:pPr>
            <w:r>
              <w:rPr>
                <w:rFonts w:ascii="Times New Roman" w:cs="Times New Roman" w:eastAsia="Times New Roman" w:hAnsi="Times New Roman"/>
                <w:sz w:val="11"/>
                <w:szCs w:val="11"/>
                <w:color w:val="auto"/>
              </w:rPr>
              <w:t>Stock-basedcompensation</w:t>
            </w: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1"/>
                <w:szCs w:val="11"/>
                <w:color w:val="auto"/>
              </w:rPr>
            </w:pPr>
          </w:p>
        </w:tc>
        <w:tc>
          <w:tcPr>
            <w:tcW w:w="58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1"/>
                <w:szCs w:val="11"/>
                <w:color w:val="auto"/>
              </w:rPr>
            </w:pPr>
          </w:p>
        </w:tc>
        <w:tc>
          <w:tcPr>
            <w:tcW w:w="5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1"/>
                <w:szCs w:val="11"/>
                <w:color w:val="auto"/>
              </w:rPr>
            </w:pP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300" w:type="dxa"/>
            <w:vAlign w:val="bottom"/>
          </w:tcPr>
          <w:p>
            <w:pPr>
              <w:spacing w:after="0"/>
              <w:rPr>
                <w:sz w:val="11"/>
                <w:szCs w:val="11"/>
                <w:color w:val="auto"/>
              </w:rPr>
            </w:pPr>
          </w:p>
        </w:tc>
        <w:tc>
          <w:tcPr>
            <w:tcW w:w="3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8,368</w:t>
            </w:r>
          </w:p>
        </w:tc>
        <w:tc>
          <w:tcPr>
            <w:tcW w:w="80" w:type="dxa"/>
            <w:vAlign w:val="bottom"/>
          </w:tcPr>
          <w:p>
            <w:pPr>
              <w:spacing w:after="0"/>
              <w:rPr>
                <w:sz w:val="11"/>
                <w:szCs w:val="11"/>
                <w:color w:val="auto"/>
              </w:rPr>
            </w:pPr>
          </w:p>
        </w:tc>
        <w:tc>
          <w:tcPr>
            <w:tcW w:w="680" w:type="dxa"/>
            <w:vAlign w:val="bottom"/>
            <w:gridSpan w:val="2"/>
          </w:tcPr>
          <w:p>
            <w:pPr>
              <w:jc w:val="right"/>
              <w:ind w:right="78"/>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1"/>
                <w:szCs w:val="11"/>
                <w:color w:val="auto"/>
              </w:rPr>
            </w:pPr>
          </w:p>
        </w:tc>
        <w:tc>
          <w:tcPr>
            <w:tcW w:w="800" w:type="dxa"/>
            <w:vAlign w:val="bottom"/>
            <w:gridSpan w:val="2"/>
          </w:tcPr>
          <w:p>
            <w:pPr>
              <w:jc w:val="right"/>
              <w:ind w:right="55"/>
              <w:spacing w:after="0"/>
              <w:rPr>
                <w:sz w:val="20"/>
                <w:szCs w:val="20"/>
                <w:color w:val="auto"/>
              </w:rPr>
            </w:pPr>
            <w:r>
              <w:rPr>
                <w:rFonts w:ascii="Times New Roman" w:cs="Times New Roman" w:eastAsia="Times New Roman" w:hAnsi="Times New Roman"/>
                <w:sz w:val="11"/>
                <w:szCs w:val="11"/>
                <w:color w:val="auto"/>
              </w:rPr>
              <w:t>8,368</w:t>
            </w:r>
          </w:p>
        </w:tc>
        <w:tc>
          <w:tcPr>
            <w:tcW w:w="0" w:type="dxa"/>
            <w:vAlign w:val="bottom"/>
          </w:tcPr>
          <w:p>
            <w:pPr>
              <w:spacing w:after="0"/>
              <w:rPr>
                <w:sz w:val="1"/>
                <w:szCs w:val="1"/>
                <w:color w:val="auto"/>
              </w:rPr>
            </w:pPr>
          </w:p>
        </w:tc>
      </w:tr>
      <w:tr>
        <w:trPr>
          <w:trHeight w:val="144"/>
        </w:trPr>
        <w:tc>
          <w:tcPr>
            <w:tcW w:w="13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Net loss</w:t>
            </w:r>
          </w:p>
        </w:tc>
        <w:tc>
          <w:tcPr>
            <w:tcW w:w="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6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300" w:type="dxa"/>
            <w:vAlign w:val="bottom"/>
            <w:shd w:val="clear" w:color="auto" w:fill="CCEEFF"/>
          </w:tcPr>
          <w:p>
            <w:pPr>
              <w:spacing w:after="0"/>
              <w:rPr>
                <w:sz w:val="12"/>
                <w:szCs w:val="12"/>
                <w:color w:val="auto"/>
              </w:rPr>
            </w:pPr>
          </w:p>
        </w:tc>
        <w:tc>
          <w:tcPr>
            <w:tcW w:w="3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78"/>
              <w:spacing w:after="0"/>
              <w:rPr>
                <w:sz w:val="20"/>
                <w:szCs w:val="20"/>
                <w:color w:val="auto"/>
              </w:rPr>
            </w:pPr>
            <w:r>
              <w:rPr>
                <w:rFonts w:ascii="Times New Roman" w:cs="Times New Roman" w:eastAsia="Times New Roman" w:hAnsi="Times New Roman"/>
                <w:sz w:val="12"/>
                <w:szCs w:val="12"/>
                <w:color w:val="auto"/>
              </w:rPr>
              <w:t>35,374</w:t>
            </w:r>
          </w:p>
        </w:tc>
        <w:tc>
          <w:tcPr>
            <w:tcW w:w="1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55"/>
              <w:spacing w:after="0"/>
              <w:rPr>
                <w:sz w:val="20"/>
                <w:szCs w:val="20"/>
                <w:color w:val="auto"/>
              </w:rPr>
            </w:pPr>
            <w:r>
              <w:rPr>
                <w:rFonts w:ascii="Times New Roman" w:cs="Times New Roman" w:eastAsia="Times New Roman" w:hAnsi="Times New Roman"/>
                <w:sz w:val="11"/>
                <w:szCs w:val="11"/>
                <w:color w:val="auto"/>
              </w:rPr>
              <w:t>35,374</w:t>
            </w:r>
          </w:p>
        </w:tc>
        <w:tc>
          <w:tcPr>
            <w:tcW w:w="0" w:type="dxa"/>
            <w:vAlign w:val="bottom"/>
          </w:tcPr>
          <w:p>
            <w:pPr>
              <w:spacing w:after="0"/>
              <w:rPr>
                <w:sz w:val="1"/>
                <w:szCs w:val="1"/>
                <w:color w:val="auto"/>
              </w:rPr>
            </w:pPr>
          </w:p>
        </w:tc>
      </w:tr>
      <w:tr>
        <w:trPr>
          <w:trHeight w:val="20"/>
        </w:trPr>
        <w:tc>
          <w:tcPr>
            <w:tcW w:w="1320" w:type="dxa"/>
            <w:vAlign w:val="bottom"/>
            <w:vMerge w:val="restart"/>
          </w:tcPr>
          <w:p>
            <w:pPr>
              <w:spacing w:after="0"/>
              <w:rPr>
                <w:sz w:val="20"/>
                <w:szCs w:val="20"/>
                <w:color w:val="auto"/>
              </w:rPr>
            </w:pPr>
            <w:r>
              <w:rPr>
                <w:rFonts w:ascii="Times New Roman" w:cs="Times New Roman" w:eastAsia="Times New Roman" w:hAnsi="Times New Roman"/>
                <w:sz w:val="11"/>
                <w:szCs w:val="11"/>
                <w:color w:val="auto"/>
              </w:rPr>
              <w:t>Balance, September 30, 2024</w:t>
            </w:r>
          </w:p>
        </w:tc>
        <w:tc>
          <w:tcPr>
            <w:tcW w:w="4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vMerge w:val="restart"/>
          </w:tcPr>
          <w:p>
            <w:pPr>
              <w:jc w:val="right"/>
              <w:ind w:right="38"/>
              <w:spacing w:after="0"/>
              <w:rPr>
                <w:sz w:val="20"/>
                <w:szCs w:val="20"/>
                <w:color w:val="auto"/>
              </w:rPr>
            </w:pPr>
            <w:r>
              <w:rPr>
                <w:rFonts w:ascii="Times New Roman" w:cs="Times New Roman" w:eastAsia="Times New Roman" w:hAnsi="Times New Roman"/>
                <w:sz w:val="8"/>
                <w:szCs w:val="8"/>
                <w:color w:val="auto"/>
                <w:w w:val="73"/>
              </w:rPr>
              <w:t>)</w:t>
            </w: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60" w:type="dxa"/>
            <w:vAlign w:val="bottom"/>
            <w:vMerge w:val="restart"/>
          </w:tcPr>
          <w:p>
            <w:pPr>
              <w:jc w:val="right"/>
              <w:ind w:right="35"/>
              <w:spacing w:after="0"/>
              <w:rPr>
                <w:sz w:val="20"/>
                <w:szCs w:val="20"/>
                <w:color w:val="auto"/>
              </w:rPr>
            </w:pPr>
            <w:r>
              <w:rPr>
                <w:rFonts w:ascii="Times New Roman" w:cs="Times New Roman" w:eastAsia="Times New Roman" w:hAnsi="Times New Roman"/>
                <w:sz w:val="1"/>
                <w:szCs w:val="1"/>
                <w:color w:val="auto"/>
                <w:w w:val="4294967281"/>
              </w:rPr>
              <w:t>)</w:t>
            </w:r>
          </w:p>
        </w:tc>
        <w:tc>
          <w:tcPr>
            <w:tcW w:w="0" w:type="dxa"/>
            <w:vAlign w:val="bottom"/>
          </w:tcPr>
          <w:p>
            <w:pPr>
              <w:spacing w:after="0" w:line="20" w:lineRule="exact"/>
              <w:rPr>
                <w:sz w:val="1"/>
                <w:szCs w:val="1"/>
                <w:color w:val="auto"/>
              </w:rPr>
            </w:pPr>
          </w:p>
        </w:tc>
      </w:tr>
      <w:tr>
        <w:trPr>
          <w:trHeight w:val="142"/>
        </w:trPr>
        <w:tc>
          <w:tcPr>
            <w:tcW w:w="1320" w:type="dxa"/>
            <w:vAlign w:val="bottom"/>
            <w:vMerge w:val="continue"/>
          </w:tcPr>
          <w:p>
            <w:pPr>
              <w:spacing w:after="0"/>
              <w:rPr>
                <w:sz w:val="12"/>
                <w:szCs w:val="12"/>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2,415,046</w:t>
            </w: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9"/>
              </w:rPr>
              <w:t xml:space="preserve">$ </w:t>
            </w:r>
            <w:r>
              <w:rPr>
                <w:rFonts w:ascii="Times New Roman" w:cs="Times New Roman" w:eastAsia="Times New Roman" w:hAnsi="Times New Roman"/>
                <w:sz w:val="10"/>
                <w:szCs w:val="10"/>
                <w:color w:val="auto"/>
                <w:w w:val="99"/>
              </w:rPr>
              <w:t>19,064,628</w:t>
            </w:r>
          </w:p>
        </w:tc>
        <w:tc>
          <w:tcPr>
            <w:tcW w:w="120" w:type="dxa"/>
            <w:vAlign w:val="bottom"/>
          </w:tcPr>
          <w:p>
            <w:pPr>
              <w:spacing w:after="0"/>
              <w:rPr>
                <w:sz w:val="12"/>
                <w:szCs w:val="12"/>
                <w:color w:val="auto"/>
              </w:rPr>
            </w:pP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1,451,191</w:t>
            </w:r>
          </w:p>
        </w:tc>
        <w:tc>
          <w:tcPr>
            <w:tcW w:w="5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0"/>
                <w:szCs w:val="10"/>
                <w:color w:val="auto"/>
              </w:rPr>
              <w:t>2,440,758</w:t>
            </w:r>
          </w:p>
        </w:tc>
        <w:tc>
          <w:tcPr>
            <w:tcW w:w="140" w:type="dxa"/>
            <w:vAlign w:val="bottom"/>
            <w:vMerge w:val="continue"/>
          </w:tcPr>
          <w:p>
            <w:pPr>
              <w:spacing w:after="0"/>
              <w:rPr>
                <w:sz w:val="12"/>
                <w:szCs w:val="12"/>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1,121,610</w:t>
            </w:r>
          </w:p>
        </w:tc>
        <w:tc>
          <w:tcPr>
            <w:tcW w:w="80" w:type="dxa"/>
            <w:vAlign w:val="bottom"/>
          </w:tcPr>
          <w:p>
            <w:pPr>
              <w:spacing w:after="0"/>
              <w:rPr>
                <w:sz w:val="20"/>
                <w:szCs w:val="20"/>
                <w:color w:val="auto"/>
              </w:rPr>
            </w:pPr>
            <w:r>
              <w:rPr>
                <w:rFonts w:ascii="Times New Roman" w:cs="Times New Roman" w:eastAsia="Times New Roman" w:hAnsi="Times New Roman"/>
                <w:sz w:val="12"/>
                <w:szCs w:val="12"/>
                <w:color w:val="auto"/>
                <w:w w:val="99"/>
              </w:rPr>
              <w:t>$</w:t>
            </w:r>
          </w:p>
        </w:tc>
        <w:tc>
          <w:tcPr>
            <w:tcW w:w="58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w w:val="99"/>
              </w:rPr>
              <w:t>1,086,503</w:t>
            </w: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519,963</w:t>
            </w:r>
          </w:p>
        </w:tc>
        <w:tc>
          <w:tcPr>
            <w:tcW w:w="60" w:type="dxa"/>
            <w:vAlign w:val="bottom"/>
          </w:tcPr>
          <w:p>
            <w:pPr>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671,589</w:t>
            </w:r>
          </w:p>
        </w:tc>
        <w:tc>
          <w:tcPr>
            <w:tcW w:w="5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74,379</w:t>
            </w:r>
          </w:p>
        </w:tc>
        <w:tc>
          <w:tcPr>
            <w:tcW w:w="60" w:type="dxa"/>
            <w:vAlign w:val="bottom"/>
          </w:tcPr>
          <w:p>
            <w:pPr>
              <w:spacing w:after="0"/>
              <w:rPr>
                <w:sz w:val="12"/>
                <w:szCs w:val="12"/>
                <w:color w:val="auto"/>
              </w:rPr>
            </w:pP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132,901</w:t>
            </w: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2,885,943</w:t>
            </w:r>
          </w:p>
        </w:tc>
        <w:tc>
          <w:tcPr>
            <w:tcW w:w="300" w:type="dxa"/>
            <w:vAlign w:val="bottom"/>
          </w:tcPr>
          <w:p>
            <w:pPr>
              <w:spacing w:after="0"/>
              <w:rPr>
                <w:sz w:val="20"/>
                <w:szCs w:val="20"/>
                <w:color w:val="auto"/>
              </w:rPr>
            </w:pPr>
            <w:r>
              <w:rPr>
                <w:rFonts w:ascii="Times New Roman" w:cs="Times New Roman" w:eastAsia="Times New Roman" w:hAnsi="Times New Roman"/>
                <w:sz w:val="12"/>
                <w:szCs w:val="12"/>
                <w:color w:val="auto"/>
              </w:rPr>
              <w:t>$</w:t>
            </w:r>
          </w:p>
        </w:tc>
        <w:tc>
          <w:tcPr>
            <w:tcW w:w="3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29</w:t>
            </w: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0"/>
                <w:szCs w:val="10"/>
                <w:color w:val="auto"/>
              </w:rPr>
              <w:t>1,880,058</w:t>
            </w:r>
          </w:p>
        </w:tc>
        <w:tc>
          <w:tcPr>
            <w:tcW w:w="140" w:type="dxa"/>
            <w:vAlign w:val="bottom"/>
            <w:vMerge w:val="continue"/>
          </w:tcPr>
          <w:p>
            <w:pPr>
              <w:spacing w:after="0"/>
              <w:rPr>
                <w:sz w:val="12"/>
                <w:szCs w:val="12"/>
                <w:color w:val="auto"/>
              </w:rPr>
            </w:pPr>
          </w:p>
        </w:tc>
        <w:tc>
          <w:tcPr>
            <w:tcW w:w="80" w:type="dxa"/>
            <w:vAlign w:val="bottom"/>
          </w:tcPr>
          <w:p>
            <w:pPr>
              <w:spacing w:after="0"/>
              <w:rPr>
                <w:sz w:val="20"/>
                <w:szCs w:val="20"/>
                <w:color w:val="auto"/>
              </w:rPr>
            </w:pPr>
            <w:r>
              <w:rPr>
                <w:rFonts w:ascii="Times New Roman" w:cs="Times New Roman" w:eastAsia="Times New Roman" w:hAnsi="Times New Roman"/>
                <w:sz w:val="12"/>
                <w:szCs w:val="12"/>
                <w:color w:val="auto"/>
                <w:w w:val="99"/>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(26,368,353</w:t>
            </w:r>
          </w:p>
        </w:tc>
        <w:tc>
          <w:tcPr>
            <w:tcW w:w="120" w:type="dxa"/>
            <w:vAlign w:val="bottom"/>
            <w:vMerge w:val="continue"/>
          </w:tcPr>
          <w:p>
            <w:pPr>
              <w:spacing w:after="0"/>
              <w:rPr>
                <w:sz w:val="12"/>
                <w:szCs w:val="12"/>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2"/>
                <w:szCs w:val="12"/>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(1,305,177</w:t>
            </w:r>
          </w:p>
        </w:tc>
        <w:tc>
          <w:tcPr>
            <w:tcW w:w="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132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8"/>
        </w:trPr>
        <w:tc>
          <w:tcPr>
            <w:tcW w:w="132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4</w:t>
            </w:r>
          </w:p>
        </w:tc>
        <w:tc>
          <w:tcPr>
            <w:tcW w:w="6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00"/>
          </w:cols>
          <w:pgMar w:left="300" w:top="503" w:right="299" w:bottom="1440" w:gutter="0" w:footer="0" w:header="0"/>
        </w:sectPr>
      </w:pPr>
    </w:p>
    <w:bookmarkStart w:id="37" w:name="page38"/>
    <w:bookmarkEnd w:id="37"/>
    <w:p>
      <w:pPr>
        <w:ind w:left="428" w:hanging="428"/>
        <w:spacing w:after="0"/>
        <w:tabs>
          <w:tab w:leader="none" w:pos="428" w:val="left"/>
        </w:tabs>
        <w:numPr>
          <w:ilvl w:val="0"/>
          <w:numId w:val="5"/>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u w:val="single" w:color="auto"/>
          <w:color w:val="auto"/>
        </w:rPr>
        <w:t>Summary of significant accounting policies</w:t>
      </w:r>
    </w:p>
    <w:p>
      <w:pPr>
        <w:spacing w:after="0" w:line="222" w:lineRule="exact"/>
        <w:rPr>
          <w:rFonts w:ascii="Times New Roman" w:cs="Times New Roman" w:eastAsia="Times New Roman" w:hAnsi="Times New Roman"/>
          <w:sz w:val="12"/>
          <w:szCs w:val="12"/>
          <w:b w:val="1"/>
          <w:bCs w:val="1"/>
          <w:color w:val="auto"/>
        </w:rPr>
      </w:pPr>
    </w:p>
    <w:p>
      <w:pPr>
        <w:ind w:left="428"/>
        <w:spacing w:after="0" w:line="286" w:lineRule="auto"/>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 xml:space="preserve">Principles of consolidation </w:t>
      </w:r>
      <w:r>
        <w:rPr>
          <w:rFonts w:ascii="Times New Roman" w:cs="Times New Roman" w:eastAsia="Times New Roman" w:hAnsi="Times New Roman"/>
          <w:sz w:val="12"/>
          <w:szCs w:val="12"/>
          <w:color w:val="auto"/>
        </w:rPr>
        <w:t>– The accompanying financial statements include the accounts of ClearDoc, Inc., a Delaware corporation incorporated on February 9, 2017, and its wholly owned subsidiary, Balloon Technologies,</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Inc. (collectively, the “Company”). All intercompany profits, transactions and balances have been eliminated in consolidation.</w:t>
      </w:r>
    </w:p>
    <w:p>
      <w:pPr>
        <w:spacing w:after="0" w:line="103" w:lineRule="exact"/>
        <w:rPr>
          <w:rFonts w:ascii="Times New Roman" w:cs="Times New Roman" w:eastAsia="Times New Roman" w:hAnsi="Times New Roman"/>
          <w:sz w:val="12"/>
          <w:szCs w:val="12"/>
          <w:b w:val="1"/>
          <w:bCs w:val="1"/>
          <w:color w:val="auto"/>
        </w:rPr>
      </w:pPr>
    </w:p>
    <w:p>
      <w:pPr>
        <w:ind w:left="428" w:right="20"/>
        <w:spacing w:after="0" w:line="286" w:lineRule="auto"/>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 xml:space="preserve">Nature of operations </w:t>
      </w:r>
      <w:r>
        <w:rPr>
          <w:rFonts w:ascii="Times New Roman" w:cs="Times New Roman" w:eastAsia="Times New Roman" w:hAnsi="Times New Roman"/>
          <w:sz w:val="12"/>
          <w:szCs w:val="12"/>
          <w:color w:val="auto"/>
        </w:rPr>
        <w:t>– The Company is a remote video capture technology provider headquartered in New York, New York. The Company provides subscription-based software as a service (“SaaS”) offering to enterprise,</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media, entertainment and agency teams to remotely control, direct, script, film, and collaborate on high definition video projects from a mobile device or webcam.</w:t>
      </w:r>
    </w:p>
    <w:p>
      <w:pPr>
        <w:spacing w:after="0" w:line="103" w:lineRule="exact"/>
        <w:rPr>
          <w:rFonts w:ascii="Times New Roman" w:cs="Times New Roman" w:eastAsia="Times New Roman" w:hAnsi="Times New Roman"/>
          <w:sz w:val="12"/>
          <w:szCs w:val="12"/>
          <w:b w:val="1"/>
          <w:bCs w:val="1"/>
          <w:color w:val="auto"/>
        </w:rPr>
      </w:pPr>
    </w:p>
    <w:p>
      <w:pPr>
        <w:jc w:val="both"/>
        <w:ind w:left="428"/>
        <w:spacing w:after="0" w:line="268" w:lineRule="auto"/>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 xml:space="preserve">Use of estimates </w:t>
      </w:r>
      <w:r>
        <w:rPr>
          <w:rFonts w:ascii="Times New Roman" w:cs="Times New Roman" w:eastAsia="Times New Roman" w:hAnsi="Times New Roman"/>
          <w:sz w:val="12"/>
          <w:szCs w:val="12"/>
          <w:color w:val="auto"/>
        </w:rPr>
        <w:t>– The preparation of these financial statements in conformity with accounting principles generally accepted in the United States of America (“U.S. GAAP”) requires management to make estimates and</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assumptions that affect the reported amounts of assets and liabilities, and disclosures of contingent assets and liabilities, at the date of the financial statements and the reported amounts of revenues and expenses during the reporting period. Management’s significant estimates and assumptions include the deferred income tax valuation allowance. Actual results could differ from those estimates.</w:t>
      </w:r>
    </w:p>
    <w:p>
      <w:pPr>
        <w:spacing w:after="0" w:line="113" w:lineRule="exact"/>
        <w:rPr>
          <w:rFonts w:ascii="Times New Roman" w:cs="Times New Roman" w:eastAsia="Times New Roman" w:hAnsi="Times New Roman"/>
          <w:sz w:val="12"/>
          <w:szCs w:val="12"/>
          <w:b w:val="1"/>
          <w:bCs w:val="1"/>
          <w:color w:val="auto"/>
        </w:rPr>
      </w:pPr>
    </w:p>
    <w:p>
      <w:pPr>
        <w:ind w:left="428" w:right="20"/>
        <w:spacing w:after="0" w:line="286" w:lineRule="auto"/>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 xml:space="preserve">Cash </w:t>
      </w:r>
      <w:r>
        <w:rPr>
          <w:rFonts w:ascii="Times New Roman" w:cs="Times New Roman" w:eastAsia="Times New Roman" w:hAnsi="Times New Roman"/>
          <w:sz w:val="12"/>
          <w:szCs w:val="12"/>
          <w:color w:val="auto"/>
        </w:rPr>
        <w:t>– The Company’s cash consists of cash on hand and demand deposits held by financial institutions. At times, the Company maintains cash deposits in financial institutions in excess of federally insured limits. For the</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period ended September 30, 2024, the uninsured portion of cash deposits held by financial institutions was $360,826. Management monitors the cash in excess of these limits and believes the risk of loss is negligible.</w:t>
      </w:r>
    </w:p>
    <w:p>
      <w:pPr>
        <w:spacing w:after="0" w:line="103" w:lineRule="exact"/>
        <w:rPr>
          <w:rFonts w:ascii="Times New Roman" w:cs="Times New Roman" w:eastAsia="Times New Roman" w:hAnsi="Times New Roman"/>
          <w:sz w:val="12"/>
          <w:szCs w:val="12"/>
          <w:b w:val="1"/>
          <w:bCs w:val="1"/>
          <w:color w:val="auto"/>
        </w:rPr>
      </w:pPr>
    </w:p>
    <w:p>
      <w:pPr>
        <w:jc w:val="both"/>
        <w:ind w:left="428" w:right="20"/>
        <w:spacing w:after="0" w:line="268" w:lineRule="auto"/>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 xml:space="preserve">Adoption of new accounting standard </w:t>
      </w:r>
      <w:r>
        <w:rPr>
          <w:rFonts w:ascii="Times New Roman" w:cs="Times New Roman" w:eastAsia="Times New Roman" w:hAnsi="Times New Roman"/>
          <w:sz w:val="12"/>
          <w:szCs w:val="12"/>
          <w:color w:val="auto"/>
        </w:rPr>
        <w:t>– On January 1, 2023, the Company implemented Accounting Standards Update (“ASU”) No. 2016-13,</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i w:val="1"/>
          <w:iCs w:val="1"/>
          <w:color w:val="auto"/>
        </w:rPr>
        <w:t>Financial Instruments – Credit Losses</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(Topic 326):</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i w:val="1"/>
          <w:iCs w:val="1"/>
          <w:color w:val="auto"/>
        </w:rPr>
        <w:t>Measurement of Credit</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i w:val="1"/>
          <w:iCs w:val="1"/>
          <w:color w:val="auto"/>
        </w:rPr>
        <w:t xml:space="preserve">Losses on Financial Instruments, </w:t>
      </w:r>
      <w:r>
        <w:rPr>
          <w:rFonts w:ascii="Times New Roman" w:cs="Times New Roman" w:eastAsia="Times New Roman" w:hAnsi="Times New Roman"/>
          <w:sz w:val="12"/>
          <w:szCs w:val="12"/>
          <w:color w:val="auto"/>
        </w:rPr>
        <w:t>and all of the related amendments using the modified retrospective method. The adoption of Accounting Standards Codification (“ASC”) Topic 326 did not have a material impact on the</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Company’s financial position, results of operations, or cash flows. As such, the Company did not make any adjustments to its financial position upon adoption.</w:t>
      </w:r>
    </w:p>
    <w:p>
      <w:pPr>
        <w:spacing w:after="0" w:line="113" w:lineRule="exact"/>
        <w:rPr>
          <w:rFonts w:ascii="Times New Roman" w:cs="Times New Roman" w:eastAsia="Times New Roman" w:hAnsi="Times New Roman"/>
          <w:sz w:val="12"/>
          <w:szCs w:val="12"/>
          <w:b w:val="1"/>
          <w:bCs w:val="1"/>
          <w:color w:val="auto"/>
        </w:rPr>
      </w:pPr>
    </w:p>
    <w:p>
      <w:pPr>
        <w:jc w:val="both"/>
        <w:ind w:left="428"/>
        <w:spacing w:after="0" w:line="262" w:lineRule="auto"/>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 xml:space="preserve">Accounts receivable, net </w:t>
      </w:r>
      <w:r>
        <w:rPr>
          <w:rFonts w:ascii="Times New Roman" w:cs="Times New Roman" w:eastAsia="Times New Roman" w:hAnsi="Times New Roman"/>
          <w:sz w:val="12"/>
          <w:szCs w:val="12"/>
          <w:color w:val="auto"/>
        </w:rPr>
        <w:t>– The Company grants unsecured credit to all qualified customers. Billings and other consideration received on contracts in excess of related revenues recognized are recorded as advances from</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customers within deferred revenue. Interest is not charged on past- due accounts. When necessary, the Company maintains an allowance for credit losses based on the best estimate of the amounts that will not be collected, which includes consideration of past events, current conditions, and forecasts of future expectations. If actual bad debts differ from the reserves calculated, the Company records an adjustment to bad debt expense in the period in which the difference occurs. For the period ended September 30, 2024, the Company had an allowance for credit losses of $14,723.</w:t>
      </w:r>
    </w:p>
    <w:p>
      <w:pPr>
        <w:spacing w:after="0" w:line="121"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78040" cy="571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503" w:right="299" w:bottom="1440" w:gutter="0" w:footer="0" w:header="0"/>
        </w:sectPr>
      </w:pPr>
    </w:p>
    <w:bookmarkStart w:id="38" w:name="page39"/>
    <w:bookmarkEnd w:id="38"/>
    <w:p>
      <w:pPr>
        <w:ind w:left="428" w:hanging="428"/>
        <w:spacing w:after="0"/>
        <w:tabs>
          <w:tab w:leader="none" w:pos="428" w:val="left"/>
        </w:tabs>
        <w:numPr>
          <w:ilvl w:val="0"/>
          <w:numId w:val="6"/>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u w:val="single" w:color="auto"/>
          <w:color w:val="auto"/>
        </w:rPr>
        <w:t>Summary of significant accounting policies</w:t>
      </w:r>
      <w:r>
        <w:rPr>
          <w:rFonts w:ascii="Times New Roman" w:cs="Times New Roman" w:eastAsia="Times New Roman" w:hAnsi="Times New Roman"/>
          <w:sz w:val="12"/>
          <w:szCs w:val="12"/>
          <w:b w:val="1"/>
          <w:bCs w:val="1"/>
          <w:color w:val="auto"/>
        </w:rPr>
        <w:t xml:space="preserve"> (continued)</w:t>
      </w:r>
    </w:p>
    <w:p>
      <w:pPr>
        <w:spacing w:after="0" w:line="222" w:lineRule="exact"/>
        <w:rPr>
          <w:rFonts w:ascii="Times New Roman" w:cs="Times New Roman" w:eastAsia="Times New Roman" w:hAnsi="Times New Roman"/>
          <w:sz w:val="12"/>
          <w:szCs w:val="12"/>
          <w:b w:val="1"/>
          <w:bCs w:val="1"/>
          <w:color w:val="auto"/>
        </w:rPr>
      </w:pPr>
    </w:p>
    <w:p>
      <w:pPr>
        <w:jc w:val="both"/>
        <w:ind w:left="428"/>
        <w:spacing w:after="0" w:line="268" w:lineRule="auto"/>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 xml:space="preserve">Deferred sales commissions </w:t>
      </w:r>
      <w:r>
        <w:rPr>
          <w:rFonts w:ascii="Times New Roman" w:cs="Times New Roman" w:eastAsia="Times New Roman" w:hAnsi="Times New Roman"/>
          <w:sz w:val="12"/>
          <w:szCs w:val="12"/>
          <w:color w:val="auto"/>
        </w:rPr>
        <w:t>– Sales commissions earned by the Company’s sales force are considered incremental and recoverable costs of obtaining a contract with a customer. Sales commissions for initial contracts are</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deferred and then amortized on a straight-line basis over a period of benefit the Company has determined to be three years. The Company determined the period of benefit by taking into consideration the average contractual customer term, technology obsolescence and other factors.</w:t>
      </w:r>
    </w:p>
    <w:p>
      <w:pPr>
        <w:spacing w:after="0" w:line="113" w:lineRule="exact"/>
        <w:rPr>
          <w:rFonts w:ascii="Times New Roman" w:cs="Times New Roman" w:eastAsia="Times New Roman" w:hAnsi="Times New Roman"/>
          <w:sz w:val="12"/>
          <w:szCs w:val="12"/>
          <w:b w:val="1"/>
          <w:bCs w:val="1"/>
          <w:color w:val="auto"/>
        </w:rPr>
      </w:pPr>
    </w:p>
    <w:p>
      <w:pPr>
        <w:ind w:left="428"/>
        <w:spacing w:after="0" w:line="286" w:lineRule="auto"/>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 xml:space="preserve">Property and equipment, net </w:t>
      </w:r>
      <w:r>
        <w:rPr>
          <w:rFonts w:ascii="Times New Roman" w:cs="Times New Roman" w:eastAsia="Times New Roman" w:hAnsi="Times New Roman"/>
          <w:sz w:val="12"/>
          <w:szCs w:val="12"/>
          <w:color w:val="auto"/>
        </w:rPr>
        <w:t>– Property and equipment, which consists of computer equipment, is stated at cost less accumulated depreciation. Depreciation for computer equipment is charged to expense on the straight-line</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basis over a five-year estimated useful life. The Company does not own any other property and equipment as employees work remotely and an office building is not currently utilized.</w:t>
      </w:r>
    </w:p>
    <w:p>
      <w:pPr>
        <w:spacing w:after="0" w:line="103" w:lineRule="exact"/>
        <w:rPr>
          <w:rFonts w:ascii="Times New Roman" w:cs="Times New Roman" w:eastAsia="Times New Roman" w:hAnsi="Times New Roman"/>
          <w:sz w:val="12"/>
          <w:szCs w:val="12"/>
          <w:b w:val="1"/>
          <w:bCs w:val="1"/>
          <w:color w:val="auto"/>
        </w:rPr>
      </w:pPr>
    </w:p>
    <w:p>
      <w:pPr>
        <w:jc w:val="both"/>
        <w:ind w:left="428"/>
        <w:spacing w:after="0" w:line="256" w:lineRule="auto"/>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 xml:space="preserve">Goodwill </w:t>
      </w:r>
      <w:r>
        <w:rPr>
          <w:rFonts w:ascii="Times New Roman" w:cs="Times New Roman" w:eastAsia="Times New Roman" w:hAnsi="Times New Roman"/>
          <w:sz w:val="12"/>
          <w:szCs w:val="12"/>
          <w:color w:val="auto"/>
        </w:rPr>
        <w:t>– The Company has adopted ASU 2017-04, Intangibles – Goodwill and Other (Topic 350) – Simplifying the Test for Goodwill Impairment. Upon election of this accounting alternative for evaluating goodwill</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impairment triggering events, the Company performs a goodwill impairment triggering event evaluation only as of the end of each reporting period. The entity manages as one segment and integrates any acquired entities fully onto the Company’s platform, which is determined to be the reporting unit. A qualitative assessment is performed to determine whether the existence of events or circumstances leads to a determination that it is more likely than not the fair value of a reporting unit is less than the carrying amount, including goodwill. If, based on the evaluation, it is determined to be more likely than not that the fair value of a reporting unit is less than the carrying value, then goodwill is tested further for impairment. The quantitative impairment test consists of calculating the fair value of a reporting unit and comparing it to the carrying amount, including goodwill. The goodwill impairment loss, if any, is measured as the amount by which the carrying amount of a reporting unit, including goodwill, exceeds its fair value. Subsequent increases in goodwill value are not recognized in the consolidated financial statements.</w:t>
      </w:r>
    </w:p>
    <w:p>
      <w:pPr>
        <w:spacing w:after="0" w:line="121" w:lineRule="exact"/>
        <w:rPr>
          <w:rFonts w:ascii="Times New Roman" w:cs="Times New Roman" w:eastAsia="Times New Roman" w:hAnsi="Times New Roman"/>
          <w:sz w:val="12"/>
          <w:szCs w:val="12"/>
          <w:b w:val="1"/>
          <w:bCs w:val="1"/>
          <w:color w:val="auto"/>
        </w:rPr>
      </w:pPr>
    </w:p>
    <w:p>
      <w:pPr>
        <w:jc w:val="both"/>
        <w:ind w:left="428"/>
        <w:spacing w:after="0" w:line="268" w:lineRule="auto"/>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 xml:space="preserve">Identifiable intangible assets, net </w:t>
      </w:r>
      <w:r>
        <w:rPr>
          <w:rFonts w:ascii="Times New Roman" w:cs="Times New Roman" w:eastAsia="Times New Roman" w:hAnsi="Times New Roman"/>
          <w:sz w:val="12"/>
          <w:szCs w:val="12"/>
          <w:color w:val="auto"/>
        </w:rPr>
        <w:t>– Identifiable intangible assets consist of video material licenses, a web domain, patents, trademarks, customer relationships, non-compete agreements, and technology, which are stated at</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cost, with the exception of assets acquired in a business combination which are capitalized at their initial fair values and are being amortized ratably over their estimated useful lives. Identifiable intangible assets are amortized over the following estimated useful lives:</w:t>
      </w:r>
    </w:p>
    <w:p>
      <w:pPr>
        <w:spacing w:after="0" w:line="114" w:lineRule="exact"/>
        <w:rPr>
          <w:sz w:val="20"/>
          <w:szCs w:val="20"/>
          <w:color w:val="auto"/>
        </w:rPr>
      </w:pPr>
    </w:p>
    <w:tbl>
      <w:tblPr>
        <w:tblLayout w:type="fixed"/>
        <w:tblInd w:w="428" w:type="dxa"/>
        <w:tblCellMar>
          <w:top w:w="0" w:type="dxa"/>
          <w:left w:w="0" w:type="dxa"/>
          <w:bottom w:w="0" w:type="dxa"/>
          <w:right w:w="0" w:type="dxa"/>
        </w:tblCellMar>
      </w:tblPr>
      <w:tr>
        <w:trPr>
          <w:trHeight w:val="163"/>
        </w:trPr>
        <w:tc>
          <w:tcPr>
            <w:tcW w:w="5160" w:type="dxa"/>
            <w:vAlign w:val="bottom"/>
            <w:tcBorders>
              <w:bottom w:val="single" w:sz="8" w:color="auto"/>
            </w:tcBorders>
          </w:tcPr>
          <w:p>
            <w:pPr>
              <w:ind w:left="2440"/>
              <w:spacing w:after="0"/>
              <w:rPr>
                <w:sz w:val="20"/>
                <w:szCs w:val="20"/>
                <w:color w:val="auto"/>
              </w:rPr>
            </w:pPr>
            <w:r>
              <w:rPr>
                <w:rFonts w:ascii="Times New Roman" w:cs="Times New Roman" w:eastAsia="Times New Roman" w:hAnsi="Times New Roman"/>
                <w:sz w:val="12"/>
                <w:szCs w:val="12"/>
                <w:b w:val="1"/>
                <w:bCs w:val="1"/>
                <w:color w:val="auto"/>
              </w:rPr>
              <w:t>Asset</w:t>
            </w:r>
          </w:p>
        </w:tc>
        <w:tc>
          <w:tcPr>
            <w:tcW w:w="200" w:type="dxa"/>
            <w:vAlign w:val="bottom"/>
          </w:tcPr>
          <w:p>
            <w:pPr>
              <w:spacing w:after="0"/>
              <w:rPr>
                <w:sz w:val="14"/>
                <w:szCs w:val="14"/>
                <w:color w:val="auto"/>
              </w:rPr>
            </w:pPr>
          </w:p>
        </w:tc>
        <w:tc>
          <w:tcPr>
            <w:tcW w:w="5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rPr>
              <w:t>Estimated Useful Life</w:t>
            </w:r>
          </w:p>
        </w:tc>
      </w:tr>
      <w:tr>
        <w:trPr>
          <w:trHeight w:val="271"/>
        </w:trPr>
        <w:tc>
          <w:tcPr>
            <w:tcW w:w="53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Video material licenses</w:t>
            </w:r>
          </w:p>
        </w:tc>
        <w:tc>
          <w:tcPr>
            <w:tcW w:w="516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8"/>
              </w:rPr>
              <w:t>5 years</w:t>
            </w:r>
          </w:p>
        </w:tc>
      </w:tr>
      <w:tr>
        <w:trPr>
          <w:trHeight w:val="144"/>
        </w:trPr>
        <w:tc>
          <w:tcPr>
            <w:tcW w:w="53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Web domain</w:t>
            </w:r>
          </w:p>
        </w:tc>
        <w:tc>
          <w:tcPr>
            <w:tcW w:w="516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15 years</w:t>
            </w:r>
          </w:p>
        </w:tc>
      </w:tr>
      <w:tr>
        <w:trPr>
          <w:trHeight w:val="144"/>
        </w:trPr>
        <w:tc>
          <w:tcPr>
            <w:tcW w:w="53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Patents</w:t>
            </w:r>
          </w:p>
        </w:tc>
        <w:tc>
          <w:tcPr>
            <w:tcW w:w="516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20 years</w:t>
            </w:r>
          </w:p>
        </w:tc>
      </w:tr>
      <w:tr>
        <w:trPr>
          <w:trHeight w:val="144"/>
        </w:trPr>
        <w:tc>
          <w:tcPr>
            <w:tcW w:w="53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Trademark</w:t>
            </w:r>
          </w:p>
        </w:tc>
        <w:tc>
          <w:tcPr>
            <w:tcW w:w="516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8"/>
              </w:rPr>
              <w:t>2 years</w:t>
            </w:r>
          </w:p>
        </w:tc>
      </w:tr>
      <w:tr>
        <w:trPr>
          <w:trHeight w:val="144"/>
        </w:trPr>
        <w:tc>
          <w:tcPr>
            <w:tcW w:w="53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Customer Relationships</w:t>
            </w:r>
          </w:p>
        </w:tc>
        <w:tc>
          <w:tcPr>
            <w:tcW w:w="516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8"/>
              </w:rPr>
              <w:t>3 years</w:t>
            </w:r>
          </w:p>
        </w:tc>
      </w:tr>
      <w:tr>
        <w:trPr>
          <w:trHeight w:val="144"/>
        </w:trPr>
        <w:tc>
          <w:tcPr>
            <w:tcW w:w="53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Existing Technology</w:t>
            </w:r>
          </w:p>
        </w:tc>
        <w:tc>
          <w:tcPr>
            <w:tcW w:w="516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8"/>
              </w:rPr>
              <w:t>5 years</w:t>
            </w:r>
          </w:p>
        </w:tc>
      </w:tr>
      <w:tr>
        <w:trPr>
          <w:trHeight w:val="155"/>
        </w:trPr>
        <w:tc>
          <w:tcPr>
            <w:tcW w:w="53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Non-Compete Agreements</w:t>
            </w:r>
          </w:p>
        </w:tc>
        <w:tc>
          <w:tcPr>
            <w:tcW w:w="516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8"/>
              </w:rPr>
              <w:t>3 years</w:t>
            </w:r>
          </w:p>
        </w:tc>
      </w:tr>
    </w:tbl>
    <w:p>
      <w:pPr>
        <w:spacing w:after="0" w:line="129" w:lineRule="exact"/>
        <w:rPr>
          <w:sz w:val="20"/>
          <w:szCs w:val="20"/>
          <w:color w:val="auto"/>
        </w:rPr>
      </w:pPr>
    </w:p>
    <w:p>
      <w:pPr>
        <w:jc w:val="both"/>
        <w:ind w:left="428"/>
        <w:spacing w:after="0" w:line="268" w:lineRule="auto"/>
        <w:rPr>
          <w:sz w:val="20"/>
          <w:szCs w:val="20"/>
          <w:color w:val="auto"/>
        </w:rPr>
      </w:pPr>
      <w:r>
        <w:rPr>
          <w:rFonts w:ascii="Times New Roman" w:cs="Times New Roman" w:eastAsia="Times New Roman" w:hAnsi="Times New Roman"/>
          <w:sz w:val="12"/>
          <w:szCs w:val="12"/>
          <w:b w:val="1"/>
          <w:bCs w:val="1"/>
          <w:color w:val="auto"/>
        </w:rPr>
        <w:t xml:space="preserve">Impairment of long-lived assets </w:t>
      </w:r>
      <w:r>
        <w:rPr>
          <w:rFonts w:ascii="Times New Roman" w:cs="Times New Roman" w:eastAsia="Times New Roman" w:hAnsi="Times New Roman"/>
          <w:sz w:val="12"/>
          <w:szCs w:val="12"/>
          <w:color w:val="auto"/>
        </w:rPr>
        <w:t>– Management reviews long-lived assets, which includes property and equipment and identifiable definite lived intangible assets, for impairment when circumstances indicate the carrying</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amount of an asset may not be recoverable based on the undiscounted future cash flows of the asset. If the carrying amount of an asset may not be recoverable, a write-down to fair value is recorded. There was no impairment losses recognized during the period ended September 30, 2024.</w:t>
      </w:r>
    </w:p>
    <w:p>
      <w:pPr>
        <w:spacing w:after="0" w:line="114" w:lineRule="exact"/>
        <w:rPr>
          <w:sz w:val="20"/>
          <w:szCs w:val="20"/>
          <w:color w:val="auto"/>
        </w:rPr>
      </w:pPr>
    </w:p>
    <w:p>
      <w:pPr>
        <w:jc w:val="both"/>
        <w:ind w:left="428"/>
        <w:spacing w:after="0" w:line="286" w:lineRule="auto"/>
        <w:rPr>
          <w:sz w:val="20"/>
          <w:szCs w:val="20"/>
          <w:color w:val="auto"/>
        </w:rPr>
      </w:pPr>
      <w:r>
        <w:rPr>
          <w:rFonts w:ascii="Times New Roman" w:cs="Times New Roman" w:eastAsia="Times New Roman" w:hAnsi="Times New Roman"/>
          <w:sz w:val="12"/>
          <w:szCs w:val="12"/>
          <w:b w:val="1"/>
          <w:bCs w:val="1"/>
          <w:color w:val="auto"/>
        </w:rPr>
        <w:t xml:space="preserve">Stock-based compensation </w:t>
      </w:r>
      <w:r>
        <w:rPr>
          <w:rFonts w:ascii="Times New Roman" w:cs="Times New Roman" w:eastAsia="Times New Roman" w:hAnsi="Times New Roman"/>
          <w:sz w:val="12"/>
          <w:szCs w:val="12"/>
          <w:color w:val="auto"/>
        </w:rPr>
        <w:t>– The Company measures stock-based compensation to employees at the grant date and recognizes compensation expense over the requisite service period. Stock-based compensation costs are</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included in operating expenses in the consolidated statement of operations.</w:t>
      </w:r>
    </w:p>
    <w:p>
      <w:pPr>
        <w:spacing w:after="0" w:line="107"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78040" cy="571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503" w:right="299" w:bottom="1440" w:gutter="0" w:footer="0" w:header="0"/>
        </w:sectPr>
      </w:pPr>
    </w:p>
    <w:bookmarkStart w:id="39" w:name="page40"/>
    <w:bookmarkEnd w:id="39"/>
    <w:p>
      <w:pPr>
        <w:ind w:left="428" w:hanging="428"/>
        <w:spacing w:after="0"/>
        <w:tabs>
          <w:tab w:leader="none" w:pos="428" w:val="left"/>
        </w:tabs>
        <w:numPr>
          <w:ilvl w:val="0"/>
          <w:numId w:val="7"/>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u w:val="single" w:color="auto"/>
          <w:color w:val="auto"/>
        </w:rPr>
        <w:t>Summary of significant accounting policies</w:t>
      </w:r>
      <w:r>
        <w:rPr>
          <w:rFonts w:ascii="Times New Roman" w:cs="Times New Roman" w:eastAsia="Times New Roman" w:hAnsi="Times New Roman"/>
          <w:sz w:val="12"/>
          <w:szCs w:val="12"/>
          <w:b w:val="1"/>
          <w:bCs w:val="1"/>
          <w:color w:val="auto"/>
        </w:rPr>
        <w:t xml:space="preserve"> (continued)</w:t>
      </w:r>
    </w:p>
    <w:p>
      <w:pPr>
        <w:spacing w:after="0" w:line="150" w:lineRule="exact"/>
        <w:rPr>
          <w:rFonts w:ascii="Times New Roman" w:cs="Times New Roman" w:eastAsia="Times New Roman" w:hAnsi="Times New Roman"/>
          <w:sz w:val="12"/>
          <w:szCs w:val="12"/>
          <w:b w:val="1"/>
          <w:bCs w:val="1"/>
          <w:color w:val="auto"/>
        </w:rPr>
      </w:pPr>
    </w:p>
    <w:p>
      <w:pPr>
        <w:jc w:val="both"/>
        <w:ind w:left="428"/>
        <w:spacing w:after="0" w:line="268" w:lineRule="auto"/>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 xml:space="preserve">Income taxes </w:t>
      </w:r>
      <w:r>
        <w:rPr>
          <w:rFonts w:ascii="Times New Roman" w:cs="Times New Roman" w:eastAsia="Times New Roman" w:hAnsi="Times New Roman"/>
          <w:sz w:val="12"/>
          <w:szCs w:val="12"/>
          <w:color w:val="auto"/>
        </w:rPr>
        <w:t>– ClearDoc, Inc. and Balloon Technologies, Inc. are corporations. The Company utilizes the asset and liability method of accounting for income taxes in accordance with ASC 740- 10,</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i w:val="1"/>
          <w:iCs w:val="1"/>
          <w:color w:val="auto"/>
        </w:rPr>
        <w:t>Income Taxes</w:t>
      </w:r>
      <w:r>
        <w:rPr>
          <w:rFonts w:ascii="Times New Roman" w:cs="Times New Roman" w:eastAsia="Times New Roman" w:hAnsi="Times New Roman"/>
          <w:sz w:val="12"/>
          <w:szCs w:val="12"/>
          <w:color w:val="auto"/>
        </w:rPr>
        <w:t>, under which</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deferred income taxes are determined based on the temporary differences between the financial statements and income tax basis of assets and liabilities using tax rates expected to be in effect during the years in which the basis differences reverse. A valuation allowance is recorded when it is more likely than not that some of the deferred income tax assets will not be realized.</w:t>
      </w:r>
    </w:p>
    <w:p>
      <w:pPr>
        <w:spacing w:after="0" w:line="117" w:lineRule="exact"/>
        <w:rPr>
          <w:rFonts w:ascii="Times New Roman" w:cs="Times New Roman" w:eastAsia="Times New Roman" w:hAnsi="Times New Roman"/>
          <w:sz w:val="12"/>
          <w:szCs w:val="12"/>
          <w:b w:val="1"/>
          <w:bCs w:val="1"/>
          <w:color w:val="auto"/>
        </w:rPr>
      </w:pPr>
    </w:p>
    <w:p>
      <w:pPr>
        <w:ind w:left="428"/>
        <w:spacing w:after="0"/>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color w:val="auto"/>
        </w:rPr>
        <w:t>As the Company has net operating loss carry forwards for federal and state purposes, the statute of limitations remains open for all tax years to the extent the tax attributes are carried forward into future tax years.</w:t>
      </w:r>
    </w:p>
    <w:p>
      <w:pPr>
        <w:spacing w:after="0" w:line="148" w:lineRule="exact"/>
        <w:rPr>
          <w:rFonts w:ascii="Times New Roman" w:cs="Times New Roman" w:eastAsia="Times New Roman" w:hAnsi="Times New Roman"/>
          <w:sz w:val="12"/>
          <w:szCs w:val="12"/>
          <w:b w:val="1"/>
          <w:bCs w:val="1"/>
          <w:color w:val="auto"/>
        </w:rPr>
      </w:pPr>
    </w:p>
    <w:p>
      <w:pPr>
        <w:jc w:val="both"/>
        <w:ind w:left="428"/>
        <w:spacing w:after="0" w:line="261" w:lineRule="auto"/>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color w:val="auto"/>
        </w:rPr>
        <w:t xml:space="preserve">The Company has adopted the standards requiring disclosure of uncertain income tax positions under ASC 740, </w:t>
      </w:r>
      <w:r>
        <w:rPr>
          <w:rFonts w:ascii="Times New Roman" w:cs="Times New Roman" w:eastAsia="Times New Roman" w:hAnsi="Times New Roman"/>
          <w:sz w:val="12"/>
          <w:szCs w:val="12"/>
          <w:i w:val="1"/>
          <w:iCs w:val="1"/>
          <w:color w:val="auto"/>
        </w:rPr>
        <w:t>Income Taxes</w:t>
      </w:r>
      <w:r>
        <w:rPr>
          <w:rFonts w:ascii="Times New Roman" w:cs="Times New Roman" w:eastAsia="Times New Roman" w:hAnsi="Times New Roman"/>
          <w:sz w:val="12"/>
          <w:szCs w:val="12"/>
          <w:color w:val="auto"/>
        </w:rPr>
        <w:t>. A company may recognize the tax benefit from an uncertain tax position only if it is more likely than not that the tax position will be sustained on examination by taxing authorities, based on the technical merits of the position. The tax benefits recognized in the financial statements from such a position are measured on the largest benefit that has a greater than 50% likelihood of being realized upon settlement. The Company has not identified any tax positions which are considered to be uncertain. There has been no interest or penalties recognized in the financial statements.</w:t>
      </w:r>
    </w:p>
    <w:p>
      <w:pPr>
        <w:spacing w:after="0" w:line="121" w:lineRule="exact"/>
        <w:rPr>
          <w:rFonts w:ascii="Times New Roman" w:cs="Times New Roman" w:eastAsia="Times New Roman" w:hAnsi="Times New Roman"/>
          <w:sz w:val="12"/>
          <w:szCs w:val="12"/>
          <w:b w:val="1"/>
          <w:bCs w:val="1"/>
          <w:color w:val="auto"/>
        </w:rPr>
      </w:pPr>
    </w:p>
    <w:p>
      <w:pPr>
        <w:jc w:val="both"/>
        <w:ind w:left="428"/>
        <w:spacing w:after="0" w:line="265" w:lineRule="auto"/>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color w:val="auto"/>
        </w:rPr>
        <w:t>In addition, no tax positions exist for which it is reasonably possible that the total amounts of unrecognized tax benefits will significantly increase or decrease within the next 12 months. The Company files income tax returns in the U.S. federal jurisdiction and in various state jurisdictions. With few exceptions, the Company is no longer subject to income tax examination by the U.S. federal, state or local tax authorities for years before 2020. As the Company has indefinite lived net operating losses, the statute of limitations remains open until three years after the net operating losses are utilized.</w:t>
      </w:r>
    </w:p>
    <w:p>
      <w:pPr>
        <w:spacing w:after="0" w:line="114" w:lineRule="exact"/>
        <w:rPr>
          <w:rFonts w:ascii="Times New Roman" w:cs="Times New Roman" w:eastAsia="Times New Roman" w:hAnsi="Times New Roman"/>
          <w:sz w:val="12"/>
          <w:szCs w:val="12"/>
          <w:b w:val="1"/>
          <w:bCs w:val="1"/>
          <w:color w:val="auto"/>
        </w:rPr>
      </w:pPr>
    </w:p>
    <w:p>
      <w:pPr>
        <w:ind w:left="428"/>
        <w:spacing w:after="0" w:line="286" w:lineRule="auto"/>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 xml:space="preserve">Revenue recognition </w:t>
      </w:r>
      <w:r>
        <w:rPr>
          <w:rFonts w:ascii="Times New Roman" w:cs="Times New Roman" w:eastAsia="Times New Roman" w:hAnsi="Times New Roman"/>
          <w:sz w:val="12"/>
          <w:szCs w:val="12"/>
          <w:color w:val="auto"/>
        </w:rPr>
        <w:t>– The Company primarily derives its revenues using a SaaS subscription model. Revenues are recognized by completing a five-step process: 1) identifying the contract with a customer, 2) identifying the</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performance obligations in the contract, 3) determining the transaction price, 4) allocating the transaction price to the performance obligations, and 5) recognizing revenue when or as the performance obligation is satisfied.</w:t>
      </w:r>
    </w:p>
    <w:p>
      <w:pPr>
        <w:spacing w:after="0" w:line="107" w:lineRule="exact"/>
        <w:rPr>
          <w:rFonts w:ascii="Times New Roman" w:cs="Times New Roman" w:eastAsia="Times New Roman" w:hAnsi="Times New Roman"/>
          <w:sz w:val="12"/>
          <w:szCs w:val="12"/>
          <w:b w:val="1"/>
          <w:bCs w:val="1"/>
          <w:color w:val="auto"/>
        </w:rPr>
      </w:pPr>
    </w:p>
    <w:p>
      <w:pPr>
        <w:jc w:val="both"/>
        <w:ind w:left="428"/>
        <w:spacing w:after="0" w:line="260" w:lineRule="auto"/>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color w:val="auto"/>
        </w:rPr>
        <w:t>The Company primarily enters into fixed price subscription contracts with customers. Customers have the option of entering into monthly, one-year, or multi-year service agreements, which auto- renew without discount for additional periods of the same duration as the initial term, unless either party requests termination in writing at least thirty days prior to the end of the initial service term. Subscription revenues are recognized ratably over the term of the service agreement, which is considered an output method, as the obligation of hosting the SaaS product is fulfilled over the course of the agreement. The Company does not charge for implementation or recognize any revenues upfront due to the minimal effort required.</w:t>
      </w:r>
    </w:p>
    <w:p>
      <w:pPr>
        <w:spacing w:after="0" w:line="122" w:lineRule="exact"/>
        <w:rPr>
          <w:sz w:val="20"/>
          <w:szCs w:val="20"/>
          <w:color w:val="auto"/>
        </w:rPr>
      </w:pPr>
    </w:p>
    <w:p>
      <w:pPr>
        <w:ind w:left="428"/>
        <w:spacing w:after="0" w:line="279" w:lineRule="auto"/>
        <w:rPr>
          <w:sz w:val="20"/>
          <w:szCs w:val="20"/>
          <w:color w:val="auto"/>
        </w:rPr>
      </w:pPr>
      <w:r>
        <w:rPr>
          <w:rFonts w:ascii="Times New Roman" w:cs="Times New Roman" w:eastAsia="Times New Roman" w:hAnsi="Times New Roman"/>
          <w:sz w:val="12"/>
          <w:szCs w:val="12"/>
          <w:color w:val="auto"/>
        </w:rPr>
        <w:t>Deferred revenue results from advance cash receipts from customers or advance billings of customers at the inception of the billing period for subscriptions and is recognized as revenue when revenue recognition criteria are met. Deferred revenue represents contract liabilities.</w:t>
      </w:r>
    </w:p>
    <w:p>
      <w:pPr>
        <w:spacing w:after="0" w:line="111"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78040" cy="571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548" w:right="299" w:bottom="1440" w:gutter="0" w:footer="0" w:header="0"/>
        </w:sectPr>
      </w:pPr>
    </w:p>
    <w:bookmarkStart w:id="40" w:name="page41"/>
    <w:bookmarkEnd w:id="40"/>
    <w:p>
      <w:pPr>
        <w:ind w:left="428" w:hanging="428"/>
        <w:spacing w:after="0"/>
        <w:tabs>
          <w:tab w:leader="none" w:pos="428" w:val="left"/>
        </w:tabs>
        <w:numPr>
          <w:ilvl w:val="0"/>
          <w:numId w:val="8"/>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u w:val="single" w:color="auto"/>
          <w:color w:val="auto"/>
        </w:rPr>
        <w:t>Summary of significant accounting policies</w:t>
      </w:r>
      <w:r>
        <w:rPr>
          <w:rFonts w:ascii="Times New Roman" w:cs="Times New Roman" w:eastAsia="Times New Roman" w:hAnsi="Times New Roman"/>
          <w:sz w:val="12"/>
          <w:szCs w:val="12"/>
          <w:b w:val="1"/>
          <w:bCs w:val="1"/>
          <w:color w:val="auto"/>
        </w:rPr>
        <w:t xml:space="preserve"> (continued)</w:t>
      </w:r>
    </w:p>
    <w:p>
      <w:pPr>
        <w:spacing w:after="0" w:line="150" w:lineRule="exact"/>
        <w:rPr>
          <w:rFonts w:ascii="Times New Roman" w:cs="Times New Roman" w:eastAsia="Times New Roman" w:hAnsi="Times New Roman"/>
          <w:sz w:val="12"/>
          <w:szCs w:val="12"/>
          <w:b w:val="1"/>
          <w:bCs w:val="1"/>
          <w:color w:val="auto"/>
        </w:rPr>
      </w:pPr>
    </w:p>
    <w:p>
      <w:pPr>
        <w:ind w:left="428"/>
        <w:spacing w:after="0"/>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 xml:space="preserve">Revenue recognition (continued) </w:t>
      </w:r>
      <w:r>
        <w:rPr>
          <w:rFonts w:ascii="Times New Roman" w:cs="Times New Roman" w:eastAsia="Times New Roman" w:hAnsi="Times New Roman"/>
          <w:sz w:val="12"/>
          <w:szCs w:val="12"/>
          <w:color w:val="auto"/>
        </w:rPr>
        <w:t>– The beginning and ending contract balances are as follows:</w:t>
      </w:r>
    </w:p>
    <w:p>
      <w:pPr>
        <w:spacing w:after="0" w:line="150" w:lineRule="exact"/>
        <w:rPr>
          <w:sz w:val="20"/>
          <w:szCs w:val="20"/>
          <w:color w:val="auto"/>
        </w:rPr>
      </w:pPr>
    </w:p>
    <w:tbl>
      <w:tblPr>
        <w:tblLayout w:type="fixed"/>
        <w:tblInd w:w="428" w:type="dxa"/>
        <w:tblCellMar>
          <w:top w:w="0" w:type="dxa"/>
          <w:left w:w="0" w:type="dxa"/>
          <w:bottom w:w="0" w:type="dxa"/>
          <w:right w:w="0" w:type="dxa"/>
        </w:tblCellMar>
      </w:tblPr>
      <w:tr>
        <w:trPr>
          <w:trHeight w:val="153"/>
        </w:trPr>
        <w:tc>
          <w:tcPr>
            <w:tcW w:w="6520" w:type="dxa"/>
            <w:vAlign w:val="bottom"/>
          </w:tcPr>
          <w:p>
            <w:pPr>
              <w:spacing w:after="0"/>
              <w:rPr>
                <w:sz w:val="13"/>
                <w:szCs w:val="13"/>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September 30,</w:t>
            </w:r>
          </w:p>
        </w:tc>
        <w:tc>
          <w:tcPr>
            <w:tcW w:w="5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540" w:type="dxa"/>
            <w:vAlign w:val="bottom"/>
            <w:gridSpan w:val="2"/>
          </w:tcPr>
          <w:p>
            <w:pPr>
              <w:ind w:left="280"/>
              <w:spacing w:after="0"/>
              <w:rPr>
                <w:sz w:val="20"/>
                <w:szCs w:val="20"/>
                <w:color w:val="auto"/>
              </w:rPr>
            </w:pPr>
            <w:r>
              <w:rPr>
                <w:rFonts w:ascii="Times New Roman" w:cs="Times New Roman" w:eastAsia="Times New Roman" w:hAnsi="Times New Roman"/>
                <w:sz w:val="12"/>
                <w:szCs w:val="12"/>
                <w:b w:val="1"/>
                <w:bCs w:val="1"/>
                <w:color w:val="auto"/>
              </w:rPr>
              <w:t>January 1,</w:t>
            </w:r>
          </w:p>
        </w:tc>
      </w:tr>
      <w:tr>
        <w:trPr>
          <w:trHeight w:val="159"/>
        </w:trPr>
        <w:tc>
          <w:tcPr>
            <w:tcW w:w="6520" w:type="dxa"/>
            <w:vAlign w:val="bottom"/>
            <w:tcBorders>
              <w:bottom w:val="single" w:sz="8" w:color="CCEEFF"/>
            </w:tcBorders>
          </w:tcPr>
          <w:p>
            <w:pPr>
              <w:spacing w:after="0"/>
              <w:rPr>
                <w:sz w:val="13"/>
                <w:szCs w:val="13"/>
                <w:color w:val="auto"/>
              </w:rPr>
            </w:pPr>
          </w:p>
        </w:tc>
        <w:tc>
          <w:tcPr>
            <w:tcW w:w="1300" w:type="dxa"/>
            <w:vAlign w:val="bottom"/>
            <w:tcBorders>
              <w:bottom w:val="single" w:sz="8" w:color="auto"/>
            </w:tcBorders>
          </w:tcPr>
          <w:p>
            <w:pPr>
              <w:jc w:val="right"/>
              <w:ind w:right="224"/>
              <w:spacing w:after="0"/>
              <w:rPr>
                <w:sz w:val="20"/>
                <w:szCs w:val="20"/>
                <w:color w:val="auto"/>
              </w:rPr>
            </w:pPr>
            <w:r>
              <w:rPr>
                <w:rFonts w:ascii="Times New Roman" w:cs="Times New Roman" w:eastAsia="Times New Roman" w:hAnsi="Times New Roman"/>
                <w:sz w:val="12"/>
                <w:szCs w:val="12"/>
                <w:b w:val="1"/>
                <w:bCs w:val="1"/>
                <w:color w:val="auto"/>
              </w:rPr>
              <w:t>2024</w:t>
            </w:r>
          </w:p>
        </w:tc>
        <w:tc>
          <w:tcPr>
            <w:tcW w:w="500" w:type="dxa"/>
            <w:vAlign w:val="bottom"/>
            <w:tcBorders>
              <w:bottom w:val="single" w:sz="8" w:color="auto"/>
            </w:tcBorders>
          </w:tcPr>
          <w:p>
            <w:pPr>
              <w:spacing w:after="0"/>
              <w:rPr>
                <w:sz w:val="13"/>
                <w:szCs w:val="13"/>
                <w:color w:val="auto"/>
              </w:rPr>
            </w:pPr>
          </w:p>
        </w:tc>
        <w:tc>
          <w:tcPr>
            <w:tcW w:w="32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440" w:type="dxa"/>
            <w:vAlign w:val="bottom"/>
            <w:tcBorders>
              <w:bottom w:val="single" w:sz="8" w:color="auto"/>
            </w:tcBorders>
          </w:tcPr>
          <w:p>
            <w:pPr>
              <w:jc w:val="right"/>
              <w:ind w:right="700"/>
              <w:spacing w:after="0"/>
              <w:rPr>
                <w:sz w:val="20"/>
                <w:szCs w:val="20"/>
                <w:color w:val="auto"/>
              </w:rPr>
            </w:pPr>
            <w:r>
              <w:rPr>
                <w:rFonts w:ascii="Times New Roman" w:cs="Times New Roman" w:eastAsia="Times New Roman" w:hAnsi="Times New Roman"/>
                <w:sz w:val="12"/>
                <w:szCs w:val="12"/>
                <w:b w:val="1"/>
                <w:bCs w:val="1"/>
                <w:color w:val="auto"/>
              </w:rPr>
              <w:t>2024</w:t>
            </w:r>
          </w:p>
        </w:tc>
        <w:tc>
          <w:tcPr>
            <w:tcW w:w="100" w:type="dxa"/>
            <w:vAlign w:val="bottom"/>
            <w:tcBorders>
              <w:bottom w:val="single" w:sz="8" w:color="CCEEFF"/>
            </w:tcBorders>
          </w:tcPr>
          <w:p>
            <w:pPr>
              <w:spacing w:after="0"/>
              <w:rPr>
                <w:sz w:val="13"/>
                <w:szCs w:val="13"/>
                <w:color w:val="auto"/>
              </w:rPr>
            </w:pPr>
          </w:p>
        </w:tc>
      </w:tr>
      <w:tr>
        <w:trPr>
          <w:trHeight w:val="133"/>
        </w:trPr>
        <w:tc>
          <w:tcPr>
            <w:tcW w:w="652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Accounts receivable, net</w:t>
            </w:r>
          </w:p>
        </w:tc>
        <w:tc>
          <w:tcPr>
            <w:tcW w:w="1300" w:type="dxa"/>
            <w:vAlign w:val="bottom"/>
            <w:shd w:val="clear" w:color="auto" w:fill="CCEEFF"/>
          </w:tcPr>
          <w:p>
            <w:pPr>
              <w:jc w:val="right"/>
              <w:ind w:right="1184"/>
              <w:spacing w:after="0"/>
              <w:rPr>
                <w:sz w:val="20"/>
                <w:szCs w:val="20"/>
                <w:color w:val="auto"/>
              </w:rPr>
            </w:pPr>
            <w:r>
              <w:rPr>
                <w:rFonts w:ascii="Times New Roman" w:cs="Times New Roman" w:eastAsia="Times New Roman" w:hAnsi="Times New Roman"/>
                <w:sz w:val="11"/>
                <w:szCs w:val="11"/>
                <w:color w:val="auto"/>
                <w:w w:val="71"/>
              </w:rPr>
              <w:t>$</w:t>
            </w:r>
          </w:p>
        </w:tc>
        <w:tc>
          <w:tcPr>
            <w:tcW w:w="50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525,231</w:t>
            </w:r>
          </w:p>
        </w:tc>
        <w:tc>
          <w:tcPr>
            <w:tcW w:w="320" w:type="dxa"/>
            <w:vAlign w:val="bottom"/>
            <w:shd w:val="clear" w:color="auto" w:fill="CCEEFF"/>
          </w:tcPr>
          <w:p>
            <w:pPr>
              <w:spacing w:after="0"/>
              <w:rPr>
                <w:sz w:val="11"/>
                <w:szCs w:val="11"/>
                <w:color w:val="auto"/>
              </w:rPr>
            </w:pPr>
          </w:p>
        </w:tc>
        <w:tc>
          <w:tcPr>
            <w:tcW w:w="340" w:type="dxa"/>
            <w:vAlign w:val="bottom"/>
            <w:shd w:val="clear" w:color="auto" w:fill="CCEEFF"/>
          </w:tcPr>
          <w:p>
            <w:pPr>
              <w:jc w:val="right"/>
              <w:ind w:right="226"/>
              <w:spacing w:after="0"/>
              <w:rPr>
                <w:sz w:val="20"/>
                <w:szCs w:val="20"/>
                <w:color w:val="auto"/>
              </w:rPr>
            </w:pPr>
            <w:r>
              <w:rPr>
                <w:rFonts w:ascii="Times New Roman" w:cs="Times New Roman" w:eastAsia="Times New Roman" w:hAnsi="Times New Roman"/>
                <w:sz w:val="11"/>
                <w:szCs w:val="11"/>
                <w:color w:val="auto"/>
                <w:w w:val="71"/>
              </w:rPr>
              <w:t>$</w:t>
            </w:r>
          </w:p>
        </w:tc>
        <w:tc>
          <w:tcPr>
            <w:tcW w:w="144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810,408</w:t>
            </w:r>
          </w:p>
        </w:tc>
        <w:tc>
          <w:tcPr>
            <w:tcW w:w="100" w:type="dxa"/>
            <w:vAlign w:val="bottom"/>
            <w:shd w:val="clear" w:color="auto" w:fill="CCEEFF"/>
          </w:tcPr>
          <w:p>
            <w:pPr>
              <w:spacing w:after="0"/>
              <w:rPr>
                <w:sz w:val="11"/>
                <w:szCs w:val="11"/>
                <w:color w:val="auto"/>
              </w:rPr>
            </w:pPr>
          </w:p>
        </w:tc>
      </w:tr>
      <w:tr>
        <w:trPr>
          <w:trHeight w:val="144"/>
        </w:trPr>
        <w:tc>
          <w:tcPr>
            <w:tcW w:w="6520" w:type="dxa"/>
            <w:vAlign w:val="bottom"/>
          </w:tcPr>
          <w:p>
            <w:pPr>
              <w:spacing w:after="0"/>
              <w:rPr>
                <w:sz w:val="20"/>
                <w:szCs w:val="20"/>
                <w:color w:val="auto"/>
              </w:rPr>
            </w:pPr>
            <w:r>
              <w:rPr>
                <w:rFonts w:ascii="Times New Roman" w:cs="Times New Roman" w:eastAsia="Times New Roman" w:hAnsi="Times New Roman"/>
                <w:sz w:val="12"/>
                <w:szCs w:val="12"/>
                <w:color w:val="auto"/>
              </w:rPr>
              <w:t>Deferred sales commissions</w:t>
            </w:r>
          </w:p>
        </w:tc>
        <w:tc>
          <w:tcPr>
            <w:tcW w:w="1300" w:type="dxa"/>
            <w:vAlign w:val="bottom"/>
          </w:tcPr>
          <w:p>
            <w:pPr>
              <w:jc w:val="right"/>
              <w:ind w:right="1184"/>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gridSpan w:val="2"/>
          </w:tcPr>
          <w:p>
            <w:pPr>
              <w:jc w:val="right"/>
              <w:ind w:right="320"/>
              <w:spacing w:after="0"/>
              <w:rPr>
                <w:sz w:val="20"/>
                <w:szCs w:val="20"/>
                <w:color w:val="auto"/>
              </w:rPr>
            </w:pPr>
            <w:r>
              <w:rPr>
                <w:rFonts w:ascii="Times New Roman" w:cs="Times New Roman" w:eastAsia="Times New Roman" w:hAnsi="Times New Roman"/>
                <w:sz w:val="12"/>
                <w:szCs w:val="12"/>
                <w:color w:val="auto"/>
              </w:rPr>
              <w:t>732,571</w:t>
            </w:r>
          </w:p>
        </w:tc>
        <w:tc>
          <w:tcPr>
            <w:tcW w:w="340" w:type="dxa"/>
            <w:vAlign w:val="bottom"/>
          </w:tcPr>
          <w:p>
            <w:pPr>
              <w:jc w:val="right"/>
              <w:ind w:right="226"/>
              <w:spacing w:after="0"/>
              <w:rPr>
                <w:sz w:val="20"/>
                <w:szCs w:val="20"/>
                <w:color w:val="auto"/>
              </w:rPr>
            </w:pPr>
            <w:r>
              <w:rPr>
                <w:rFonts w:ascii="Times New Roman" w:cs="Times New Roman" w:eastAsia="Times New Roman" w:hAnsi="Times New Roman"/>
                <w:sz w:val="11"/>
                <w:szCs w:val="11"/>
                <w:color w:val="auto"/>
                <w:w w:val="71"/>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1,011,218</w:t>
            </w:r>
          </w:p>
        </w:tc>
        <w:tc>
          <w:tcPr>
            <w:tcW w:w="100" w:type="dxa"/>
            <w:vAlign w:val="bottom"/>
          </w:tcPr>
          <w:p>
            <w:pPr>
              <w:spacing w:after="0"/>
              <w:rPr>
                <w:sz w:val="12"/>
                <w:szCs w:val="12"/>
                <w:color w:val="auto"/>
              </w:rPr>
            </w:pPr>
          </w:p>
        </w:tc>
      </w:tr>
      <w:tr>
        <w:trPr>
          <w:trHeight w:val="144"/>
        </w:trPr>
        <w:tc>
          <w:tcPr>
            <w:tcW w:w="65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Deferred revenue</w:t>
            </w:r>
          </w:p>
        </w:tc>
        <w:tc>
          <w:tcPr>
            <w:tcW w:w="1300" w:type="dxa"/>
            <w:vAlign w:val="bottom"/>
            <w:shd w:val="clear" w:color="auto" w:fill="CCEEFF"/>
          </w:tcPr>
          <w:p>
            <w:pPr>
              <w:jc w:val="right"/>
              <w:ind w:right="1184"/>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2"/>
                <w:szCs w:val="12"/>
                <w:color w:val="auto"/>
                <w:w w:val="99"/>
              </w:rPr>
              <w:t>2,832,562</w:t>
            </w:r>
          </w:p>
        </w:tc>
        <w:tc>
          <w:tcPr>
            <w:tcW w:w="340" w:type="dxa"/>
            <w:vAlign w:val="bottom"/>
            <w:shd w:val="clear" w:color="auto" w:fill="CCEEFF"/>
          </w:tcPr>
          <w:p>
            <w:pPr>
              <w:jc w:val="right"/>
              <w:ind w:right="226"/>
              <w:spacing w:after="0"/>
              <w:rPr>
                <w:sz w:val="20"/>
                <w:szCs w:val="20"/>
                <w:color w:val="auto"/>
              </w:rPr>
            </w:pPr>
            <w:r>
              <w:rPr>
                <w:rFonts w:ascii="Times New Roman" w:cs="Times New Roman" w:eastAsia="Times New Roman" w:hAnsi="Times New Roman"/>
                <w:sz w:val="11"/>
                <w:szCs w:val="11"/>
                <w:color w:val="auto"/>
                <w:w w:val="71"/>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3,171,874</w:t>
            </w:r>
          </w:p>
        </w:tc>
        <w:tc>
          <w:tcPr>
            <w:tcW w:w="100" w:type="dxa"/>
            <w:vAlign w:val="bottom"/>
            <w:shd w:val="clear" w:color="auto" w:fill="CCEEFF"/>
          </w:tcPr>
          <w:p>
            <w:pPr>
              <w:spacing w:after="0"/>
              <w:rPr>
                <w:sz w:val="12"/>
                <w:szCs w:val="12"/>
                <w:color w:val="auto"/>
              </w:rPr>
            </w:pPr>
          </w:p>
        </w:tc>
      </w:tr>
    </w:tbl>
    <w:p>
      <w:pPr>
        <w:spacing w:after="0" w:line="133"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color w:val="auto"/>
        </w:rPr>
        <w:t>Of the $3,171,874 deferred revenue opening balance as of January 1, 2024, $2,763,422 was recognized as revenue in for the period ended September 30, 2024.</w:t>
      </w:r>
    </w:p>
    <w:p>
      <w:pPr>
        <w:spacing w:after="0" w:line="148"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color w:val="auto"/>
        </w:rPr>
        <w:t xml:space="preserve">The following FASB ASC 606, </w:t>
      </w:r>
      <w:r>
        <w:rPr>
          <w:rFonts w:ascii="Times New Roman" w:cs="Times New Roman" w:eastAsia="Times New Roman" w:hAnsi="Times New Roman"/>
          <w:sz w:val="12"/>
          <w:szCs w:val="12"/>
          <w:i w:val="1"/>
          <w:iCs w:val="1"/>
          <w:color w:val="auto"/>
        </w:rPr>
        <w:t>Revenue from Contracts with Customers</w:t>
      </w:r>
      <w:r>
        <w:rPr>
          <w:rFonts w:ascii="Times New Roman" w:cs="Times New Roman" w:eastAsia="Times New Roman" w:hAnsi="Times New Roman"/>
          <w:sz w:val="12"/>
          <w:szCs w:val="12"/>
          <w:color w:val="auto"/>
        </w:rPr>
        <w:t>, practical expedients are utilized:</w:t>
      </w:r>
    </w:p>
    <w:p>
      <w:pPr>
        <w:spacing w:after="0" w:line="152" w:lineRule="exact"/>
        <w:rPr>
          <w:sz w:val="20"/>
          <w:szCs w:val="20"/>
          <w:color w:val="auto"/>
        </w:rPr>
      </w:pPr>
    </w:p>
    <w:p>
      <w:pPr>
        <w:ind w:left="868" w:hanging="220"/>
        <w:spacing w:after="0" w:line="259" w:lineRule="auto"/>
        <w:tabs>
          <w:tab w:leader="none" w:pos="868" w:val="left"/>
        </w:tabs>
        <w:numPr>
          <w:ilvl w:val="0"/>
          <w:numId w:val="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When an unconditional right to consideration from a customer in an amount that corresponds directly with the value of performance completed to date exists, revenue is recognized equal to the amount to which there is a right to invoice for services performed.</w:t>
      </w:r>
    </w:p>
    <w:p>
      <w:pPr>
        <w:spacing w:after="0" w:line="1" w:lineRule="exact"/>
        <w:rPr>
          <w:rFonts w:ascii="Times New Roman" w:cs="Times New Roman" w:eastAsia="Times New Roman" w:hAnsi="Times New Roman"/>
          <w:sz w:val="12"/>
          <w:szCs w:val="12"/>
          <w:color w:val="auto"/>
        </w:rPr>
      </w:pPr>
    </w:p>
    <w:p>
      <w:pPr>
        <w:ind w:left="868" w:hanging="220"/>
        <w:spacing w:after="0"/>
        <w:tabs>
          <w:tab w:leader="none" w:pos="868" w:val="left"/>
        </w:tabs>
        <w:numPr>
          <w:ilvl w:val="0"/>
          <w:numId w:val="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When the Company transfers goods or services to a customer and payment from the customer is expected within one year or less, a significant financing component is presumed not to exist.</w:t>
      </w:r>
    </w:p>
    <w:p>
      <w:pPr>
        <w:spacing w:after="0" w:line="6" w:lineRule="exact"/>
        <w:rPr>
          <w:rFonts w:ascii="Times New Roman" w:cs="Times New Roman" w:eastAsia="Times New Roman" w:hAnsi="Times New Roman"/>
          <w:sz w:val="12"/>
          <w:szCs w:val="12"/>
          <w:color w:val="auto"/>
        </w:rPr>
      </w:pPr>
    </w:p>
    <w:p>
      <w:pPr>
        <w:ind w:left="868" w:right="20" w:hanging="220"/>
        <w:spacing w:after="0" w:line="260" w:lineRule="auto"/>
        <w:tabs>
          <w:tab w:leader="none" w:pos="868" w:val="left"/>
        </w:tabs>
        <w:numPr>
          <w:ilvl w:val="0"/>
          <w:numId w:val="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As a result of an accounting policy election, all taxes assessed by governmental authorities that are collected by the Company from its customers (use taxes, value added taxes, some excise taxes), are excluded from the measurement of the transaction price.</w:t>
      </w:r>
    </w:p>
    <w:p>
      <w:pPr>
        <w:spacing w:after="0" w:line="118"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b w:val="1"/>
          <w:bCs w:val="1"/>
          <w:color w:val="auto"/>
        </w:rPr>
        <w:t xml:space="preserve">Cost of revenue </w:t>
      </w:r>
      <w:r>
        <w:rPr>
          <w:rFonts w:ascii="Times New Roman" w:cs="Times New Roman" w:eastAsia="Times New Roman" w:hAnsi="Times New Roman"/>
          <w:sz w:val="12"/>
          <w:szCs w:val="12"/>
          <w:color w:val="auto"/>
        </w:rPr>
        <w:t>– Cost of revenue primarily consists of salaries and wages, hosting, and other software expenses associated with providing services to customers.</w:t>
      </w:r>
    </w:p>
    <w:p>
      <w:pPr>
        <w:spacing w:after="0" w:line="150"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b w:val="1"/>
          <w:bCs w:val="1"/>
          <w:color w:val="auto"/>
        </w:rPr>
        <w:t xml:space="preserve">Advertising costs </w:t>
      </w:r>
      <w:r>
        <w:rPr>
          <w:rFonts w:ascii="Times New Roman" w:cs="Times New Roman" w:eastAsia="Times New Roman" w:hAnsi="Times New Roman"/>
          <w:sz w:val="12"/>
          <w:szCs w:val="12"/>
          <w:color w:val="auto"/>
        </w:rPr>
        <w:t>– Advertising costs are expensed when incurred. Advertising expense for the period ended September 30, 2024 was $106,050.</w:t>
      </w:r>
    </w:p>
    <w:p>
      <w:pPr>
        <w:spacing w:after="0" w:line="150"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b w:val="1"/>
          <w:bCs w:val="1"/>
          <w:color w:val="auto"/>
        </w:rPr>
        <w:t xml:space="preserve">R&amp;D costs </w:t>
      </w:r>
      <w:r>
        <w:rPr>
          <w:rFonts w:ascii="Times New Roman" w:cs="Times New Roman" w:eastAsia="Times New Roman" w:hAnsi="Times New Roman"/>
          <w:sz w:val="12"/>
          <w:szCs w:val="12"/>
          <w:color w:val="auto"/>
        </w:rPr>
        <w:t>– R&amp;D costs are expensed when incurred. R&amp;D expense for the period ended September 30, 2024, was $1,482,575.</w:t>
      </w:r>
    </w:p>
    <w:p>
      <w:pPr>
        <w:spacing w:after="0" w:line="21" w:lineRule="exact"/>
        <w:rPr>
          <w:sz w:val="20"/>
          <w:szCs w:val="20"/>
          <w:color w:val="auto"/>
        </w:rPr>
      </w:pPr>
    </w:p>
    <w:p>
      <w:pPr>
        <w:jc w:val="both"/>
        <w:ind w:left="428"/>
        <w:spacing w:after="0" w:line="260" w:lineRule="auto"/>
        <w:rPr>
          <w:sz w:val="20"/>
          <w:szCs w:val="20"/>
          <w:color w:val="auto"/>
        </w:rPr>
      </w:pPr>
      <w:r>
        <w:rPr>
          <w:rFonts w:ascii="Times New Roman" w:cs="Times New Roman" w:eastAsia="Times New Roman" w:hAnsi="Times New Roman"/>
          <w:sz w:val="12"/>
          <w:szCs w:val="12"/>
          <w:b w:val="1"/>
          <w:bCs w:val="1"/>
          <w:color w:val="auto"/>
        </w:rPr>
        <w:t xml:space="preserve">Leases </w:t>
      </w:r>
      <w:r>
        <w:rPr>
          <w:rFonts w:ascii="Times New Roman" w:cs="Times New Roman" w:eastAsia="Times New Roman" w:hAnsi="Times New Roman"/>
          <w:sz w:val="12"/>
          <w:szCs w:val="12"/>
          <w:color w:val="auto"/>
        </w:rPr>
        <w:t>– The Company determines if an arrangement is a lease at inception. Operating leases are included in operating lease right-of-use (“ROU”) assets, other current liabilities, and operating lease liabilities on the</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consolidated balance sheet.</w:t>
      </w:r>
    </w:p>
    <w:p>
      <w:pPr>
        <w:spacing w:after="0" w:line="122" w:lineRule="exact"/>
        <w:rPr>
          <w:sz w:val="20"/>
          <w:szCs w:val="20"/>
          <w:color w:val="auto"/>
        </w:rPr>
      </w:pPr>
    </w:p>
    <w:p>
      <w:pPr>
        <w:jc w:val="both"/>
        <w:ind w:left="428"/>
        <w:spacing w:after="0" w:line="279" w:lineRule="auto"/>
        <w:rPr>
          <w:sz w:val="20"/>
          <w:szCs w:val="20"/>
          <w:color w:val="auto"/>
        </w:rPr>
      </w:pPr>
      <w:r>
        <w:rPr>
          <w:rFonts w:ascii="Times New Roman" w:cs="Times New Roman" w:eastAsia="Times New Roman" w:hAnsi="Times New Roman"/>
          <w:sz w:val="12"/>
          <w:szCs w:val="12"/>
          <w:color w:val="auto"/>
        </w:rPr>
        <w:t>Operating lease ROU assets and operating lease liabilities are recognized based on the present value of the lease payments over the lease term at commencement date. The operating lease ROU asset also includes initial direct costs incurred by the lessee and any lease payments made to the lessor before the commencement date and exclude any lease incentives received.</w:t>
      </w:r>
    </w:p>
    <w:p>
      <w:pPr>
        <w:spacing w:after="0" w:line="111" w:lineRule="exact"/>
        <w:rPr>
          <w:sz w:val="20"/>
          <w:szCs w:val="20"/>
          <w:color w:val="auto"/>
        </w:rPr>
      </w:pPr>
    </w:p>
    <w:p>
      <w:pPr>
        <w:jc w:val="both"/>
        <w:ind w:left="428" w:right="20"/>
        <w:spacing w:after="0" w:line="279" w:lineRule="auto"/>
        <w:rPr>
          <w:sz w:val="20"/>
          <w:szCs w:val="20"/>
          <w:color w:val="auto"/>
        </w:rPr>
      </w:pPr>
      <w:r>
        <w:rPr>
          <w:rFonts w:ascii="Times New Roman" w:cs="Times New Roman" w:eastAsia="Times New Roman" w:hAnsi="Times New Roman"/>
          <w:sz w:val="12"/>
          <w:szCs w:val="12"/>
          <w:color w:val="auto"/>
        </w:rPr>
        <w:t>The lease terms consist of the following: any non-cancelable periods, periods covered by an option to extend the lease if the Company is reasonably certain to exercise that option and periods covered by an option to terminate the lease if the Company is reasonably certain not to exercise that option.</w:t>
      </w:r>
    </w:p>
    <w:p>
      <w:pPr>
        <w:spacing w:after="0" w:line="111" w:lineRule="exact"/>
        <w:rPr>
          <w:sz w:val="20"/>
          <w:szCs w:val="20"/>
          <w:color w:val="auto"/>
        </w:rPr>
      </w:pPr>
    </w:p>
    <w:p>
      <w:pPr>
        <w:jc w:val="both"/>
        <w:ind w:left="428" w:right="20"/>
        <w:spacing w:after="0" w:line="265" w:lineRule="auto"/>
        <w:rPr>
          <w:sz w:val="20"/>
          <w:szCs w:val="20"/>
          <w:color w:val="auto"/>
        </w:rPr>
      </w:pPr>
      <w:r>
        <w:rPr>
          <w:rFonts w:ascii="Times New Roman" w:cs="Times New Roman" w:eastAsia="Times New Roman" w:hAnsi="Times New Roman"/>
          <w:sz w:val="12"/>
          <w:szCs w:val="12"/>
          <w:color w:val="auto"/>
        </w:rPr>
        <w:t>The Company elected to apply the short-term lease exception for all applicable classes of underlying assets. Leases, with an initial term of 12 months or less, that do not include an option to purchase the underlying assets that are reasonably certain to be exercised, are not recorded on the consolidated balance sheet. The Company’s short-term lease costs do not reflect ongoing short- term lease commitments. Total short-term lease expense, included in operating expense, for the period ended September 30, 2024 was $476.</w:t>
      </w:r>
    </w:p>
    <w:p>
      <w:pPr>
        <w:spacing w:after="0" w:line="119"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78040" cy="571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548" w:right="299" w:bottom="1440" w:gutter="0" w:footer="0" w:header="0"/>
        </w:sectPr>
      </w:pPr>
    </w:p>
    <w:bookmarkStart w:id="41" w:name="page42"/>
    <w:bookmarkEnd w:id="41"/>
    <w:p>
      <w:pPr>
        <w:ind w:left="428" w:hanging="428"/>
        <w:spacing w:after="0"/>
        <w:tabs>
          <w:tab w:leader="none" w:pos="428" w:val="left"/>
        </w:tabs>
        <w:numPr>
          <w:ilvl w:val="0"/>
          <w:numId w:val="10"/>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u w:val="single" w:color="auto"/>
          <w:color w:val="auto"/>
        </w:rPr>
        <w:t>Summary of significant accounting policies</w:t>
      </w:r>
      <w:r>
        <w:rPr>
          <w:rFonts w:ascii="Times New Roman" w:cs="Times New Roman" w:eastAsia="Times New Roman" w:hAnsi="Times New Roman"/>
          <w:sz w:val="12"/>
          <w:szCs w:val="12"/>
          <w:b w:val="1"/>
          <w:bCs w:val="1"/>
          <w:color w:val="auto"/>
        </w:rPr>
        <w:t xml:space="preserve"> (continued)</w:t>
      </w:r>
    </w:p>
    <w:p>
      <w:pPr>
        <w:spacing w:after="0" w:line="150" w:lineRule="exact"/>
        <w:rPr>
          <w:rFonts w:ascii="Times New Roman" w:cs="Times New Roman" w:eastAsia="Times New Roman" w:hAnsi="Times New Roman"/>
          <w:sz w:val="12"/>
          <w:szCs w:val="12"/>
          <w:b w:val="1"/>
          <w:bCs w:val="1"/>
          <w:color w:val="auto"/>
        </w:rPr>
      </w:pPr>
    </w:p>
    <w:p>
      <w:pPr>
        <w:jc w:val="both"/>
        <w:ind w:left="428"/>
        <w:spacing w:after="0" w:line="268" w:lineRule="auto"/>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 xml:space="preserve">Going concern assessment </w:t>
      </w:r>
      <w:r>
        <w:rPr>
          <w:rFonts w:ascii="Times New Roman" w:cs="Times New Roman" w:eastAsia="Times New Roman" w:hAnsi="Times New Roman"/>
          <w:sz w:val="12"/>
          <w:szCs w:val="12"/>
          <w:color w:val="auto"/>
        </w:rPr>
        <w:t>– Management annually evaluates whether there are conditions or events, considered in the aggregate, that indicate it is probable that substantial doubt about the Company’s ability to continue as a</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going concern exists within one year of the date that the financial statements are available to be issued. This evaluation is based on relevant conditions and events that are known or reasonably knowable on the date that the financial statements are available to be issued.</w:t>
      </w:r>
    </w:p>
    <w:p>
      <w:pPr>
        <w:spacing w:after="0" w:line="117" w:lineRule="exact"/>
        <w:rPr>
          <w:rFonts w:ascii="Times New Roman" w:cs="Times New Roman" w:eastAsia="Times New Roman" w:hAnsi="Times New Roman"/>
          <w:sz w:val="12"/>
          <w:szCs w:val="12"/>
          <w:b w:val="1"/>
          <w:bCs w:val="1"/>
          <w:color w:val="auto"/>
        </w:rPr>
      </w:pPr>
    </w:p>
    <w:p>
      <w:pPr>
        <w:jc w:val="both"/>
        <w:ind w:left="428" w:right="20"/>
        <w:spacing w:after="0" w:line="265" w:lineRule="auto"/>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color w:val="auto"/>
        </w:rPr>
        <w:t>Management did not determine that there are conditions that raise substantial doubt about the entity’s ability to continue as a going concern as the Company expects to have sufficient funds to meet its obligations within one year after the date the financial statements are expected to be issued. Specifically, the Company expects to have sufficient operating cash flow to cover its current expenses. Therefore, the going concern risk is deemed to be low as of analysis date.</w:t>
      </w:r>
    </w:p>
    <w:p>
      <w:pPr>
        <w:spacing w:after="0" w:line="114" w:lineRule="exact"/>
        <w:rPr>
          <w:rFonts w:ascii="Times New Roman" w:cs="Times New Roman" w:eastAsia="Times New Roman" w:hAnsi="Times New Roman"/>
          <w:sz w:val="12"/>
          <w:szCs w:val="12"/>
          <w:b w:val="1"/>
          <w:bCs w:val="1"/>
          <w:color w:val="auto"/>
        </w:rPr>
      </w:pPr>
    </w:p>
    <w:p>
      <w:pPr>
        <w:jc w:val="both"/>
        <w:ind w:left="428"/>
        <w:spacing w:after="0" w:line="257" w:lineRule="auto"/>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 xml:space="preserve">Accounting for acquisitions </w:t>
      </w:r>
      <w:r>
        <w:rPr>
          <w:rFonts w:ascii="Times New Roman" w:cs="Times New Roman" w:eastAsia="Times New Roman" w:hAnsi="Times New Roman"/>
          <w:sz w:val="12"/>
          <w:szCs w:val="12"/>
          <w:color w:val="auto"/>
        </w:rPr>
        <w:t>– Management accounts for acquisitions of businesses in accordance with FASB ASC Topic 805,</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i w:val="1"/>
          <w:iCs w:val="1"/>
          <w:color w:val="auto"/>
        </w:rPr>
        <w:t>Business Combinations</w:t>
      </w:r>
      <w:r>
        <w:rPr>
          <w:rFonts w:ascii="Times New Roman" w:cs="Times New Roman" w:eastAsia="Times New Roman" w:hAnsi="Times New Roman"/>
          <w:sz w:val="12"/>
          <w:szCs w:val="12"/>
          <w:color w:val="auto"/>
        </w:rPr>
        <w:t>. The Company records the fair value of all identifiable assets acquired and</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liabilities assumed. The Company determines the fair value of tangible assets generally using valuation techniques that consider comparable market transactions and other available information. As final information regarding the fair value of the assets acquired and liabilities assumed is received and estimates are refined, appropriate adjustments will be made in no case later than twelve months after the acquisition date. Transaction costs and fees incurred related to acquisitions are expensed as incurred. The Company determines the fair value of identified intangible assets using valuation techniques that consider comparable market transactions, weighted average cost of capital, discounted cash flow techniques, and other available information. The Company allocates the purchase price based on the fair value of the identifiable tangible and intangible assets and liabilities. The difference between the total cost of the acquisition and the sum of the fair values of the acquired tangible and identifiable intangible assets less assumed liabilities is recorded as goodwill or bargain purchase gain.</w:t>
      </w:r>
    </w:p>
    <w:p>
      <w:pPr>
        <w:spacing w:after="0" w:line="103" w:lineRule="exact"/>
        <w:rPr>
          <w:rFonts w:ascii="Times New Roman" w:cs="Times New Roman" w:eastAsia="Times New Roman" w:hAnsi="Times New Roman"/>
          <w:sz w:val="12"/>
          <w:szCs w:val="12"/>
          <w:b w:val="1"/>
          <w:bCs w:val="1"/>
          <w:color w:val="auto"/>
        </w:rPr>
      </w:pPr>
    </w:p>
    <w:p>
      <w:pPr>
        <w:ind w:left="428" w:hanging="428"/>
        <w:spacing w:after="0"/>
        <w:tabs>
          <w:tab w:leader="none" w:pos="428" w:val="left"/>
        </w:tabs>
        <w:numPr>
          <w:ilvl w:val="0"/>
          <w:numId w:val="10"/>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u w:val="single" w:color="auto"/>
          <w:color w:val="auto"/>
        </w:rPr>
        <w:t>Property and equipment, net</w:t>
      </w:r>
    </w:p>
    <w:p>
      <w:pPr>
        <w:spacing w:after="0" w:line="154" w:lineRule="exact"/>
        <w:rPr>
          <w:sz w:val="20"/>
          <w:szCs w:val="20"/>
          <w:color w:val="auto"/>
        </w:rPr>
      </w:pPr>
    </w:p>
    <w:tbl>
      <w:tblPr>
        <w:tblLayout w:type="fixed"/>
        <w:tblInd w:w="428" w:type="dxa"/>
        <w:tblCellMar>
          <w:top w:w="0" w:type="dxa"/>
          <w:left w:w="0" w:type="dxa"/>
          <w:bottom w:w="0" w:type="dxa"/>
          <w:right w:w="0" w:type="dxa"/>
        </w:tblCellMar>
      </w:tblPr>
      <w:tr>
        <w:trPr>
          <w:trHeight w:val="155"/>
        </w:trPr>
        <w:tc>
          <w:tcPr>
            <w:tcW w:w="8640" w:type="dxa"/>
            <w:vAlign w:val="bottom"/>
          </w:tcPr>
          <w:p>
            <w:pPr>
              <w:spacing w:after="0"/>
              <w:rPr>
                <w:sz w:val="20"/>
                <w:szCs w:val="20"/>
                <w:color w:val="auto"/>
              </w:rPr>
            </w:pPr>
            <w:r>
              <w:rPr>
                <w:rFonts w:ascii="Times New Roman" w:cs="Times New Roman" w:eastAsia="Times New Roman" w:hAnsi="Times New Roman"/>
                <w:sz w:val="12"/>
                <w:szCs w:val="12"/>
                <w:color w:val="auto"/>
              </w:rPr>
              <w:t>Property and equipment, net consists of the following as of the period ended September 30, 2024:</w:t>
            </w:r>
          </w:p>
        </w:tc>
        <w:tc>
          <w:tcPr>
            <w:tcW w:w="7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44"/>
        </w:trPr>
        <w:tc>
          <w:tcPr>
            <w:tcW w:w="86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4"/>
        </w:trPr>
        <w:tc>
          <w:tcPr>
            <w:tcW w:w="86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Computer equipment</w:t>
            </w:r>
          </w:p>
        </w:tc>
        <w:tc>
          <w:tcPr>
            <w:tcW w:w="760" w:type="dxa"/>
            <w:vAlign w:val="bottom"/>
            <w:shd w:val="clear" w:color="auto" w:fill="CCEEFF"/>
          </w:tcPr>
          <w:p>
            <w:pPr>
              <w:jc w:val="right"/>
              <w:ind w:right="646"/>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12,282</w:t>
            </w:r>
          </w:p>
        </w:tc>
      </w:tr>
      <w:tr>
        <w:trPr>
          <w:trHeight w:val="153"/>
        </w:trPr>
        <w:tc>
          <w:tcPr>
            <w:tcW w:w="8640" w:type="dxa"/>
            <w:vAlign w:val="bottom"/>
          </w:tcPr>
          <w:p>
            <w:pPr>
              <w:spacing w:after="0"/>
              <w:rPr>
                <w:sz w:val="20"/>
                <w:szCs w:val="20"/>
                <w:color w:val="auto"/>
              </w:rPr>
            </w:pPr>
            <w:r>
              <w:rPr>
                <w:rFonts w:ascii="Times New Roman" w:cs="Times New Roman" w:eastAsia="Times New Roman" w:hAnsi="Times New Roman"/>
                <w:sz w:val="12"/>
                <w:szCs w:val="12"/>
                <w:color w:val="auto"/>
              </w:rPr>
              <w:t>Accumulated depreciation</w:t>
            </w:r>
          </w:p>
        </w:tc>
        <w:tc>
          <w:tcPr>
            <w:tcW w:w="760" w:type="dxa"/>
            <w:vAlign w:val="bottom"/>
          </w:tcPr>
          <w:p>
            <w:pPr>
              <w:spacing w:after="0"/>
              <w:rPr>
                <w:sz w:val="13"/>
                <w:szCs w:val="13"/>
                <w:color w:val="auto"/>
              </w:rPr>
            </w:pP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(8,147)</w:t>
            </w:r>
          </w:p>
        </w:tc>
      </w:tr>
      <w:tr>
        <w:trPr>
          <w:trHeight w:val="149"/>
        </w:trPr>
        <w:tc>
          <w:tcPr>
            <w:tcW w:w="8640" w:type="dxa"/>
            <w:vAlign w:val="bottom"/>
            <w:tcBorders>
              <w:top w:val="single" w:sz="8" w:color="CCEEFF"/>
              <w:bottom w:val="single" w:sz="8" w:color="CCEEFF"/>
            </w:tcBorders>
            <w:shd w:val="clear" w:color="auto" w:fill="CCEEFF"/>
          </w:tcPr>
          <w:p>
            <w:pPr>
              <w:ind w:left="120"/>
              <w:spacing w:after="0" w:line="135" w:lineRule="exact"/>
              <w:rPr>
                <w:sz w:val="20"/>
                <w:szCs w:val="20"/>
                <w:color w:val="auto"/>
              </w:rPr>
            </w:pPr>
            <w:r>
              <w:rPr>
                <w:rFonts w:ascii="Times New Roman" w:cs="Times New Roman" w:eastAsia="Times New Roman" w:hAnsi="Times New Roman"/>
                <w:sz w:val="12"/>
                <w:szCs w:val="12"/>
                <w:color w:val="auto"/>
              </w:rPr>
              <w:t>Property and equipment, net</w:t>
            </w:r>
          </w:p>
        </w:tc>
        <w:tc>
          <w:tcPr>
            <w:tcW w:w="760" w:type="dxa"/>
            <w:vAlign w:val="bottom"/>
            <w:tcBorders>
              <w:top w:val="single" w:sz="8" w:color="auto"/>
              <w:bottom w:val="single" w:sz="8" w:color="auto"/>
            </w:tcBorders>
            <w:shd w:val="clear" w:color="auto" w:fill="CCEEFF"/>
          </w:tcPr>
          <w:p>
            <w:pPr>
              <w:jc w:val="right"/>
              <w:ind w:right="646"/>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4,135</w:t>
            </w: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r>
    </w:tbl>
    <w:p>
      <w:pPr>
        <w:spacing w:after="0" w:line="133"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color w:val="auto"/>
        </w:rPr>
        <w:t>Depreciation expense for the period ended September 30, 2024 was $1,842.</w:t>
      </w:r>
    </w:p>
    <w:p>
      <w:pPr>
        <w:spacing w:after="0" w:line="150"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78040" cy="571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548" w:right="299" w:bottom="1440" w:gutter="0" w:footer="0" w:header="0"/>
        </w:sectPr>
      </w:pPr>
    </w:p>
    <w:bookmarkStart w:id="42" w:name="page43"/>
    <w:bookmarkEnd w:id="42"/>
    <w:p>
      <w:pPr>
        <w:ind w:left="428" w:hanging="428"/>
        <w:spacing w:after="0"/>
        <w:tabs>
          <w:tab w:leader="none" w:pos="428" w:val="left"/>
        </w:tabs>
        <w:numPr>
          <w:ilvl w:val="0"/>
          <w:numId w:val="11"/>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u w:val="single" w:color="auto"/>
          <w:color w:val="auto"/>
        </w:rPr>
        <w:t>Goodwill and identifiable intangible assets, net</w:t>
      </w:r>
    </w:p>
    <w:p>
      <w:pPr>
        <w:spacing w:after="0" w:line="154" w:lineRule="exact"/>
        <w:rPr>
          <w:rFonts w:ascii="Times New Roman" w:cs="Times New Roman" w:eastAsia="Times New Roman" w:hAnsi="Times New Roman"/>
          <w:sz w:val="12"/>
          <w:szCs w:val="12"/>
          <w:b w:val="1"/>
          <w:bCs w:val="1"/>
          <w:color w:val="auto"/>
        </w:rPr>
      </w:pPr>
    </w:p>
    <w:p>
      <w:pPr>
        <w:ind w:left="428"/>
        <w:spacing w:after="0"/>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color w:val="auto"/>
        </w:rPr>
        <w:t>Identifiable intangible assets and goodwill consisted of the following as of the period ended September 30, 2024:</w:t>
      </w:r>
    </w:p>
    <w:p>
      <w:pPr>
        <w:spacing w:after="0" w:line="146" w:lineRule="exact"/>
        <w:rPr>
          <w:sz w:val="20"/>
          <w:szCs w:val="20"/>
          <w:color w:val="auto"/>
        </w:rPr>
      </w:pPr>
    </w:p>
    <w:tbl>
      <w:tblPr>
        <w:tblLayout w:type="fixed"/>
        <w:tblInd w:w="428" w:type="dxa"/>
        <w:tblCellMar>
          <w:top w:w="0" w:type="dxa"/>
          <w:left w:w="0" w:type="dxa"/>
          <w:bottom w:w="0" w:type="dxa"/>
          <w:right w:w="0" w:type="dxa"/>
        </w:tblCellMar>
      </w:tblPr>
      <w:tr>
        <w:trPr>
          <w:trHeight w:val="144"/>
        </w:trPr>
        <w:tc>
          <w:tcPr>
            <w:tcW w:w="5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40" w:type="dxa"/>
            <w:vAlign w:val="bottom"/>
            <w:gridSpan w:val="2"/>
          </w:tcPr>
          <w:p>
            <w:pPr>
              <w:jc w:val="right"/>
              <w:ind w:right="620"/>
              <w:spacing w:after="0"/>
              <w:rPr>
                <w:sz w:val="20"/>
                <w:szCs w:val="20"/>
                <w:color w:val="auto"/>
              </w:rPr>
            </w:pPr>
            <w:r>
              <w:rPr>
                <w:rFonts w:ascii="Times New Roman" w:cs="Times New Roman" w:eastAsia="Times New Roman" w:hAnsi="Times New Roman"/>
                <w:sz w:val="12"/>
                <w:szCs w:val="12"/>
                <w:b w:val="1"/>
                <w:bCs w:val="1"/>
                <w:color w:val="auto"/>
              </w:rPr>
              <w:t>Gross Carrying</w:t>
            </w:r>
          </w:p>
        </w:tc>
        <w:tc>
          <w:tcPr>
            <w:tcW w:w="80" w:type="dxa"/>
            <w:vAlign w:val="bottom"/>
          </w:tcPr>
          <w:p>
            <w:pPr>
              <w:spacing w:after="0"/>
              <w:rPr>
                <w:sz w:val="12"/>
                <w:szCs w:val="12"/>
                <w:color w:val="auto"/>
              </w:rPr>
            </w:pPr>
          </w:p>
        </w:tc>
        <w:tc>
          <w:tcPr>
            <w:tcW w:w="1580" w:type="dxa"/>
            <w:vAlign w:val="bottom"/>
            <w:gridSpan w:val="4"/>
          </w:tcPr>
          <w:p>
            <w:pPr>
              <w:jc w:val="right"/>
              <w:ind w:right="860"/>
              <w:spacing w:after="0"/>
              <w:rPr>
                <w:sz w:val="20"/>
                <w:szCs w:val="20"/>
                <w:color w:val="auto"/>
              </w:rPr>
            </w:pPr>
            <w:r>
              <w:rPr>
                <w:rFonts w:ascii="Times New Roman" w:cs="Times New Roman" w:eastAsia="Times New Roman" w:hAnsi="Times New Roman"/>
                <w:sz w:val="12"/>
                <w:szCs w:val="12"/>
                <w:b w:val="1"/>
                <w:bCs w:val="1"/>
                <w:color w:val="auto"/>
              </w:rPr>
              <w:t>Accumulated</w:t>
            </w:r>
          </w:p>
        </w:tc>
        <w:tc>
          <w:tcPr>
            <w:tcW w:w="3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59"/>
        </w:trPr>
        <w:tc>
          <w:tcPr>
            <w:tcW w:w="57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540" w:type="dxa"/>
            <w:vAlign w:val="bottom"/>
            <w:gridSpan w:val="2"/>
          </w:tcPr>
          <w:p>
            <w:pPr>
              <w:jc w:val="right"/>
              <w:ind w:right="800"/>
              <w:spacing w:after="0"/>
              <w:rPr>
                <w:sz w:val="20"/>
                <w:szCs w:val="20"/>
                <w:color w:val="auto"/>
              </w:rPr>
            </w:pPr>
            <w:r>
              <w:rPr>
                <w:rFonts w:ascii="Times New Roman" w:cs="Times New Roman" w:eastAsia="Times New Roman" w:hAnsi="Times New Roman"/>
                <w:sz w:val="12"/>
                <w:szCs w:val="12"/>
                <w:b w:val="1"/>
                <w:bCs w:val="1"/>
                <w:color w:val="auto"/>
              </w:rPr>
              <w:t>Amount</w:t>
            </w:r>
          </w:p>
        </w:tc>
        <w:tc>
          <w:tcPr>
            <w:tcW w:w="80" w:type="dxa"/>
            <w:vAlign w:val="bottom"/>
          </w:tcPr>
          <w:p>
            <w:pPr>
              <w:spacing w:after="0"/>
              <w:rPr>
                <w:sz w:val="13"/>
                <w:szCs w:val="13"/>
                <w:color w:val="auto"/>
              </w:rPr>
            </w:pPr>
          </w:p>
        </w:tc>
        <w:tc>
          <w:tcPr>
            <w:tcW w:w="1580" w:type="dxa"/>
            <w:vAlign w:val="bottom"/>
            <w:gridSpan w:val="4"/>
          </w:tcPr>
          <w:p>
            <w:pPr>
              <w:jc w:val="right"/>
              <w:ind w:right="840"/>
              <w:spacing w:after="0"/>
              <w:rPr>
                <w:sz w:val="20"/>
                <w:szCs w:val="20"/>
                <w:color w:val="auto"/>
              </w:rPr>
            </w:pPr>
            <w:r>
              <w:rPr>
                <w:rFonts w:ascii="Times New Roman" w:cs="Times New Roman" w:eastAsia="Times New Roman" w:hAnsi="Times New Roman"/>
                <w:sz w:val="12"/>
                <w:szCs w:val="12"/>
                <w:b w:val="1"/>
                <w:bCs w:val="1"/>
                <w:color w:val="auto"/>
              </w:rPr>
              <w:t>Amortization</w:t>
            </w:r>
          </w:p>
        </w:tc>
        <w:tc>
          <w:tcPr>
            <w:tcW w:w="320" w:type="dxa"/>
            <w:vAlign w:val="bottom"/>
          </w:tcPr>
          <w:p>
            <w:pPr>
              <w:spacing w:after="0"/>
              <w:rPr>
                <w:sz w:val="13"/>
                <w:szCs w:val="13"/>
                <w:color w:val="auto"/>
              </w:rPr>
            </w:pPr>
          </w:p>
        </w:tc>
        <w:tc>
          <w:tcPr>
            <w:tcW w:w="1140" w:type="dxa"/>
            <w:vAlign w:val="bottom"/>
            <w:gridSpan w:val="2"/>
          </w:tcPr>
          <w:p>
            <w:pPr>
              <w:ind w:left="240"/>
              <w:spacing w:after="0"/>
              <w:rPr>
                <w:sz w:val="20"/>
                <w:szCs w:val="20"/>
                <w:color w:val="auto"/>
              </w:rPr>
            </w:pPr>
            <w:r>
              <w:rPr>
                <w:rFonts w:ascii="Times New Roman" w:cs="Times New Roman" w:eastAsia="Times New Roman" w:hAnsi="Times New Roman"/>
                <w:sz w:val="12"/>
                <w:szCs w:val="12"/>
                <w:b w:val="1"/>
                <w:bCs w:val="1"/>
                <w:color w:val="auto"/>
              </w:rPr>
              <w:t>Intangibles, net</w:t>
            </w:r>
          </w:p>
        </w:tc>
      </w:tr>
      <w:tr>
        <w:trPr>
          <w:trHeight w:val="133"/>
        </w:trPr>
        <w:tc>
          <w:tcPr>
            <w:tcW w:w="5700" w:type="dxa"/>
            <w:vAlign w:val="bottom"/>
            <w:tcBorders>
              <w:top w:val="single" w:sz="8" w:color="CCEEFF"/>
            </w:tcBorders>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Video Material Licenses</w:t>
            </w:r>
          </w:p>
        </w:tc>
        <w:tc>
          <w:tcPr>
            <w:tcW w:w="160" w:type="dxa"/>
            <w:vAlign w:val="bottom"/>
            <w:tcBorders>
              <w:top w:val="single" w:sz="8" w:color="auto"/>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120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12,386</w:t>
            </w:r>
          </w:p>
        </w:tc>
        <w:tc>
          <w:tcPr>
            <w:tcW w:w="34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280" w:type="dxa"/>
            <w:vAlign w:val="bottom"/>
            <w:tcBorders>
              <w:top w:val="single" w:sz="8" w:color="auto"/>
            </w:tcBorders>
            <w:gridSpan w:val="3"/>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(4,954)</w:t>
            </w:r>
          </w:p>
        </w:tc>
        <w:tc>
          <w:tcPr>
            <w:tcW w:w="300" w:type="dxa"/>
            <w:vAlign w:val="bottom"/>
            <w:tcBorders>
              <w:top w:val="single" w:sz="8" w:color="CCEEFF"/>
            </w:tcBorders>
            <w:shd w:val="clear" w:color="auto" w:fill="CCEEFF"/>
          </w:tcPr>
          <w:p>
            <w:pPr>
              <w:spacing w:after="0"/>
              <w:rPr>
                <w:sz w:val="11"/>
                <w:szCs w:val="11"/>
                <w:color w:val="auto"/>
              </w:rPr>
            </w:pPr>
          </w:p>
        </w:tc>
        <w:tc>
          <w:tcPr>
            <w:tcW w:w="320" w:type="dxa"/>
            <w:vAlign w:val="bottom"/>
            <w:tcBorders>
              <w:top w:val="single" w:sz="8" w:color="auto"/>
            </w:tcBorders>
            <w:shd w:val="clear" w:color="auto" w:fill="CCEEFF"/>
          </w:tcPr>
          <w:p>
            <w:pPr>
              <w:jc w:val="right"/>
              <w:ind w:right="206"/>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7,432</w:t>
            </w:r>
          </w:p>
        </w:tc>
        <w:tc>
          <w:tcPr>
            <w:tcW w:w="100" w:type="dxa"/>
            <w:vAlign w:val="bottom"/>
            <w:tcBorders>
              <w:top w:val="single" w:sz="8" w:color="CCEEFF"/>
            </w:tcBorders>
            <w:shd w:val="clear" w:color="auto" w:fill="CCEEFF"/>
          </w:tcPr>
          <w:p>
            <w:pPr>
              <w:spacing w:after="0"/>
              <w:rPr>
                <w:sz w:val="11"/>
                <w:szCs w:val="11"/>
                <w:color w:val="auto"/>
              </w:rPr>
            </w:pPr>
          </w:p>
        </w:tc>
      </w:tr>
      <w:tr>
        <w:trPr>
          <w:trHeight w:val="144"/>
        </w:trPr>
        <w:tc>
          <w:tcPr>
            <w:tcW w:w="5700" w:type="dxa"/>
            <w:vAlign w:val="bottom"/>
          </w:tcPr>
          <w:p>
            <w:pPr>
              <w:spacing w:after="0"/>
              <w:rPr>
                <w:sz w:val="20"/>
                <w:szCs w:val="20"/>
                <w:color w:val="auto"/>
              </w:rPr>
            </w:pPr>
            <w:r>
              <w:rPr>
                <w:rFonts w:ascii="Times New Roman" w:cs="Times New Roman" w:eastAsia="Times New Roman" w:hAnsi="Times New Roman"/>
                <w:sz w:val="12"/>
                <w:szCs w:val="12"/>
                <w:color w:val="auto"/>
              </w:rPr>
              <w:t>Web domain</w:t>
            </w:r>
          </w:p>
        </w:tc>
        <w:tc>
          <w:tcPr>
            <w:tcW w:w="160" w:type="dxa"/>
            <w:vAlign w:val="bottom"/>
          </w:tcPr>
          <w:p>
            <w:pPr>
              <w:spacing w:after="0"/>
              <w:rPr>
                <w:sz w:val="12"/>
                <w:szCs w:val="12"/>
                <w:color w:val="auto"/>
              </w:rPr>
            </w:pPr>
          </w:p>
        </w:tc>
        <w:tc>
          <w:tcPr>
            <w:tcW w:w="1540" w:type="dxa"/>
            <w:vAlign w:val="bottom"/>
            <w:gridSpan w:val="2"/>
          </w:tcPr>
          <w:p>
            <w:pPr>
              <w:jc w:val="right"/>
              <w:ind w:right="340"/>
              <w:spacing w:after="0"/>
              <w:rPr>
                <w:sz w:val="20"/>
                <w:szCs w:val="20"/>
                <w:color w:val="auto"/>
              </w:rPr>
            </w:pPr>
            <w:r>
              <w:rPr>
                <w:rFonts w:ascii="Times New Roman" w:cs="Times New Roman" w:eastAsia="Times New Roman" w:hAnsi="Times New Roman"/>
                <w:sz w:val="12"/>
                <w:szCs w:val="12"/>
                <w:color w:val="auto"/>
              </w:rPr>
              <w:t>3,078</w:t>
            </w:r>
          </w:p>
        </w:tc>
        <w:tc>
          <w:tcPr>
            <w:tcW w:w="80" w:type="dxa"/>
            <w:vAlign w:val="bottom"/>
          </w:tcPr>
          <w:p>
            <w:pPr>
              <w:spacing w:after="0"/>
              <w:rPr>
                <w:sz w:val="12"/>
                <w:szCs w:val="12"/>
                <w:color w:val="auto"/>
              </w:rPr>
            </w:pPr>
          </w:p>
        </w:tc>
        <w:tc>
          <w:tcPr>
            <w:tcW w:w="1580" w:type="dxa"/>
            <w:vAlign w:val="bottom"/>
            <w:gridSpan w:val="4"/>
          </w:tcPr>
          <w:p>
            <w:pPr>
              <w:jc w:val="right"/>
              <w:ind w:right="260"/>
              <w:spacing w:after="0"/>
              <w:rPr>
                <w:sz w:val="20"/>
                <w:szCs w:val="20"/>
                <w:color w:val="auto"/>
              </w:rPr>
            </w:pPr>
            <w:r>
              <w:rPr>
                <w:rFonts w:ascii="Times New Roman" w:cs="Times New Roman" w:eastAsia="Times New Roman" w:hAnsi="Times New Roman"/>
                <w:sz w:val="12"/>
                <w:szCs w:val="12"/>
                <w:color w:val="auto"/>
              </w:rPr>
              <w:t>(1,436)</w:t>
            </w:r>
          </w:p>
        </w:tc>
        <w:tc>
          <w:tcPr>
            <w:tcW w:w="32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1,642</w:t>
            </w:r>
          </w:p>
        </w:tc>
        <w:tc>
          <w:tcPr>
            <w:tcW w:w="100" w:type="dxa"/>
            <w:vAlign w:val="bottom"/>
          </w:tcPr>
          <w:p>
            <w:pPr>
              <w:spacing w:after="0"/>
              <w:rPr>
                <w:sz w:val="12"/>
                <w:szCs w:val="12"/>
                <w:color w:val="auto"/>
              </w:rPr>
            </w:pPr>
          </w:p>
        </w:tc>
      </w:tr>
      <w:tr>
        <w:trPr>
          <w:trHeight w:val="144"/>
        </w:trPr>
        <w:tc>
          <w:tcPr>
            <w:tcW w:w="57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Patents</w:t>
            </w:r>
          </w:p>
        </w:tc>
        <w:tc>
          <w:tcPr>
            <w:tcW w:w="160" w:type="dxa"/>
            <w:vAlign w:val="bottom"/>
            <w:shd w:val="clear" w:color="auto" w:fill="CCEEFF"/>
          </w:tcPr>
          <w:p>
            <w:pPr>
              <w:spacing w:after="0"/>
              <w:rPr>
                <w:sz w:val="12"/>
                <w:szCs w:val="12"/>
                <w:color w:val="auto"/>
              </w:rPr>
            </w:pPr>
          </w:p>
        </w:tc>
        <w:tc>
          <w:tcPr>
            <w:tcW w:w="15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2"/>
                <w:szCs w:val="12"/>
                <w:color w:val="auto"/>
              </w:rPr>
              <w:t>100,065</w:t>
            </w:r>
          </w:p>
        </w:tc>
        <w:tc>
          <w:tcPr>
            <w:tcW w:w="80" w:type="dxa"/>
            <w:vAlign w:val="bottom"/>
            <w:shd w:val="clear" w:color="auto" w:fill="CCEEFF"/>
          </w:tcPr>
          <w:p>
            <w:pPr>
              <w:spacing w:after="0"/>
              <w:rPr>
                <w:sz w:val="12"/>
                <w:szCs w:val="12"/>
                <w:color w:val="auto"/>
              </w:rPr>
            </w:pPr>
          </w:p>
        </w:tc>
        <w:tc>
          <w:tcPr>
            <w:tcW w:w="1580" w:type="dxa"/>
            <w:vAlign w:val="bottom"/>
            <w:gridSpan w:val="4"/>
            <w:shd w:val="clear" w:color="auto" w:fill="CCEEFF"/>
          </w:tcPr>
          <w:p>
            <w:pPr>
              <w:jc w:val="right"/>
              <w:ind w:right="260"/>
              <w:spacing w:after="0"/>
              <w:rPr>
                <w:sz w:val="20"/>
                <w:szCs w:val="20"/>
                <w:color w:val="auto"/>
              </w:rPr>
            </w:pPr>
            <w:r>
              <w:rPr>
                <w:rFonts w:ascii="Times New Roman" w:cs="Times New Roman" w:eastAsia="Times New Roman" w:hAnsi="Times New Roman"/>
                <w:sz w:val="12"/>
                <w:szCs w:val="12"/>
                <w:color w:val="auto"/>
              </w:rPr>
              <w:t>(12,947)</w:t>
            </w:r>
          </w:p>
        </w:tc>
        <w:tc>
          <w:tcPr>
            <w:tcW w:w="32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87,118</w:t>
            </w:r>
          </w:p>
        </w:tc>
        <w:tc>
          <w:tcPr>
            <w:tcW w:w="100" w:type="dxa"/>
            <w:vAlign w:val="bottom"/>
            <w:shd w:val="clear" w:color="auto" w:fill="CCEEFF"/>
          </w:tcPr>
          <w:p>
            <w:pPr>
              <w:spacing w:after="0"/>
              <w:rPr>
                <w:sz w:val="12"/>
                <w:szCs w:val="12"/>
                <w:color w:val="auto"/>
              </w:rPr>
            </w:pPr>
          </w:p>
        </w:tc>
      </w:tr>
      <w:tr>
        <w:trPr>
          <w:trHeight w:val="144"/>
        </w:trPr>
        <w:tc>
          <w:tcPr>
            <w:tcW w:w="5700" w:type="dxa"/>
            <w:vAlign w:val="bottom"/>
          </w:tcPr>
          <w:p>
            <w:pPr>
              <w:spacing w:after="0"/>
              <w:rPr>
                <w:sz w:val="20"/>
                <w:szCs w:val="20"/>
                <w:color w:val="auto"/>
              </w:rPr>
            </w:pPr>
            <w:r>
              <w:rPr>
                <w:rFonts w:ascii="Times New Roman" w:cs="Times New Roman" w:eastAsia="Times New Roman" w:hAnsi="Times New Roman"/>
                <w:sz w:val="12"/>
                <w:szCs w:val="12"/>
                <w:color w:val="auto"/>
              </w:rPr>
              <w:t>Trademark - Routine IP Based</w:t>
            </w:r>
          </w:p>
        </w:tc>
        <w:tc>
          <w:tcPr>
            <w:tcW w:w="160" w:type="dxa"/>
            <w:vAlign w:val="bottom"/>
          </w:tcPr>
          <w:p>
            <w:pPr>
              <w:spacing w:after="0"/>
              <w:rPr>
                <w:sz w:val="12"/>
                <w:szCs w:val="12"/>
                <w:color w:val="auto"/>
              </w:rPr>
            </w:pPr>
          </w:p>
        </w:tc>
        <w:tc>
          <w:tcPr>
            <w:tcW w:w="1540" w:type="dxa"/>
            <w:vAlign w:val="bottom"/>
            <w:gridSpan w:val="2"/>
          </w:tcPr>
          <w:p>
            <w:pPr>
              <w:jc w:val="right"/>
              <w:ind w:right="340"/>
              <w:spacing w:after="0"/>
              <w:rPr>
                <w:sz w:val="20"/>
                <w:szCs w:val="20"/>
                <w:color w:val="auto"/>
              </w:rPr>
            </w:pPr>
            <w:r>
              <w:rPr>
                <w:rFonts w:ascii="Times New Roman" w:cs="Times New Roman" w:eastAsia="Times New Roman" w:hAnsi="Times New Roman"/>
                <w:sz w:val="12"/>
                <w:szCs w:val="12"/>
                <w:color w:val="auto"/>
              </w:rPr>
              <w:t>2,000</w:t>
            </w:r>
          </w:p>
        </w:tc>
        <w:tc>
          <w:tcPr>
            <w:tcW w:w="80" w:type="dxa"/>
            <w:vAlign w:val="bottom"/>
          </w:tcPr>
          <w:p>
            <w:pPr>
              <w:spacing w:after="0"/>
              <w:rPr>
                <w:sz w:val="12"/>
                <w:szCs w:val="12"/>
                <w:color w:val="auto"/>
              </w:rPr>
            </w:pPr>
          </w:p>
        </w:tc>
        <w:tc>
          <w:tcPr>
            <w:tcW w:w="1580" w:type="dxa"/>
            <w:vAlign w:val="bottom"/>
            <w:gridSpan w:val="4"/>
          </w:tcPr>
          <w:p>
            <w:pPr>
              <w:jc w:val="right"/>
              <w:ind w:right="260"/>
              <w:spacing w:after="0"/>
              <w:rPr>
                <w:sz w:val="20"/>
                <w:szCs w:val="20"/>
                <w:color w:val="auto"/>
              </w:rPr>
            </w:pPr>
            <w:r>
              <w:rPr>
                <w:rFonts w:ascii="Times New Roman" w:cs="Times New Roman" w:eastAsia="Times New Roman" w:hAnsi="Times New Roman"/>
                <w:sz w:val="12"/>
                <w:szCs w:val="12"/>
                <w:color w:val="auto"/>
              </w:rPr>
              <w:t>(2,000)</w:t>
            </w:r>
          </w:p>
        </w:tc>
        <w:tc>
          <w:tcPr>
            <w:tcW w:w="32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2"/>
                <w:szCs w:val="12"/>
                <w:color w:val="auto"/>
              </w:rPr>
            </w:pPr>
          </w:p>
        </w:tc>
      </w:tr>
      <w:tr>
        <w:trPr>
          <w:trHeight w:val="144"/>
        </w:trPr>
        <w:tc>
          <w:tcPr>
            <w:tcW w:w="57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Customer Relationships - Existing</w:t>
            </w:r>
          </w:p>
        </w:tc>
        <w:tc>
          <w:tcPr>
            <w:tcW w:w="160" w:type="dxa"/>
            <w:vAlign w:val="bottom"/>
            <w:shd w:val="clear" w:color="auto" w:fill="CCEEFF"/>
          </w:tcPr>
          <w:p>
            <w:pPr>
              <w:spacing w:after="0"/>
              <w:rPr>
                <w:sz w:val="12"/>
                <w:szCs w:val="12"/>
                <w:color w:val="auto"/>
              </w:rPr>
            </w:pPr>
          </w:p>
        </w:tc>
        <w:tc>
          <w:tcPr>
            <w:tcW w:w="15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2"/>
                <w:szCs w:val="12"/>
                <w:color w:val="auto"/>
              </w:rPr>
              <w:t>69,000</w:t>
            </w:r>
          </w:p>
        </w:tc>
        <w:tc>
          <w:tcPr>
            <w:tcW w:w="80" w:type="dxa"/>
            <w:vAlign w:val="bottom"/>
            <w:shd w:val="clear" w:color="auto" w:fill="CCEEFF"/>
          </w:tcPr>
          <w:p>
            <w:pPr>
              <w:spacing w:after="0"/>
              <w:rPr>
                <w:sz w:val="12"/>
                <w:szCs w:val="12"/>
                <w:color w:val="auto"/>
              </w:rPr>
            </w:pPr>
          </w:p>
        </w:tc>
        <w:tc>
          <w:tcPr>
            <w:tcW w:w="1580" w:type="dxa"/>
            <w:vAlign w:val="bottom"/>
            <w:gridSpan w:val="4"/>
            <w:shd w:val="clear" w:color="auto" w:fill="CCEEFF"/>
          </w:tcPr>
          <w:p>
            <w:pPr>
              <w:jc w:val="right"/>
              <w:ind w:right="260"/>
              <w:spacing w:after="0"/>
              <w:rPr>
                <w:sz w:val="20"/>
                <w:szCs w:val="20"/>
                <w:color w:val="auto"/>
              </w:rPr>
            </w:pPr>
            <w:r>
              <w:rPr>
                <w:rFonts w:ascii="Times New Roman" w:cs="Times New Roman" w:eastAsia="Times New Roman" w:hAnsi="Times New Roman"/>
                <w:sz w:val="12"/>
                <w:szCs w:val="12"/>
                <w:color w:val="auto"/>
              </w:rPr>
              <w:t>(69,000)</w:t>
            </w:r>
          </w:p>
        </w:tc>
        <w:tc>
          <w:tcPr>
            <w:tcW w:w="32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2"/>
                <w:szCs w:val="12"/>
                <w:color w:val="auto"/>
              </w:rPr>
            </w:pPr>
          </w:p>
        </w:tc>
      </w:tr>
      <w:tr>
        <w:trPr>
          <w:trHeight w:val="144"/>
        </w:trPr>
        <w:tc>
          <w:tcPr>
            <w:tcW w:w="5700" w:type="dxa"/>
            <w:vAlign w:val="bottom"/>
          </w:tcPr>
          <w:p>
            <w:pPr>
              <w:spacing w:after="0"/>
              <w:rPr>
                <w:sz w:val="20"/>
                <w:szCs w:val="20"/>
                <w:color w:val="auto"/>
              </w:rPr>
            </w:pPr>
            <w:r>
              <w:rPr>
                <w:rFonts w:ascii="Times New Roman" w:cs="Times New Roman" w:eastAsia="Times New Roman" w:hAnsi="Times New Roman"/>
                <w:sz w:val="12"/>
                <w:szCs w:val="12"/>
                <w:color w:val="auto"/>
              </w:rPr>
              <w:t>Existing Technology - Routine IP Based</w:t>
            </w:r>
          </w:p>
        </w:tc>
        <w:tc>
          <w:tcPr>
            <w:tcW w:w="160" w:type="dxa"/>
            <w:vAlign w:val="bottom"/>
          </w:tcPr>
          <w:p>
            <w:pPr>
              <w:spacing w:after="0"/>
              <w:rPr>
                <w:sz w:val="12"/>
                <w:szCs w:val="12"/>
                <w:color w:val="auto"/>
              </w:rPr>
            </w:pPr>
          </w:p>
        </w:tc>
        <w:tc>
          <w:tcPr>
            <w:tcW w:w="1540" w:type="dxa"/>
            <w:vAlign w:val="bottom"/>
            <w:gridSpan w:val="2"/>
          </w:tcPr>
          <w:p>
            <w:pPr>
              <w:jc w:val="right"/>
              <w:ind w:right="340"/>
              <w:spacing w:after="0"/>
              <w:rPr>
                <w:sz w:val="20"/>
                <w:szCs w:val="20"/>
                <w:color w:val="auto"/>
              </w:rPr>
            </w:pPr>
            <w:r>
              <w:rPr>
                <w:rFonts w:ascii="Times New Roman" w:cs="Times New Roman" w:eastAsia="Times New Roman" w:hAnsi="Times New Roman"/>
                <w:sz w:val="12"/>
                <w:szCs w:val="12"/>
                <w:color w:val="auto"/>
              </w:rPr>
              <w:t>480,000</w:t>
            </w:r>
          </w:p>
        </w:tc>
        <w:tc>
          <w:tcPr>
            <w:tcW w:w="80" w:type="dxa"/>
            <w:vAlign w:val="bottom"/>
          </w:tcPr>
          <w:p>
            <w:pPr>
              <w:spacing w:after="0"/>
              <w:rPr>
                <w:sz w:val="12"/>
                <w:szCs w:val="12"/>
                <w:color w:val="auto"/>
              </w:rPr>
            </w:pPr>
          </w:p>
        </w:tc>
        <w:tc>
          <w:tcPr>
            <w:tcW w:w="1580" w:type="dxa"/>
            <w:vAlign w:val="bottom"/>
            <w:gridSpan w:val="4"/>
          </w:tcPr>
          <w:p>
            <w:pPr>
              <w:jc w:val="right"/>
              <w:ind w:right="260"/>
              <w:spacing w:after="0"/>
              <w:rPr>
                <w:sz w:val="20"/>
                <w:szCs w:val="20"/>
                <w:color w:val="auto"/>
              </w:rPr>
            </w:pPr>
            <w:r>
              <w:rPr>
                <w:rFonts w:ascii="Times New Roman" w:cs="Times New Roman" w:eastAsia="Times New Roman" w:hAnsi="Times New Roman"/>
                <w:sz w:val="12"/>
                <w:szCs w:val="12"/>
                <w:color w:val="auto"/>
              </w:rPr>
              <w:t>(304,000)</w:t>
            </w:r>
          </w:p>
        </w:tc>
        <w:tc>
          <w:tcPr>
            <w:tcW w:w="32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176,000</w:t>
            </w:r>
          </w:p>
        </w:tc>
        <w:tc>
          <w:tcPr>
            <w:tcW w:w="100" w:type="dxa"/>
            <w:vAlign w:val="bottom"/>
          </w:tcPr>
          <w:p>
            <w:pPr>
              <w:spacing w:after="0"/>
              <w:rPr>
                <w:sz w:val="12"/>
                <w:szCs w:val="12"/>
                <w:color w:val="auto"/>
              </w:rPr>
            </w:pPr>
          </w:p>
        </w:tc>
      </w:tr>
      <w:tr>
        <w:trPr>
          <w:trHeight w:val="144"/>
        </w:trPr>
        <w:tc>
          <w:tcPr>
            <w:tcW w:w="57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Non-Compete Agreements</w:t>
            </w:r>
          </w:p>
        </w:tc>
        <w:tc>
          <w:tcPr>
            <w:tcW w:w="160" w:type="dxa"/>
            <w:vAlign w:val="bottom"/>
            <w:shd w:val="clear" w:color="auto" w:fill="CCEEFF"/>
          </w:tcPr>
          <w:p>
            <w:pPr>
              <w:spacing w:after="0"/>
              <w:rPr>
                <w:sz w:val="12"/>
                <w:szCs w:val="12"/>
                <w:color w:val="auto"/>
              </w:rPr>
            </w:pPr>
          </w:p>
        </w:tc>
        <w:tc>
          <w:tcPr>
            <w:tcW w:w="15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2"/>
                <w:szCs w:val="12"/>
                <w:color w:val="auto"/>
              </w:rPr>
              <w:t>10,000</w:t>
            </w:r>
          </w:p>
        </w:tc>
        <w:tc>
          <w:tcPr>
            <w:tcW w:w="80" w:type="dxa"/>
            <w:vAlign w:val="bottom"/>
            <w:shd w:val="clear" w:color="auto" w:fill="CCEEFF"/>
          </w:tcPr>
          <w:p>
            <w:pPr>
              <w:spacing w:after="0"/>
              <w:rPr>
                <w:sz w:val="12"/>
                <w:szCs w:val="12"/>
                <w:color w:val="auto"/>
              </w:rPr>
            </w:pPr>
          </w:p>
        </w:tc>
        <w:tc>
          <w:tcPr>
            <w:tcW w:w="1580" w:type="dxa"/>
            <w:vAlign w:val="bottom"/>
            <w:gridSpan w:val="4"/>
            <w:shd w:val="clear" w:color="auto" w:fill="CCEEFF"/>
          </w:tcPr>
          <w:p>
            <w:pPr>
              <w:jc w:val="right"/>
              <w:ind w:right="260"/>
              <w:spacing w:after="0"/>
              <w:rPr>
                <w:sz w:val="20"/>
                <w:szCs w:val="20"/>
                <w:color w:val="auto"/>
              </w:rPr>
            </w:pPr>
            <w:r>
              <w:rPr>
                <w:rFonts w:ascii="Times New Roman" w:cs="Times New Roman" w:eastAsia="Times New Roman" w:hAnsi="Times New Roman"/>
                <w:sz w:val="12"/>
                <w:szCs w:val="12"/>
                <w:color w:val="auto"/>
              </w:rPr>
              <w:t>(10,000)</w:t>
            </w:r>
          </w:p>
        </w:tc>
        <w:tc>
          <w:tcPr>
            <w:tcW w:w="32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2"/>
                <w:szCs w:val="12"/>
                <w:color w:val="auto"/>
              </w:rPr>
            </w:pPr>
          </w:p>
        </w:tc>
      </w:tr>
      <w:tr>
        <w:trPr>
          <w:trHeight w:val="153"/>
        </w:trPr>
        <w:tc>
          <w:tcPr>
            <w:tcW w:w="5700" w:type="dxa"/>
            <w:vAlign w:val="bottom"/>
          </w:tcPr>
          <w:p>
            <w:pPr>
              <w:spacing w:after="0"/>
              <w:rPr>
                <w:sz w:val="20"/>
                <w:szCs w:val="20"/>
                <w:color w:val="auto"/>
              </w:rPr>
            </w:pPr>
            <w:r>
              <w:rPr>
                <w:rFonts w:ascii="Times New Roman" w:cs="Times New Roman" w:eastAsia="Times New Roman" w:hAnsi="Times New Roman"/>
                <w:sz w:val="12"/>
                <w:szCs w:val="12"/>
                <w:color w:val="auto"/>
              </w:rPr>
              <w:t>Goodwill</w:t>
            </w:r>
          </w:p>
        </w:tc>
        <w:tc>
          <w:tcPr>
            <w:tcW w:w="160" w:type="dxa"/>
            <w:vAlign w:val="bottom"/>
          </w:tcPr>
          <w:p>
            <w:pPr>
              <w:spacing w:after="0"/>
              <w:rPr>
                <w:sz w:val="13"/>
                <w:szCs w:val="13"/>
                <w:color w:val="auto"/>
              </w:rPr>
            </w:pPr>
          </w:p>
        </w:tc>
        <w:tc>
          <w:tcPr>
            <w:tcW w:w="1540" w:type="dxa"/>
            <w:vAlign w:val="bottom"/>
            <w:gridSpan w:val="2"/>
          </w:tcPr>
          <w:p>
            <w:pPr>
              <w:jc w:val="right"/>
              <w:ind w:right="340"/>
              <w:spacing w:after="0"/>
              <w:rPr>
                <w:sz w:val="20"/>
                <w:szCs w:val="20"/>
                <w:color w:val="auto"/>
              </w:rPr>
            </w:pPr>
            <w:r>
              <w:rPr>
                <w:rFonts w:ascii="Times New Roman" w:cs="Times New Roman" w:eastAsia="Times New Roman" w:hAnsi="Times New Roman"/>
                <w:sz w:val="12"/>
                <w:szCs w:val="12"/>
                <w:color w:val="auto"/>
              </w:rPr>
              <w:t>312,883</w:t>
            </w:r>
          </w:p>
        </w:tc>
        <w:tc>
          <w:tcPr>
            <w:tcW w:w="80" w:type="dxa"/>
            <w:vAlign w:val="bottom"/>
          </w:tcPr>
          <w:p>
            <w:pPr>
              <w:spacing w:after="0"/>
              <w:rPr>
                <w:sz w:val="13"/>
                <w:szCs w:val="13"/>
                <w:color w:val="auto"/>
              </w:rPr>
            </w:pPr>
          </w:p>
        </w:tc>
        <w:tc>
          <w:tcPr>
            <w:tcW w:w="1580" w:type="dxa"/>
            <w:vAlign w:val="bottom"/>
            <w:gridSpan w:val="4"/>
          </w:tcPr>
          <w:p>
            <w:pPr>
              <w:jc w:val="right"/>
              <w:ind w:right="300"/>
              <w:spacing w:after="0"/>
              <w:rPr>
                <w:sz w:val="20"/>
                <w:szCs w:val="20"/>
                <w:color w:val="auto"/>
              </w:rPr>
            </w:pPr>
            <w:r>
              <w:rPr>
                <w:rFonts w:ascii="Times New Roman" w:cs="Times New Roman" w:eastAsia="Times New Roman" w:hAnsi="Times New Roman"/>
                <w:sz w:val="12"/>
                <w:szCs w:val="12"/>
                <w:color w:val="auto"/>
              </w:rPr>
              <w:t>-</w:t>
            </w:r>
          </w:p>
        </w:tc>
        <w:tc>
          <w:tcPr>
            <w:tcW w:w="32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312,883</w:t>
            </w:r>
          </w:p>
        </w:tc>
        <w:tc>
          <w:tcPr>
            <w:tcW w:w="100" w:type="dxa"/>
            <w:vAlign w:val="bottom"/>
          </w:tcPr>
          <w:p>
            <w:pPr>
              <w:spacing w:after="0"/>
              <w:rPr>
                <w:sz w:val="13"/>
                <w:szCs w:val="13"/>
                <w:color w:val="auto"/>
              </w:rPr>
            </w:pPr>
          </w:p>
        </w:tc>
      </w:tr>
      <w:tr>
        <w:trPr>
          <w:trHeight w:val="162"/>
        </w:trPr>
        <w:tc>
          <w:tcPr>
            <w:tcW w:w="5700" w:type="dxa"/>
            <w:vAlign w:val="bottom"/>
            <w:tcBorders>
              <w:top w:val="single" w:sz="8" w:color="CCEEFF"/>
              <w:bottom w:val="single" w:sz="8" w:color="CCEEFF"/>
            </w:tcBorders>
            <w:shd w:val="clear" w:color="auto" w:fill="CCEEFF"/>
          </w:tcPr>
          <w:p>
            <w:pPr>
              <w:ind w:left="120"/>
              <w:spacing w:after="0" w:line="135" w:lineRule="exact"/>
              <w:rPr>
                <w:sz w:val="20"/>
                <w:szCs w:val="20"/>
                <w:color w:val="auto"/>
              </w:rPr>
            </w:pPr>
            <w:r>
              <w:rPr>
                <w:rFonts w:ascii="Times New Roman" w:cs="Times New Roman" w:eastAsia="Times New Roman" w:hAnsi="Times New Roman"/>
                <w:sz w:val="12"/>
                <w:szCs w:val="12"/>
                <w:color w:val="auto"/>
              </w:rPr>
              <w:t>Totals</w:t>
            </w:r>
          </w:p>
        </w:tc>
        <w:tc>
          <w:tcPr>
            <w:tcW w:w="160" w:type="dxa"/>
            <w:vAlign w:val="bottom"/>
            <w:tcBorders>
              <w:top w:val="single" w:sz="8" w:color="auto"/>
              <w:bottom w:val="single" w:sz="8" w:color="auto"/>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989,412</w:t>
            </w:r>
          </w:p>
        </w:tc>
        <w:tc>
          <w:tcPr>
            <w:tcW w:w="340" w:type="dxa"/>
            <w:vAlign w:val="bottom"/>
            <w:tcBorders>
              <w:top w:val="single" w:sz="8" w:color="CCEEFF"/>
              <w:bottom w:val="single" w:sz="8" w:color="CCEEFF"/>
            </w:tcBorders>
            <w:shd w:val="clear" w:color="auto" w:fill="CCEEFF"/>
          </w:tcPr>
          <w:p>
            <w:pPr>
              <w:spacing w:after="0"/>
              <w:rPr>
                <w:sz w:val="14"/>
                <w:szCs w:val="14"/>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28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(404,337)</w:t>
            </w:r>
          </w:p>
        </w:tc>
        <w:tc>
          <w:tcPr>
            <w:tcW w:w="300" w:type="dxa"/>
            <w:vAlign w:val="bottom"/>
            <w:tcBorders>
              <w:top w:val="single" w:sz="8" w:color="CCEEFF"/>
              <w:bottom w:val="single" w:sz="8" w:color="CCEEFF"/>
            </w:tcBorders>
            <w:shd w:val="clear" w:color="auto" w:fill="CCEEFF"/>
          </w:tcPr>
          <w:p>
            <w:pPr>
              <w:spacing w:after="0"/>
              <w:rPr>
                <w:sz w:val="14"/>
                <w:szCs w:val="14"/>
                <w:color w:val="auto"/>
              </w:rPr>
            </w:pPr>
          </w:p>
        </w:tc>
        <w:tc>
          <w:tcPr>
            <w:tcW w:w="320" w:type="dxa"/>
            <w:vAlign w:val="bottom"/>
            <w:tcBorders>
              <w:top w:val="single" w:sz="8" w:color="auto"/>
              <w:bottom w:val="single" w:sz="8" w:color="auto"/>
            </w:tcBorders>
            <w:shd w:val="clear" w:color="auto" w:fill="CCEEFF"/>
          </w:tcPr>
          <w:p>
            <w:pPr>
              <w:jc w:val="right"/>
              <w:ind w:right="206"/>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585,075</w:t>
            </w: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r>
      <w:tr>
        <w:trPr>
          <w:trHeight w:val="275"/>
        </w:trPr>
        <w:tc>
          <w:tcPr>
            <w:tcW w:w="5700" w:type="dxa"/>
            <w:vAlign w:val="bottom"/>
          </w:tcPr>
          <w:p>
            <w:pPr>
              <w:spacing w:after="0"/>
              <w:rPr>
                <w:sz w:val="20"/>
                <w:szCs w:val="20"/>
                <w:color w:val="auto"/>
              </w:rPr>
            </w:pPr>
            <w:r>
              <w:rPr>
                <w:rFonts w:ascii="Times New Roman" w:cs="Times New Roman" w:eastAsia="Times New Roman" w:hAnsi="Times New Roman"/>
                <w:sz w:val="12"/>
                <w:szCs w:val="12"/>
                <w:color w:val="auto"/>
              </w:rPr>
              <w:t>Amortization expense charged to operations for the period ended September 30, 2024 was $92,764.</w:t>
            </w:r>
          </w:p>
        </w:tc>
        <w:tc>
          <w:tcPr>
            <w:tcW w:w="16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88"/>
        </w:trPr>
        <w:tc>
          <w:tcPr>
            <w:tcW w:w="5700" w:type="dxa"/>
            <w:vAlign w:val="bottom"/>
          </w:tcPr>
          <w:p>
            <w:pPr>
              <w:spacing w:after="0"/>
              <w:rPr>
                <w:sz w:val="20"/>
                <w:szCs w:val="20"/>
                <w:color w:val="auto"/>
              </w:rPr>
            </w:pPr>
            <w:r>
              <w:rPr>
                <w:rFonts w:ascii="Times New Roman" w:cs="Times New Roman" w:eastAsia="Times New Roman" w:hAnsi="Times New Roman"/>
                <w:sz w:val="12"/>
                <w:szCs w:val="12"/>
                <w:color w:val="auto"/>
              </w:rPr>
              <w:t>Estimated amortization expense for each of the next five years and thereafter is as follows:</w:t>
            </w: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97"/>
        </w:trPr>
        <w:tc>
          <w:tcPr>
            <w:tcW w:w="57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color w:val="auto"/>
              </w:rPr>
              <w:t>Periods ending September 30:</w:t>
            </w:r>
          </w:p>
        </w:tc>
        <w:tc>
          <w:tcPr>
            <w:tcW w:w="1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2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300" w:type="dxa"/>
            <w:vAlign w:val="bottom"/>
            <w:tcBorders>
              <w:bottom w:val="single" w:sz="8" w:color="CCEEFF"/>
            </w:tcBorders>
          </w:tcPr>
          <w:p>
            <w:pPr>
              <w:spacing w:after="0"/>
              <w:rPr>
                <w:sz w:val="24"/>
                <w:szCs w:val="24"/>
                <w:color w:val="auto"/>
              </w:rPr>
            </w:pPr>
          </w:p>
        </w:tc>
        <w:tc>
          <w:tcPr>
            <w:tcW w:w="320" w:type="dxa"/>
            <w:vAlign w:val="bottom"/>
            <w:tcBorders>
              <w:bottom w:val="single" w:sz="8" w:color="CCEEFF"/>
            </w:tcBorders>
          </w:tcPr>
          <w:p>
            <w:pPr>
              <w:spacing w:after="0"/>
              <w:rPr>
                <w:sz w:val="24"/>
                <w:szCs w:val="24"/>
                <w:color w:val="auto"/>
              </w:rPr>
            </w:pPr>
          </w:p>
        </w:tc>
        <w:tc>
          <w:tcPr>
            <w:tcW w:w="104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r>
      <w:tr>
        <w:trPr>
          <w:trHeight w:val="133"/>
        </w:trPr>
        <w:tc>
          <w:tcPr>
            <w:tcW w:w="570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2025</w:t>
            </w:r>
          </w:p>
        </w:tc>
        <w:tc>
          <w:tcPr>
            <w:tcW w:w="16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340" w:type="dxa"/>
            <w:vAlign w:val="bottom"/>
            <w:gridSpan w:val="2"/>
            <w:shd w:val="clear" w:color="auto" w:fill="CCEEFF"/>
          </w:tcPr>
          <w:p>
            <w:pPr>
              <w:jc w:val="right"/>
              <w:ind w:right="6"/>
              <w:spacing w:after="0" w:line="133" w:lineRule="exact"/>
              <w:rPr>
                <w:sz w:val="20"/>
                <w:szCs w:val="20"/>
                <w:color w:val="auto"/>
              </w:rPr>
            </w:pPr>
            <w:r>
              <w:rPr>
                <w:rFonts w:ascii="Times New Roman" w:cs="Times New Roman" w:eastAsia="Times New Roman" w:hAnsi="Times New Roman"/>
                <w:sz w:val="12"/>
                <w:szCs w:val="12"/>
                <w:color w:val="auto"/>
              </w:rPr>
              <w:t>$</w:t>
            </w:r>
          </w:p>
        </w:tc>
        <w:tc>
          <w:tcPr>
            <w:tcW w:w="3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04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103,204</w:t>
            </w:r>
          </w:p>
        </w:tc>
        <w:tc>
          <w:tcPr>
            <w:tcW w:w="100" w:type="dxa"/>
            <w:vAlign w:val="bottom"/>
            <w:shd w:val="clear" w:color="auto" w:fill="CCEEFF"/>
          </w:tcPr>
          <w:p>
            <w:pPr>
              <w:spacing w:after="0"/>
              <w:rPr>
                <w:sz w:val="11"/>
                <w:szCs w:val="11"/>
                <w:color w:val="auto"/>
              </w:rPr>
            </w:pPr>
          </w:p>
        </w:tc>
      </w:tr>
      <w:tr>
        <w:trPr>
          <w:trHeight w:val="144"/>
        </w:trPr>
        <w:tc>
          <w:tcPr>
            <w:tcW w:w="5700" w:type="dxa"/>
            <w:vAlign w:val="bottom"/>
          </w:tcPr>
          <w:p>
            <w:pPr>
              <w:spacing w:after="0"/>
              <w:rPr>
                <w:sz w:val="20"/>
                <w:szCs w:val="20"/>
                <w:color w:val="auto"/>
              </w:rPr>
            </w:pPr>
            <w:r>
              <w:rPr>
                <w:rFonts w:ascii="Times New Roman" w:cs="Times New Roman" w:eastAsia="Times New Roman" w:hAnsi="Times New Roman"/>
                <w:sz w:val="12"/>
                <w:szCs w:val="12"/>
                <w:color w:val="auto"/>
              </w:rPr>
              <w:t>2026</w:t>
            </w:r>
          </w:p>
        </w:tc>
        <w:tc>
          <w:tcPr>
            <w:tcW w:w="1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87,204</w:t>
            </w:r>
          </w:p>
        </w:tc>
      </w:tr>
      <w:tr>
        <w:trPr>
          <w:trHeight w:val="144"/>
        </w:trPr>
        <w:tc>
          <w:tcPr>
            <w:tcW w:w="57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2027</w:t>
            </w:r>
          </w:p>
        </w:tc>
        <w:tc>
          <w:tcPr>
            <w:tcW w:w="16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7,204</w:t>
            </w:r>
          </w:p>
        </w:tc>
        <w:tc>
          <w:tcPr>
            <w:tcW w:w="100" w:type="dxa"/>
            <w:vAlign w:val="bottom"/>
            <w:shd w:val="clear" w:color="auto" w:fill="CCEEFF"/>
          </w:tcPr>
          <w:p>
            <w:pPr>
              <w:spacing w:after="0"/>
              <w:rPr>
                <w:sz w:val="12"/>
                <w:szCs w:val="12"/>
                <w:color w:val="auto"/>
              </w:rPr>
            </w:pPr>
          </w:p>
        </w:tc>
      </w:tr>
      <w:tr>
        <w:trPr>
          <w:trHeight w:val="144"/>
        </w:trPr>
        <w:tc>
          <w:tcPr>
            <w:tcW w:w="5700" w:type="dxa"/>
            <w:vAlign w:val="bottom"/>
          </w:tcPr>
          <w:p>
            <w:pPr>
              <w:spacing w:after="0"/>
              <w:rPr>
                <w:sz w:val="20"/>
                <w:szCs w:val="20"/>
                <w:color w:val="auto"/>
              </w:rPr>
            </w:pPr>
            <w:r>
              <w:rPr>
                <w:rFonts w:ascii="Times New Roman" w:cs="Times New Roman" w:eastAsia="Times New Roman" w:hAnsi="Times New Roman"/>
                <w:sz w:val="12"/>
                <w:szCs w:val="12"/>
                <w:color w:val="auto"/>
              </w:rPr>
              <w:t>2028</w:t>
            </w:r>
          </w:p>
        </w:tc>
        <w:tc>
          <w:tcPr>
            <w:tcW w:w="1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4,727</w:t>
            </w:r>
          </w:p>
        </w:tc>
        <w:tc>
          <w:tcPr>
            <w:tcW w:w="100" w:type="dxa"/>
            <w:vAlign w:val="bottom"/>
          </w:tcPr>
          <w:p>
            <w:pPr>
              <w:spacing w:after="0"/>
              <w:rPr>
                <w:sz w:val="12"/>
                <w:szCs w:val="12"/>
                <w:color w:val="auto"/>
              </w:rPr>
            </w:pPr>
          </w:p>
        </w:tc>
      </w:tr>
      <w:tr>
        <w:trPr>
          <w:trHeight w:val="144"/>
        </w:trPr>
        <w:tc>
          <w:tcPr>
            <w:tcW w:w="57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2029</w:t>
            </w:r>
          </w:p>
        </w:tc>
        <w:tc>
          <w:tcPr>
            <w:tcW w:w="16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4,727</w:t>
            </w:r>
          </w:p>
        </w:tc>
        <w:tc>
          <w:tcPr>
            <w:tcW w:w="100" w:type="dxa"/>
            <w:vAlign w:val="bottom"/>
            <w:shd w:val="clear" w:color="auto" w:fill="CCEEFF"/>
          </w:tcPr>
          <w:p>
            <w:pPr>
              <w:spacing w:after="0"/>
              <w:rPr>
                <w:sz w:val="12"/>
                <w:szCs w:val="12"/>
                <w:color w:val="auto"/>
              </w:rPr>
            </w:pPr>
          </w:p>
        </w:tc>
      </w:tr>
      <w:tr>
        <w:trPr>
          <w:trHeight w:val="153"/>
        </w:trPr>
        <w:tc>
          <w:tcPr>
            <w:tcW w:w="5700" w:type="dxa"/>
            <w:vAlign w:val="bottom"/>
          </w:tcPr>
          <w:p>
            <w:pPr>
              <w:spacing w:after="0"/>
              <w:rPr>
                <w:sz w:val="20"/>
                <w:szCs w:val="20"/>
                <w:color w:val="auto"/>
              </w:rPr>
            </w:pPr>
            <w:r>
              <w:rPr>
                <w:rFonts w:ascii="Times New Roman" w:cs="Times New Roman" w:eastAsia="Times New Roman" w:hAnsi="Times New Roman"/>
                <w:sz w:val="12"/>
                <w:szCs w:val="12"/>
                <w:color w:val="auto"/>
              </w:rPr>
              <w:t>Thereafter</w:t>
            </w:r>
          </w:p>
        </w:tc>
        <w:tc>
          <w:tcPr>
            <w:tcW w:w="1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54,541</w:t>
            </w:r>
          </w:p>
        </w:tc>
      </w:tr>
      <w:tr>
        <w:trPr>
          <w:trHeight w:val="133"/>
        </w:trPr>
        <w:tc>
          <w:tcPr>
            <w:tcW w:w="5700" w:type="dxa"/>
            <w:vAlign w:val="bottom"/>
            <w:tcBorders>
              <w:top w:val="single" w:sz="8" w:color="CCEEFF"/>
            </w:tcBorders>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Total</w:t>
            </w:r>
          </w:p>
        </w:tc>
        <w:tc>
          <w:tcPr>
            <w:tcW w:w="160" w:type="dxa"/>
            <w:vAlign w:val="bottom"/>
            <w:tcBorders>
              <w:top w:val="single" w:sz="8" w:color="CCEEFF"/>
            </w:tcBorders>
            <w:shd w:val="clear" w:color="auto" w:fill="CCEEFF"/>
          </w:tcPr>
          <w:p>
            <w:pPr>
              <w:spacing w:after="0"/>
              <w:rPr>
                <w:sz w:val="11"/>
                <w:szCs w:val="11"/>
                <w:color w:val="auto"/>
              </w:rPr>
            </w:pPr>
          </w:p>
        </w:tc>
        <w:tc>
          <w:tcPr>
            <w:tcW w:w="1200" w:type="dxa"/>
            <w:vAlign w:val="bottom"/>
            <w:tcBorders>
              <w:top w:val="single" w:sz="8" w:color="CCEEFF"/>
            </w:tcBorders>
            <w:shd w:val="clear" w:color="auto" w:fill="CCEEFF"/>
          </w:tcPr>
          <w:p>
            <w:pPr>
              <w:spacing w:after="0"/>
              <w:rPr>
                <w:sz w:val="11"/>
                <w:szCs w:val="11"/>
                <w:color w:val="auto"/>
              </w:rPr>
            </w:pPr>
          </w:p>
        </w:tc>
        <w:tc>
          <w:tcPr>
            <w:tcW w:w="34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940" w:type="dxa"/>
            <w:vAlign w:val="bottom"/>
            <w:tcBorders>
              <w:top w:val="single" w:sz="8" w:color="CCEEFF"/>
            </w:tcBorders>
            <w:shd w:val="clear" w:color="auto" w:fill="CCEEFF"/>
          </w:tcPr>
          <w:p>
            <w:pPr>
              <w:spacing w:after="0"/>
              <w:rPr>
                <w:sz w:val="11"/>
                <w:szCs w:val="11"/>
                <w:color w:val="auto"/>
              </w:rPr>
            </w:pPr>
          </w:p>
        </w:tc>
        <w:tc>
          <w:tcPr>
            <w:tcW w:w="22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bottom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300" w:type="dxa"/>
            <w:vAlign w:val="bottom"/>
            <w:tcBorders>
              <w:top w:val="single" w:sz="8" w:color="auto"/>
              <w:bottom w:val="single" w:sz="8" w:color="auto"/>
            </w:tcBorders>
            <w:shd w:val="clear" w:color="auto" w:fill="CCEEFF"/>
          </w:tcPr>
          <w:p>
            <w:pPr>
              <w:spacing w:after="0"/>
              <w:rPr>
                <w:sz w:val="11"/>
                <w:szCs w:val="11"/>
                <w:color w:val="auto"/>
              </w:rPr>
            </w:pPr>
          </w:p>
        </w:tc>
        <w:tc>
          <w:tcPr>
            <w:tcW w:w="320" w:type="dxa"/>
            <w:vAlign w:val="bottom"/>
            <w:tcBorders>
              <w:top w:val="single" w:sz="8" w:color="auto"/>
              <w:bottom w:val="single" w:sz="8" w:color="auto"/>
            </w:tcBorders>
            <w:shd w:val="clear" w:color="auto" w:fill="CCEEFF"/>
          </w:tcPr>
          <w:p>
            <w:pPr>
              <w:spacing w:after="0"/>
              <w:rPr>
                <w:sz w:val="11"/>
                <w:szCs w:val="11"/>
                <w:color w:val="auto"/>
              </w:rPr>
            </w:pPr>
          </w:p>
        </w:tc>
        <w:tc>
          <w:tcPr>
            <w:tcW w:w="104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261,607</w:t>
            </w:r>
          </w:p>
        </w:tc>
        <w:tc>
          <w:tcPr>
            <w:tcW w:w="100" w:type="dxa"/>
            <w:vAlign w:val="bottom"/>
            <w:tcBorders>
              <w:top w:val="single" w:sz="8" w:color="CCEEFF"/>
            </w:tcBorders>
            <w:shd w:val="clear" w:color="auto" w:fill="CCEEFF"/>
          </w:tcPr>
          <w:p>
            <w:pPr>
              <w:spacing w:after="0"/>
              <w:rPr>
                <w:sz w:val="11"/>
                <w:szCs w:val="11"/>
                <w:color w:val="auto"/>
              </w:rPr>
            </w:pPr>
          </w:p>
        </w:tc>
      </w:tr>
    </w:tbl>
    <w:p>
      <w:pPr>
        <w:spacing w:after="0" w:line="129" w:lineRule="exact"/>
        <w:rPr>
          <w:sz w:val="20"/>
          <w:szCs w:val="20"/>
          <w:color w:val="auto"/>
        </w:rPr>
      </w:pPr>
    </w:p>
    <w:p>
      <w:pPr>
        <w:ind w:left="428" w:hanging="428"/>
        <w:spacing w:after="0"/>
        <w:tabs>
          <w:tab w:leader="none" w:pos="428" w:val="left"/>
        </w:tabs>
        <w:numPr>
          <w:ilvl w:val="0"/>
          <w:numId w:val="12"/>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u w:val="single" w:color="auto"/>
          <w:color w:val="auto"/>
        </w:rPr>
        <w:t>Credit facility</w:t>
      </w:r>
    </w:p>
    <w:p>
      <w:pPr>
        <w:spacing w:after="0" w:line="154" w:lineRule="exact"/>
        <w:rPr>
          <w:rFonts w:ascii="Times New Roman" w:cs="Times New Roman" w:eastAsia="Times New Roman" w:hAnsi="Times New Roman"/>
          <w:sz w:val="12"/>
          <w:szCs w:val="12"/>
          <w:b w:val="1"/>
          <w:bCs w:val="1"/>
          <w:color w:val="auto"/>
        </w:rPr>
      </w:pPr>
    </w:p>
    <w:p>
      <w:pPr>
        <w:jc w:val="both"/>
        <w:ind w:left="428"/>
        <w:spacing w:after="0" w:line="256" w:lineRule="auto"/>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color w:val="auto"/>
        </w:rPr>
        <w:t>The Company entered into a credit facility agreement with Signature Bank on November 12, 2021, which allowed for a line of credit and term loan. On May 12, 2023, the credit facility was transferred to Customers Bank due to Signature Bank being placed into receivership. The line of credit allowed for borrowings up to $10,000,000, which is collateralized by substantially all assets of the Company, however due to the transfer from Signature Bank to Customers Bank, there is no further availability subsequent to the borrowings described below. The credit facility was amended on November 1, 2023 to extend the maturity date of the line of credit to March 12, 2024. Subsequent to the year end, the credit facility was amended to extend the maturity date of the line of credit to November 12, 2025. Additionally, per the second amendment, the Company must make equal payments of principal and all accrued interest beginning March 12, 2024 for twenty- one months. Simultaneously, the $230,000 line of credit was integrated into the term loan, both under Customers Bank. No changes were made to the payment structure.</w:t>
      </w:r>
    </w:p>
    <w:p>
      <w:pPr>
        <w:spacing w:after="0" w:line="124" w:lineRule="exact"/>
        <w:rPr>
          <w:rFonts w:ascii="Times New Roman" w:cs="Times New Roman" w:eastAsia="Times New Roman" w:hAnsi="Times New Roman"/>
          <w:sz w:val="12"/>
          <w:szCs w:val="12"/>
          <w:b w:val="1"/>
          <w:bCs w:val="1"/>
          <w:color w:val="auto"/>
        </w:rPr>
      </w:pPr>
    </w:p>
    <w:p>
      <w:pPr>
        <w:jc w:val="both"/>
        <w:ind w:left="428"/>
        <w:spacing w:after="0" w:line="265" w:lineRule="auto"/>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color w:val="auto"/>
        </w:rPr>
        <w:t>The term loan allowed for borrowings up to $5,000,000, carries interest at the greater of the Prime rate plus .75%, or 4% (8.75% as of September 30, 2024), and has a maturity date of November 12, 2025. For the period ended September 30, 2024, the outstanding borrowings against the term loan portion of the credit facility (now also consisting of the previous line of credit balance) was $503,333. As described above, there is no further availability subsequent to the outstanding amount.</w:t>
      </w:r>
    </w:p>
    <w:p>
      <w:pPr>
        <w:spacing w:after="0" w:line="119"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78040" cy="571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548" w:right="299" w:bottom="1440" w:gutter="0" w:footer="0" w:header="0"/>
        </w:sectPr>
      </w:pPr>
    </w:p>
    <w:bookmarkStart w:id="43" w:name="page44"/>
    <w:bookmarkEnd w:id="43"/>
    <w:p>
      <w:pPr>
        <w:ind w:left="428" w:hanging="428"/>
        <w:spacing w:after="0"/>
        <w:tabs>
          <w:tab w:leader="none" w:pos="428" w:val="left"/>
        </w:tabs>
        <w:numPr>
          <w:ilvl w:val="0"/>
          <w:numId w:val="13"/>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u w:val="single" w:color="auto"/>
          <w:color w:val="auto"/>
        </w:rPr>
        <w:t>Credit facility</w:t>
      </w:r>
      <w:r>
        <w:rPr>
          <w:rFonts w:ascii="Times New Roman" w:cs="Times New Roman" w:eastAsia="Times New Roman" w:hAnsi="Times New Roman"/>
          <w:sz w:val="12"/>
          <w:szCs w:val="12"/>
          <w:b w:val="1"/>
          <w:bCs w:val="1"/>
          <w:color w:val="auto"/>
        </w:rPr>
        <w:t xml:space="preserve"> (continued)</w:t>
      </w:r>
    </w:p>
    <w:p>
      <w:pPr>
        <w:spacing w:after="0" w:line="154" w:lineRule="exact"/>
        <w:rPr>
          <w:rFonts w:ascii="Times New Roman" w:cs="Times New Roman" w:eastAsia="Times New Roman" w:hAnsi="Times New Roman"/>
          <w:sz w:val="12"/>
          <w:szCs w:val="12"/>
          <w:b w:val="1"/>
          <w:bCs w:val="1"/>
          <w:color w:val="auto"/>
        </w:rPr>
      </w:pPr>
    </w:p>
    <w:p>
      <w:pPr>
        <w:ind w:left="428"/>
        <w:spacing w:after="0"/>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color w:val="auto"/>
        </w:rPr>
        <w:t>The future maturities of the credit facility are as follows:</w:t>
      </w:r>
    </w:p>
    <w:p>
      <w:pPr>
        <w:spacing w:after="0" w:line="159" w:lineRule="exact"/>
        <w:rPr>
          <w:sz w:val="20"/>
          <w:szCs w:val="20"/>
          <w:color w:val="auto"/>
        </w:rPr>
      </w:pPr>
    </w:p>
    <w:tbl>
      <w:tblPr>
        <w:tblLayout w:type="fixed"/>
        <w:tblInd w:w="428" w:type="dxa"/>
        <w:tblCellMar>
          <w:top w:w="0" w:type="dxa"/>
          <w:left w:w="0" w:type="dxa"/>
          <w:bottom w:w="0" w:type="dxa"/>
          <w:right w:w="0" w:type="dxa"/>
        </w:tblCellMar>
      </w:tblPr>
      <w:tr>
        <w:trPr>
          <w:trHeight w:val="155"/>
        </w:trPr>
        <w:tc>
          <w:tcPr>
            <w:tcW w:w="86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Periods Ending September 30,</w:t>
            </w:r>
          </w:p>
        </w:tc>
        <w:tc>
          <w:tcPr>
            <w:tcW w:w="660" w:type="dxa"/>
            <w:vAlign w:val="bottom"/>
          </w:tcPr>
          <w:p>
            <w:pPr>
              <w:spacing w:after="0"/>
              <w:rPr>
                <w:sz w:val="13"/>
                <w:szCs w:val="13"/>
                <w:color w:val="auto"/>
              </w:rPr>
            </w:pPr>
          </w:p>
        </w:tc>
        <w:tc>
          <w:tcPr>
            <w:tcW w:w="1220" w:type="dxa"/>
            <w:vAlign w:val="bottom"/>
            <w:gridSpan w:val="2"/>
          </w:tcPr>
          <w:p>
            <w:pPr>
              <w:ind w:left="580"/>
              <w:spacing w:after="0"/>
              <w:rPr>
                <w:sz w:val="20"/>
                <w:szCs w:val="20"/>
                <w:color w:val="auto"/>
              </w:rPr>
            </w:pPr>
            <w:r>
              <w:rPr>
                <w:rFonts w:ascii="Times New Roman" w:cs="Times New Roman" w:eastAsia="Times New Roman" w:hAnsi="Times New Roman"/>
                <w:sz w:val="12"/>
                <w:szCs w:val="12"/>
                <w:color w:val="auto"/>
              </w:rPr>
              <w:t>Term Loan</w:t>
            </w:r>
          </w:p>
        </w:tc>
      </w:tr>
      <w:tr>
        <w:trPr>
          <w:trHeight w:val="133"/>
        </w:trPr>
        <w:tc>
          <w:tcPr>
            <w:tcW w:w="8420" w:type="dxa"/>
            <w:vAlign w:val="bottom"/>
            <w:tcBorders>
              <w:top w:val="single" w:sz="8" w:color="auto"/>
            </w:tcBorders>
            <w:shd w:val="clear" w:color="auto" w:fill="CCEEFF"/>
          </w:tcPr>
          <w:p>
            <w:pPr>
              <w:ind w:left="120"/>
              <w:spacing w:after="0" w:line="133" w:lineRule="exact"/>
              <w:rPr>
                <w:sz w:val="20"/>
                <w:szCs w:val="20"/>
                <w:color w:val="auto"/>
              </w:rPr>
            </w:pPr>
            <w:r>
              <w:rPr>
                <w:rFonts w:ascii="Times New Roman" w:cs="Times New Roman" w:eastAsia="Times New Roman" w:hAnsi="Times New Roman"/>
                <w:sz w:val="12"/>
                <w:szCs w:val="12"/>
                <w:color w:val="auto"/>
              </w:rPr>
              <w:t>2025</w:t>
            </w:r>
          </w:p>
        </w:tc>
        <w:tc>
          <w:tcPr>
            <w:tcW w:w="220" w:type="dxa"/>
            <w:vAlign w:val="bottom"/>
            <w:tcBorders>
              <w:top w:val="single" w:sz="8" w:color="CCEEFF"/>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jc w:val="right"/>
              <w:ind w:right="546"/>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71,904</w:t>
            </w:r>
          </w:p>
        </w:tc>
        <w:tc>
          <w:tcPr>
            <w:tcW w:w="100" w:type="dxa"/>
            <w:vAlign w:val="bottom"/>
            <w:tcBorders>
              <w:top w:val="single" w:sz="8" w:color="CCEEFF"/>
            </w:tcBorders>
            <w:shd w:val="clear" w:color="auto" w:fill="CCEEFF"/>
          </w:tcPr>
          <w:p>
            <w:pPr>
              <w:spacing w:after="0"/>
              <w:rPr>
                <w:sz w:val="11"/>
                <w:szCs w:val="11"/>
                <w:color w:val="auto"/>
              </w:rPr>
            </w:pPr>
          </w:p>
        </w:tc>
      </w:tr>
      <w:tr>
        <w:trPr>
          <w:trHeight w:val="153"/>
        </w:trPr>
        <w:tc>
          <w:tcPr>
            <w:tcW w:w="842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2"/>
                <w:szCs w:val="12"/>
                <w:color w:val="auto"/>
              </w:rPr>
              <w:t>2026</w:t>
            </w:r>
          </w:p>
        </w:tc>
        <w:tc>
          <w:tcPr>
            <w:tcW w:w="220" w:type="dxa"/>
            <w:vAlign w:val="bottom"/>
            <w:tcBorders>
              <w:bottom w:val="single" w:sz="8" w:color="CCEEFF"/>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Borders>
              <w:bottom w:val="single" w:sz="8" w:color="CCEEFF"/>
            </w:tcBorders>
          </w:tcPr>
          <w:p>
            <w:pPr>
              <w:spacing w:after="0"/>
              <w:rPr>
                <w:sz w:val="13"/>
                <w:szCs w:val="13"/>
                <w:color w:val="auto"/>
              </w:rPr>
            </w:pPr>
          </w:p>
        </w:tc>
      </w:tr>
      <w:tr>
        <w:trPr>
          <w:trHeight w:val="149"/>
        </w:trPr>
        <w:tc>
          <w:tcPr>
            <w:tcW w:w="8640" w:type="dxa"/>
            <w:vAlign w:val="bottom"/>
            <w:tcBorders>
              <w:bottom w:val="single" w:sz="8" w:color="CCEEFF"/>
            </w:tcBorders>
            <w:gridSpan w:val="2"/>
            <w:shd w:val="clear" w:color="auto" w:fill="CCEEFF"/>
          </w:tcPr>
          <w:p>
            <w:pPr>
              <w:ind w:left="120"/>
              <w:spacing w:after="0" w:line="135" w:lineRule="exact"/>
              <w:rPr>
                <w:sz w:val="20"/>
                <w:szCs w:val="20"/>
                <w:color w:val="auto"/>
              </w:rPr>
            </w:pPr>
            <w:r>
              <w:rPr>
                <w:rFonts w:ascii="Times New Roman" w:cs="Times New Roman" w:eastAsia="Times New Roman" w:hAnsi="Times New Roman"/>
                <w:sz w:val="12"/>
                <w:szCs w:val="12"/>
                <w:color w:val="auto"/>
              </w:rPr>
              <w:t>Total long-term debt</w:t>
            </w:r>
          </w:p>
        </w:tc>
        <w:tc>
          <w:tcPr>
            <w:tcW w:w="660" w:type="dxa"/>
            <w:vAlign w:val="bottom"/>
            <w:tcBorders>
              <w:bottom w:val="single" w:sz="8" w:color="auto"/>
            </w:tcBorders>
            <w:shd w:val="clear" w:color="auto" w:fill="CCEEFF"/>
          </w:tcPr>
          <w:p>
            <w:pPr>
              <w:jc w:val="right"/>
              <w:ind w:right="546"/>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Borders>
              <w:bottom w:val="single" w:sz="8" w:color="CCEEFF"/>
            </w:tcBorders>
            <w:shd w:val="clear" w:color="auto" w:fill="CCEEFF"/>
          </w:tcPr>
          <w:p>
            <w:pPr>
              <w:spacing w:after="0"/>
              <w:rPr>
                <w:sz w:val="12"/>
                <w:szCs w:val="12"/>
                <w:color w:val="auto"/>
              </w:rPr>
            </w:pPr>
          </w:p>
        </w:tc>
      </w:tr>
    </w:tbl>
    <w:p>
      <w:pPr>
        <w:spacing w:after="0" w:line="129" w:lineRule="exact"/>
        <w:rPr>
          <w:sz w:val="20"/>
          <w:szCs w:val="20"/>
          <w:color w:val="auto"/>
        </w:rPr>
      </w:pPr>
    </w:p>
    <w:p>
      <w:pPr>
        <w:ind w:left="428" w:hanging="428"/>
        <w:spacing w:after="0"/>
        <w:tabs>
          <w:tab w:leader="none" w:pos="428" w:val="left"/>
        </w:tabs>
        <w:numPr>
          <w:ilvl w:val="0"/>
          <w:numId w:val="14"/>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u w:val="single" w:color="auto"/>
          <w:color w:val="auto"/>
        </w:rPr>
        <w:t>Mezzanine equity</w:t>
      </w:r>
    </w:p>
    <w:p>
      <w:pPr>
        <w:spacing w:after="0" w:line="150" w:lineRule="exact"/>
        <w:rPr>
          <w:rFonts w:ascii="Times New Roman" w:cs="Times New Roman" w:eastAsia="Times New Roman" w:hAnsi="Times New Roman"/>
          <w:sz w:val="12"/>
          <w:szCs w:val="12"/>
          <w:b w:val="1"/>
          <w:bCs w:val="1"/>
          <w:color w:val="auto"/>
        </w:rPr>
      </w:pPr>
    </w:p>
    <w:p>
      <w:pPr>
        <w:ind w:left="428"/>
        <w:spacing w:after="0" w:line="286" w:lineRule="auto"/>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 xml:space="preserve">Preferred stock </w:t>
      </w:r>
      <w:r>
        <w:rPr>
          <w:rFonts w:ascii="Times New Roman" w:cs="Times New Roman" w:eastAsia="Times New Roman" w:hAnsi="Times New Roman"/>
          <w:sz w:val="12"/>
          <w:szCs w:val="12"/>
          <w:color w:val="auto"/>
        </w:rPr>
        <w:t>– The Company has authorized the issuance of five classes of preferred stock: Series A convertible preferred stock (“Series A”), Series Seed 1 convertible preferred stock, Series Seed 2 convertible preferred</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stock, Series Seed 3 convertible preferred stock, and Series Seed 4 convertible preferred stock (collectively known as “Series Seed”).</w:t>
      </w:r>
    </w:p>
    <w:p>
      <w:pPr>
        <w:spacing w:after="0" w:line="107" w:lineRule="exact"/>
        <w:rPr>
          <w:rFonts w:ascii="Times New Roman" w:cs="Times New Roman" w:eastAsia="Times New Roman" w:hAnsi="Times New Roman"/>
          <w:sz w:val="12"/>
          <w:szCs w:val="12"/>
          <w:b w:val="1"/>
          <w:bCs w:val="1"/>
          <w:color w:val="auto"/>
        </w:rPr>
      </w:pPr>
    </w:p>
    <w:p>
      <w:pPr>
        <w:ind w:left="428"/>
        <w:spacing w:after="0" w:line="279" w:lineRule="auto"/>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color w:val="auto"/>
        </w:rPr>
        <w:t>The holders of preferred stock are entitled to vote with common stockholders as a single class. Preferred stockholders are entitled to a number of votes equivalent to the eligible number of common shares they would have upon exercising their conversion option.</w:t>
      </w:r>
    </w:p>
    <w:p>
      <w:pPr>
        <w:spacing w:after="0" w:line="111" w:lineRule="exact"/>
        <w:rPr>
          <w:rFonts w:ascii="Times New Roman" w:cs="Times New Roman" w:eastAsia="Times New Roman" w:hAnsi="Times New Roman"/>
          <w:sz w:val="12"/>
          <w:szCs w:val="12"/>
          <w:b w:val="1"/>
          <w:bCs w:val="1"/>
          <w:color w:val="auto"/>
        </w:rPr>
      </w:pPr>
    </w:p>
    <w:p>
      <w:pPr>
        <w:jc w:val="both"/>
        <w:ind w:left="428" w:right="20"/>
        <w:spacing w:after="0" w:line="265" w:lineRule="auto"/>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color w:val="auto"/>
        </w:rPr>
        <w:t>The holders of Series A and Series Seed preferred stock may convert their shares to common stock at a price equal to the original issue price of each respective class of preferred stock. The conversion price of each class of preferred stock may be adjusted from time to time pursuant to the second amended and restated certificate of incorporation. Per the second amended and restated certificate of incorporation, conversion rights are terminated upon liquidation.</w:t>
      </w:r>
    </w:p>
    <w:p>
      <w:pPr>
        <w:spacing w:after="0" w:line="118" w:lineRule="exact"/>
        <w:rPr>
          <w:rFonts w:ascii="Times New Roman" w:cs="Times New Roman" w:eastAsia="Times New Roman" w:hAnsi="Times New Roman"/>
          <w:sz w:val="12"/>
          <w:szCs w:val="12"/>
          <w:b w:val="1"/>
          <w:bCs w:val="1"/>
          <w:color w:val="auto"/>
        </w:rPr>
      </w:pPr>
    </w:p>
    <w:p>
      <w:pPr>
        <w:ind w:left="428"/>
        <w:spacing w:after="0" w:line="279" w:lineRule="auto"/>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color w:val="auto"/>
        </w:rPr>
        <w:t>The Series A preferred stock has a liquidation preference equal to the greater of one time than the original issue price plus any dividends declared but unpaid thereon, or the equivalent of the amount payable had all shares of Series A preferred stock been converted into common stock. Upon liquidation, Series A is in preference to Series Seed.</w:t>
      </w:r>
    </w:p>
    <w:p>
      <w:pPr>
        <w:spacing w:after="0" w:line="111" w:lineRule="exact"/>
        <w:rPr>
          <w:rFonts w:ascii="Times New Roman" w:cs="Times New Roman" w:eastAsia="Times New Roman" w:hAnsi="Times New Roman"/>
          <w:sz w:val="12"/>
          <w:szCs w:val="12"/>
          <w:b w:val="1"/>
          <w:bCs w:val="1"/>
          <w:color w:val="auto"/>
        </w:rPr>
      </w:pPr>
    </w:p>
    <w:p>
      <w:pPr>
        <w:ind w:left="428" w:right="20"/>
        <w:spacing w:after="0" w:line="279" w:lineRule="auto"/>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color w:val="auto"/>
        </w:rPr>
        <w:t>The Series Seed preferred stock has a liquidation preference equal to the greater of the original issue price plus any dividends declared but unpaid thereon, or the equivalent of the amount payable had all shares of Series A and Series Seed been converted into common stock.</w:t>
      </w:r>
    </w:p>
    <w:p>
      <w:pPr>
        <w:spacing w:after="0" w:line="111" w:lineRule="exact"/>
        <w:rPr>
          <w:rFonts w:ascii="Times New Roman" w:cs="Times New Roman" w:eastAsia="Times New Roman" w:hAnsi="Times New Roman"/>
          <w:sz w:val="12"/>
          <w:szCs w:val="12"/>
          <w:b w:val="1"/>
          <w:bCs w:val="1"/>
          <w:color w:val="auto"/>
        </w:rPr>
      </w:pPr>
    </w:p>
    <w:p>
      <w:pPr>
        <w:ind w:left="428"/>
        <w:spacing w:after="0" w:line="279" w:lineRule="auto"/>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color w:val="auto"/>
        </w:rPr>
        <w:t>There is no obligation requiring the issuer to redeem the Series A or Series Seed shares by transferring its assets at a specified or determinable date (or dates) or upon an event that is certain to occur. The Series A and Series Seed shares are equity- classified as mezzanine equity on the face of the financial statements.</w:t>
      </w:r>
    </w:p>
    <w:p>
      <w:pPr>
        <w:spacing w:after="0" w:line="107" w:lineRule="exact"/>
        <w:rPr>
          <w:rFonts w:ascii="Times New Roman" w:cs="Times New Roman" w:eastAsia="Times New Roman" w:hAnsi="Times New Roman"/>
          <w:sz w:val="12"/>
          <w:szCs w:val="12"/>
          <w:b w:val="1"/>
          <w:bCs w:val="1"/>
          <w:color w:val="auto"/>
        </w:rPr>
      </w:pPr>
    </w:p>
    <w:p>
      <w:pPr>
        <w:ind w:left="428" w:hanging="428"/>
        <w:spacing w:after="0"/>
        <w:tabs>
          <w:tab w:leader="none" w:pos="428" w:val="left"/>
        </w:tabs>
        <w:numPr>
          <w:ilvl w:val="0"/>
          <w:numId w:val="14"/>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u w:val="single" w:color="auto"/>
          <w:color w:val="auto"/>
        </w:rPr>
        <w:t>Stockholders’ equity</w:t>
      </w:r>
    </w:p>
    <w:p>
      <w:pPr>
        <w:spacing w:after="0" w:line="150" w:lineRule="exact"/>
        <w:rPr>
          <w:rFonts w:ascii="Times New Roman" w:cs="Times New Roman" w:eastAsia="Times New Roman" w:hAnsi="Times New Roman"/>
          <w:sz w:val="12"/>
          <w:szCs w:val="12"/>
          <w:b w:val="1"/>
          <w:bCs w:val="1"/>
          <w:color w:val="auto"/>
        </w:rPr>
      </w:pPr>
    </w:p>
    <w:p>
      <w:pPr>
        <w:ind w:left="428"/>
        <w:spacing w:after="0"/>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 xml:space="preserve">Common stock </w:t>
      </w:r>
      <w:r>
        <w:rPr>
          <w:rFonts w:ascii="Times New Roman" w:cs="Times New Roman" w:eastAsia="Times New Roman" w:hAnsi="Times New Roman"/>
          <w:sz w:val="12"/>
          <w:szCs w:val="12"/>
          <w:color w:val="auto"/>
        </w:rPr>
        <w:t>– The holders of the Company’s common stock are entitled to one vote per share on all matters which stockholders are entitled to a vote.</w:t>
      </w:r>
    </w:p>
    <w:p>
      <w:pPr>
        <w:spacing w:after="0" w:line="150" w:lineRule="exact"/>
        <w:rPr>
          <w:sz w:val="20"/>
          <w:szCs w:val="20"/>
          <w:color w:val="auto"/>
        </w:rPr>
      </w:pPr>
    </w:p>
    <w:p>
      <w:pPr>
        <w:jc w:val="both"/>
        <w:ind w:left="428"/>
        <w:spacing w:after="0" w:line="268" w:lineRule="auto"/>
        <w:rPr>
          <w:sz w:val="20"/>
          <w:szCs w:val="20"/>
          <w:color w:val="auto"/>
        </w:rPr>
      </w:pPr>
      <w:r>
        <w:rPr>
          <w:rFonts w:ascii="Times New Roman" w:cs="Times New Roman" w:eastAsia="Times New Roman" w:hAnsi="Times New Roman"/>
          <w:sz w:val="12"/>
          <w:szCs w:val="12"/>
          <w:b w:val="1"/>
          <w:bCs w:val="1"/>
          <w:color w:val="auto"/>
        </w:rPr>
        <w:t xml:space="preserve">Stock option plan </w:t>
      </w:r>
      <w:r>
        <w:rPr>
          <w:rFonts w:ascii="Times New Roman" w:cs="Times New Roman" w:eastAsia="Times New Roman" w:hAnsi="Times New Roman"/>
          <w:sz w:val="12"/>
          <w:szCs w:val="12"/>
          <w:color w:val="auto"/>
        </w:rPr>
        <w:t>– The Company adopted a stock option plan (the “Plan”) in 2017. The Plan provides for the grant of up to 1,462,949 stock options to officers, directors, and employees of the Company. Options are granted</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under the Plan and are incentive stock options or non-qualified stock options. Recipients are required to sign an agreement in which options may not be transferred. The Plan provides for a straight-line vesting period of up to four years with service a requirement. All unvested options shall vest and become exercisable upon a Change of Control (as defined in the Plan). The Company accounts for any forfeitures of options when they occur.</w:t>
      </w:r>
    </w:p>
    <w:p>
      <w:pPr>
        <w:spacing w:after="0" w:line="118"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78040" cy="571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548" w:right="299" w:bottom="1440" w:gutter="0" w:footer="0" w:header="0"/>
        </w:sectPr>
      </w:pPr>
    </w:p>
    <w:bookmarkStart w:id="44" w:name="page45"/>
    <w:bookmarkEnd w:id="44"/>
    <w:tbl>
      <w:tblPr>
        <w:tblLayout w:type="fixed"/>
        <w:tblInd w:w="0" w:type="dxa"/>
        <w:tblCellMar>
          <w:top w:w="0" w:type="dxa"/>
          <w:left w:w="0" w:type="dxa"/>
          <w:bottom w:w="0" w:type="dxa"/>
          <w:right w:w="0" w:type="dxa"/>
        </w:tblCellMar>
      </w:tblPr>
      <w:tr>
        <w:trPr>
          <w:trHeight w:val="138"/>
        </w:trPr>
        <w:tc>
          <w:tcPr>
            <w:tcW w:w="420" w:type="dxa"/>
            <w:vAlign w:val="bottom"/>
          </w:tcPr>
          <w:p>
            <w:pPr>
              <w:jc w:val="right"/>
              <w:ind w:right="220"/>
              <w:spacing w:after="0"/>
              <w:rPr>
                <w:sz w:val="20"/>
                <w:szCs w:val="20"/>
                <w:color w:val="auto"/>
              </w:rPr>
            </w:pPr>
            <w:r>
              <w:rPr>
                <w:rFonts w:ascii="Times New Roman" w:cs="Times New Roman" w:eastAsia="Times New Roman" w:hAnsi="Times New Roman"/>
                <w:sz w:val="12"/>
                <w:szCs w:val="12"/>
                <w:b w:val="1"/>
                <w:bCs w:val="1"/>
                <w:color w:val="auto"/>
                <w:w w:val="85"/>
              </w:rPr>
              <w:t>(6)</w:t>
            </w:r>
          </w:p>
        </w:tc>
        <w:tc>
          <w:tcPr>
            <w:tcW w:w="7740" w:type="dxa"/>
            <w:vAlign w:val="bottom"/>
            <w:gridSpan w:val="3"/>
          </w:tcPr>
          <w:p>
            <w:pPr>
              <w:spacing w:after="0"/>
              <w:rPr>
                <w:sz w:val="20"/>
                <w:szCs w:val="20"/>
                <w:color w:val="auto"/>
              </w:rPr>
            </w:pPr>
            <w:r>
              <w:rPr>
                <w:rFonts w:ascii="Times New Roman" w:cs="Times New Roman" w:eastAsia="Times New Roman" w:hAnsi="Times New Roman"/>
                <w:sz w:val="12"/>
                <w:szCs w:val="12"/>
                <w:b w:val="1"/>
                <w:bCs w:val="1"/>
                <w:color w:val="auto"/>
              </w:rPr>
              <w:t>Stockholders’ equity (continued)</w:t>
            </w:r>
          </w:p>
        </w:tc>
        <w:tc>
          <w:tcPr>
            <w:tcW w:w="5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0"/>
        </w:trPr>
        <w:tc>
          <w:tcPr>
            <w:tcW w:w="42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668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95"/>
        </w:trPr>
        <w:tc>
          <w:tcPr>
            <w:tcW w:w="420" w:type="dxa"/>
            <w:vAlign w:val="bottom"/>
          </w:tcPr>
          <w:p>
            <w:pPr>
              <w:spacing w:after="0"/>
              <w:rPr>
                <w:sz w:val="24"/>
                <w:szCs w:val="24"/>
                <w:color w:val="auto"/>
              </w:rPr>
            </w:pPr>
          </w:p>
        </w:tc>
        <w:tc>
          <w:tcPr>
            <w:tcW w:w="774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Using the option-pricing model, the fair value of the Plan options was estimated on the date of grant based on the following weighted-average assumptions:</w:t>
            </w: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44"/>
        </w:trPr>
        <w:tc>
          <w:tcPr>
            <w:tcW w:w="4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54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4"/>
        </w:trPr>
        <w:tc>
          <w:tcPr>
            <w:tcW w:w="420" w:type="dxa"/>
            <w:vAlign w:val="bottom"/>
          </w:tcPr>
          <w:p>
            <w:pPr>
              <w:spacing w:after="0"/>
              <w:rPr>
                <w:sz w:val="12"/>
                <w:szCs w:val="12"/>
                <w:color w:val="auto"/>
              </w:rPr>
            </w:pPr>
          </w:p>
        </w:tc>
        <w:tc>
          <w:tcPr>
            <w:tcW w:w="77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2"/>
                <w:szCs w:val="12"/>
                <w:color w:val="auto"/>
              </w:rPr>
              <w:t>Risk-free interest rate</w:t>
            </w:r>
          </w:p>
        </w:tc>
        <w:tc>
          <w:tcPr>
            <w:tcW w:w="5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7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4.68%</w:t>
            </w:r>
          </w:p>
        </w:tc>
      </w:tr>
      <w:tr>
        <w:trPr>
          <w:trHeight w:val="144"/>
        </w:trPr>
        <w:tc>
          <w:tcPr>
            <w:tcW w:w="420" w:type="dxa"/>
            <w:vAlign w:val="bottom"/>
          </w:tcPr>
          <w:p>
            <w:pPr>
              <w:spacing w:after="0"/>
              <w:rPr>
                <w:sz w:val="12"/>
                <w:szCs w:val="12"/>
                <w:color w:val="auto"/>
              </w:rPr>
            </w:pPr>
          </w:p>
        </w:tc>
        <w:tc>
          <w:tcPr>
            <w:tcW w:w="774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Expected dividend yield</w:t>
            </w:r>
          </w:p>
        </w:tc>
        <w:tc>
          <w:tcPr>
            <w:tcW w:w="5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70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0%</w:t>
            </w:r>
          </w:p>
        </w:tc>
      </w:tr>
      <w:tr>
        <w:trPr>
          <w:trHeight w:val="144"/>
        </w:trPr>
        <w:tc>
          <w:tcPr>
            <w:tcW w:w="420" w:type="dxa"/>
            <w:vAlign w:val="bottom"/>
          </w:tcPr>
          <w:p>
            <w:pPr>
              <w:spacing w:after="0"/>
              <w:rPr>
                <w:sz w:val="12"/>
                <w:szCs w:val="12"/>
                <w:color w:val="auto"/>
              </w:rPr>
            </w:pPr>
          </w:p>
        </w:tc>
        <w:tc>
          <w:tcPr>
            <w:tcW w:w="77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2"/>
                <w:szCs w:val="12"/>
                <w:color w:val="auto"/>
              </w:rPr>
              <w:t>Expected volatility</w:t>
            </w:r>
          </w:p>
        </w:tc>
        <w:tc>
          <w:tcPr>
            <w:tcW w:w="5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7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55%</w:t>
            </w:r>
          </w:p>
        </w:tc>
      </w:tr>
      <w:tr>
        <w:trPr>
          <w:trHeight w:val="144"/>
        </w:trPr>
        <w:tc>
          <w:tcPr>
            <w:tcW w:w="420" w:type="dxa"/>
            <w:vAlign w:val="bottom"/>
          </w:tcPr>
          <w:p>
            <w:pPr>
              <w:spacing w:after="0"/>
              <w:rPr>
                <w:sz w:val="12"/>
                <w:szCs w:val="12"/>
                <w:color w:val="auto"/>
              </w:rPr>
            </w:pPr>
          </w:p>
        </w:tc>
        <w:tc>
          <w:tcPr>
            <w:tcW w:w="774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Expected life in years</w:t>
            </w:r>
          </w:p>
        </w:tc>
        <w:tc>
          <w:tcPr>
            <w:tcW w:w="5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0.5</w:t>
            </w:r>
          </w:p>
        </w:tc>
        <w:tc>
          <w:tcPr>
            <w:tcW w:w="100" w:type="dxa"/>
            <w:vAlign w:val="bottom"/>
          </w:tcPr>
          <w:p>
            <w:pPr>
              <w:spacing w:after="0"/>
              <w:rPr>
                <w:sz w:val="12"/>
                <w:szCs w:val="12"/>
                <w:color w:val="auto"/>
              </w:rPr>
            </w:pPr>
          </w:p>
        </w:tc>
      </w:tr>
      <w:tr>
        <w:trPr>
          <w:trHeight w:val="144"/>
        </w:trPr>
        <w:tc>
          <w:tcPr>
            <w:tcW w:w="420" w:type="dxa"/>
            <w:vAlign w:val="bottom"/>
          </w:tcPr>
          <w:p>
            <w:pPr>
              <w:spacing w:after="0"/>
              <w:rPr>
                <w:sz w:val="12"/>
                <w:szCs w:val="12"/>
                <w:color w:val="auto"/>
              </w:rPr>
            </w:pPr>
          </w:p>
        </w:tc>
        <w:tc>
          <w:tcPr>
            <w:tcW w:w="77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2"/>
                <w:szCs w:val="12"/>
                <w:color w:val="auto"/>
              </w:rPr>
              <w:t>Forfeiture rate</w:t>
            </w:r>
          </w:p>
        </w:tc>
        <w:tc>
          <w:tcPr>
            <w:tcW w:w="5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7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0%</w:t>
            </w:r>
          </w:p>
        </w:tc>
      </w:tr>
      <w:tr>
        <w:trPr>
          <w:trHeight w:val="288"/>
        </w:trPr>
        <w:tc>
          <w:tcPr>
            <w:tcW w:w="420" w:type="dxa"/>
            <w:vAlign w:val="bottom"/>
          </w:tcPr>
          <w:p>
            <w:pPr>
              <w:spacing w:after="0"/>
              <w:rPr>
                <w:sz w:val="24"/>
                <w:szCs w:val="24"/>
                <w:color w:val="auto"/>
              </w:rPr>
            </w:pPr>
          </w:p>
        </w:tc>
        <w:tc>
          <w:tcPr>
            <w:tcW w:w="774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Activity in the Company’s Plan for the period ended September 30, 2024 is as follows:</w:t>
            </w: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73"/>
        </w:trPr>
        <w:tc>
          <w:tcPr>
            <w:tcW w:w="4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546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700" w:type="dxa"/>
            <w:vAlign w:val="bottom"/>
            <w:gridSpan w:val="2"/>
          </w:tcPr>
          <w:p>
            <w:pPr>
              <w:jc w:val="right"/>
              <w:ind w:right="740"/>
              <w:spacing w:after="0"/>
              <w:rPr>
                <w:sz w:val="20"/>
                <w:szCs w:val="20"/>
                <w:color w:val="auto"/>
              </w:rPr>
            </w:pPr>
            <w:r>
              <w:rPr>
                <w:rFonts w:ascii="Times New Roman" w:cs="Times New Roman" w:eastAsia="Times New Roman" w:hAnsi="Times New Roman"/>
                <w:sz w:val="12"/>
                <w:szCs w:val="12"/>
                <w:b w:val="1"/>
                <w:bCs w:val="1"/>
                <w:color w:val="auto"/>
              </w:rPr>
              <w:t>Weighted</w:t>
            </w:r>
          </w:p>
        </w:tc>
      </w:tr>
      <w:tr>
        <w:trPr>
          <w:trHeight w:val="159"/>
        </w:trPr>
        <w:tc>
          <w:tcPr>
            <w:tcW w:w="4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5460" w:type="dxa"/>
            <w:vAlign w:val="bottom"/>
          </w:tcPr>
          <w:p>
            <w:pPr>
              <w:spacing w:after="0"/>
              <w:rPr>
                <w:sz w:val="13"/>
                <w:szCs w:val="13"/>
                <w:color w:val="auto"/>
              </w:rPr>
            </w:pPr>
          </w:p>
        </w:tc>
        <w:tc>
          <w:tcPr>
            <w:tcW w:w="1220" w:type="dxa"/>
            <w:vAlign w:val="bottom"/>
          </w:tcPr>
          <w:p>
            <w:pPr>
              <w:ind w:left="700"/>
              <w:spacing w:after="0"/>
              <w:rPr>
                <w:sz w:val="20"/>
                <w:szCs w:val="20"/>
                <w:color w:val="auto"/>
              </w:rPr>
            </w:pPr>
            <w:r>
              <w:rPr>
                <w:rFonts w:ascii="Times New Roman" w:cs="Times New Roman" w:eastAsia="Times New Roman" w:hAnsi="Times New Roman"/>
                <w:sz w:val="12"/>
                <w:szCs w:val="12"/>
                <w:b w:val="1"/>
                <w:bCs w:val="1"/>
                <w:color w:val="auto"/>
              </w:rPr>
              <w:t>Options</w:t>
            </w:r>
          </w:p>
        </w:tc>
        <w:tc>
          <w:tcPr>
            <w:tcW w:w="5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700" w:type="dxa"/>
            <w:vAlign w:val="bottom"/>
            <w:gridSpan w:val="2"/>
          </w:tcPr>
          <w:p>
            <w:pPr>
              <w:jc w:val="right"/>
              <w:ind w:right="400"/>
              <w:spacing w:after="0"/>
              <w:rPr>
                <w:sz w:val="20"/>
                <w:szCs w:val="20"/>
                <w:color w:val="auto"/>
              </w:rPr>
            </w:pPr>
            <w:r>
              <w:rPr>
                <w:rFonts w:ascii="Times New Roman" w:cs="Times New Roman" w:eastAsia="Times New Roman" w:hAnsi="Times New Roman"/>
                <w:sz w:val="12"/>
                <w:szCs w:val="12"/>
                <w:b w:val="1"/>
                <w:bCs w:val="1"/>
                <w:color w:val="auto"/>
              </w:rPr>
              <w:t>Average Exercise Price</w:t>
            </w:r>
          </w:p>
        </w:tc>
      </w:tr>
      <w:tr>
        <w:trPr>
          <w:trHeight w:val="133"/>
        </w:trPr>
        <w:tc>
          <w:tcPr>
            <w:tcW w:w="420" w:type="dxa"/>
            <w:vAlign w:val="bottom"/>
          </w:tcPr>
          <w:p>
            <w:pPr>
              <w:spacing w:after="0"/>
              <w:rPr>
                <w:sz w:val="11"/>
                <w:szCs w:val="11"/>
                <w:color w:val="auto"/>
              </w:rPr>
            </w:pPr>
          </w:p>
        </w:tc>
        <w:tc>
          <w:tcPr>
            <w:tcW w:w="6520" w:type="dxa"/>
            <w:vAlign w:val="bottom"/>
            <w:tcBorders>
              <w:top w:val="single" w:sz="8" w:color="CCEEFF"/>
            </w:tcBorders>
            <w:gridSpan w:val="2"/>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Options outstanding, January 1, 2024</w:t>
            </w:r>
          </w:p>
        </w:tc>
        <w:tc>
          <w:tcPr>
            <w:tcW w:w="1220" w:type="dxa"/>
            <w:vAlign w:val="bottom"/>
            <w:tcBorders>
              <w:top w:val="single" w:sz="8" w:color="auto"/>
            </w:tcBorders>
            <w:shd w:val="clear" w:color="auto" w:fill="CCEEFF"/>
          </w:tcPr>
          <w:p>
            <w:pPr>
              <w:spacing w:after="0"/>
              <w:rPr>
                <w:sz w:val="11"/>
                <w:szCs w:val="11"/>
                <w:color w:val="auto"/>
              </w:rPr>
            </w:pPr>
          </w:p>
        </w:tc>
        <w:tc>
          <w:tcPr>
            <w:tcW w:w="58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1,006,265</w:t>
            </w:r>
          </w:p>
        </w:tc>
        <w:tc>
          <w:tcPr>
            <w:tcW w:w="32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160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1.76</w:t>
            </w:r>
          </w:p>
        </w:tc>
        <w:tc>
          <w:tcPr>
            <w:tcW w:w="100" w:type="dxa"/>
            <w:vAlign w:val="bottom"/>
            <w:tcBorders>
              <w:top w:val="single" w:sz="8" w:color="CCEEFF"/>
            </w:tcBorders>
            <w:shd w:val="clear" w:color="auto" w:fill="CCEEFF"/>
          </w:tcPr>
          <w:p>
            <w:pPr>
              <w:spacing w:after="0"/>
              <w:rPr>
                <w:sz w:val="11"/>
                <w:szCs w:val="11"/>
                <w:color w:val="auto"/>
              </w:rPr>
            </w:pPr>
          </w:p>
        </w:tc>
      </w:tr>
      <w:tr>
        <w:trPr>
          <w:trHeight w:val="144"/>
        </w:trPr>
        <w:tc>
          <w:tcPr>
            <w:tcW w:w="420" w:type="dxa"/>
            <w:vAlign w:val="bottom"/>
          </w:tcPr>
          <w:p>
            <w:pPr>
              <w:spacing w:after="0"/>
              <w:rPr>
                <w:sz w:val="12"/>
                <w:szCs w:val="12"/>
                <w:color w:val="auto"/>
              </w:rPr>
            </w:pPr>
          </w:p>
        </w:tc>
        <w:tc>
          <w:tcPr>
            <w:tcW w:w="774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Exercised</w:t>
            </w:r>
          </w:p>
        </w:tc>
        <w:tc>
          <w:tcPr>
            <w:tcW w:w="900" w:type="dxa"/>
            <w:vAlign w:val="bottom"/>
            <w:gridSpan w:val="2"/>
          </w:tcPr>
          <w:p>
            <w:pPr>
              <w:jc w:val="right"/>
              <w:ind w:right="280"/>
              <w:spacing w:after="0"/>
              <w:rPr>
                <w:sz w:val="20"/>
                <w:szCs w:val="20"/>
                <w:color w:val="auto"/>
              </w:rPr>
            </w:pPr>
            <w:r>
              <w:rPr>
                <w:rFonts w:ascii="Times New Roman" w:cs="Times New Roman" w:eastAsia="Times New Roman" w:hAnsi="Times New Roman"/>
                <w:sz w:val="12"/>
                <w:szCs w:val="12"/>
                <w:color w:val="auto"/>
              </w:rPr>
              <w:t>(65,116)</w:t>
            </w:r>
          </w:p>
        </w:tc>
        <w:tc>
          <w:tcPr>
            <w:tcW w:w="18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170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0.23</w:t>
            </w:r>
          </w:p>
        </w:tc>
      </w:tr>
      <w:tr>
        <w:trPr>
          <w:trHeight w:val="153"/>
        </w:trPr>
        <w:tc>
          <w:tcPr>
            <w:tcW w:w="420" w:type="dxa"/>
            <w:vAlign w:val="bottom"/>
          </w:tcPr>
          <w:p>
            <w:pPr>
              <w:spacing w:after="0"/>
              <w:rPr>
                <w:sz w:val="13"/>
                <w:szCs w:val="13"/>
                <w:color w:val="auto"/>
              </w:rPr>
            </w:pPr>
          </w:p>
        </w:tc>
        <w:tc>
          <w:tcPr>
            <w:tcW w:w="77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2"/>
                <w:szCs w:val="12"/>
                <w:color w:val="auto"/>
              </w:rPr>
              <w:t>Forfeited</w:t>
            </w:r>
          </w:p>
        </w:tc>
        <w:tc>
          <w:tcPr>
            <w:tcW w:w="9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2"/>
                <w:szCs w:val="12"/>
                <w:color w:val="auto"/>
              </w:rPr>
              <w:t>(132,183)</w:t>
            </w:r>
          </w:p>
        </w:tc>
        <w:tc>
          <w:tcPr>
            <w:tcW w:w="18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1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1.96</w:t>
            </w:r>
          </w:p>
        </w:tc>
      </w:tr>
      <w:tr>
        <w:trPr>
          <w:trHeight w:val="149"/>
        </w:trPr>
        <w:tc>
          <w:tcPr>
            <w:tcW w:w="420" w:type="dxa"/>
            <w:vAlign w:val="bottom"/>
          </w:tcPr>
          <w:p>
            <w:pPr>
              <w:spacing w:after="0"/>
              <w:rPr>
                <w:sz w:val="12"/>
                <w:szCs w:val="12"/>
                <w:color w:val="auto"/>
              </w:rPr>
            </w:pPr>
          </w:p>
        </w:tc>
        <w:tc>
          <w:tcPr>
            <w:tcW w:w="6520" w:type="dxa"/>
            <w:vAlign w:val="bottom"/>
            <w:tcBorders>
              <w:bottom w:val="single" w:sz="8" w:color="CCEEFF"/>
            </w:tcBorders>
            <w:gridSpan w:val="2"/>
          </w:tcPr>
          <w:p>
            <w:pPr>
              <w:spacing w:after="0" w:line="135" w:lineRule="exact"/>
              <w:rPr>
                <w:sz w:val="20"/>
                <w:szCs w:val="20"/>
                <w:color w:val="auto"/>
              </w:rPr>
            </w:pPr>
            <w:r>
              <w:rPr>
                <w:rFonts w:ascii="Times New Roman" w:cs="Times New Roman" w:eastAsia="Times New Roman" w:hAnsi="Times New Roman"/>
                <w:sz w:val="12"/>
                <w:szCs w:val="12"/>
                <w:color w:val="auto"/>
              </w:rPr>
              <w:t>Options outstanding, September 30, 2024</w:t>
            </w:r>
          </w:p>
        </w:tc>
        <w:tc>
          <w:tcPr>
            <w:tcW w:w="122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808,966</w:t>
            </w:r>
          </w:p>
        </w:tc>
        <w:tc>
          <w:tcPr>
            <w:tcW w:w="32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1700" w:type="dxa"/>
            <w:vAlign w:val="bottom"/>
            <w:tcBorders>
              <w:bottom w:val="single" w:sz="8" w:color="CCEEFF"/>
            </w:tcBorders>
            <w:gridSpan w:val="2"/>
          </w:tcPr>
          <w:p>
            <w:pPr>
              <w:jc w:val="right"/>
              <w:ind w:right="100"/>
              <w:spacing w:after="0" w:line="135" w:lineRule="exact"/>
              <w:rPr>
                <w:sz w:val="20"/>
                <w:szCs w:val="20"/>
                <w:color w:val="auto"/>
              </w:rPr>
            </w:pPr>
            <w:r>
              <w:rPr>
                <w:rFonts w:ascii="Times New Roman" w:cs="Times New Roman" w:eastAsia="Times New Roman" w:hAnsi="Times New Roman"/>
                <w:sz w:val="12"/>
                <w:szCs w:val="12"/>
                <w:color w:val="auto"/>
              </w:rPr>
              <w:t>0.50</w:t>
            </w:r>
          </w:p>
        </w:tc>
      </w:tr>
      <w:tr>
        <w:trPr>
          <w:trHeight w:val="144"/>
        </w:trPr>
        <w:tc>
          <w:tcPr>
            <w:tcW w:w="420" w:type="dxa"/>
            <w:vAlign w:val="bottom"/>
          </w:tcPr>
          <w:p>
            <w:pPr>
              <w:spacing w:after="0"/>
              <w:rPr>
                <w:sz w:val="12"/>
                <w:szCs w:val="12"/>
                <w:color w:val="auto"/>
              </w:rPr>
            </w:pPr>
          </w:p>
        </w:tc>
        <w:tc>
          <w:tcPr>
            <w:tcW w:w="6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Weighted-average remaining contractual life of options outstanding</w:t>
            </w:r>
          </w:p>
        </w:tc>
        <w:tc>
          <w:tcPr>
            <w:tcW w:w="12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5.89 years</w:t>
            </w:r>
          </w:p>
        </w:tc>
      </w:tr>
      <w:tr>
        <w:trPr>
          <w:trHeight w:val="144"/>
        </w:trPr>
        <w:tc>
          <w:tcPr>
            <w:tcW w:w="420" w:type="dxa"/>
            <w:vAlign w:val="bottom"/>
          </w:tcPr>
          <w:p>
            <w:pPr>
              <w:spacing w:after="0"/>
              <w:rPr>
                <w:sz w:val="12"/>
                <w:szCs w:val="12"/>
                <w:color w:val="auto"/>
              </w:rPr>
            </w:pPr>
          </w:p>
        </w:tc>
        <w:tc>
          <w:tcPr>
            <w:tcW w:w="774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Options exercisable</w:t>
            </w:r>
          </w:p>
        </w:tc>
        <w:tc>
          <w:tcPr>
            <w:tcW w:w="5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707,262</w:t>
            </w:r>
          </w:p>
        </w:tc>
        <w:tc>
          <w:tcPr>
            <w:tcW w:w="100" w:type="dxa"/>
            <w:vAlign w:val="bottom"/>
          </w:tcPr>
          <w:p>
            <w:pPr>
              <w:spacing w:after="0"/>
              <w:rPr>
                <w:sz w:val="12"/>
                <w:szCs w:val="12"/>
                <w:color w:val="auto"/>
              </w:rPr>
            </w:pPr>
          </w:p>
        </w:tc>
      </w:tr>
      <w:tr>
        <w:trPr>
          <w:trHeight w:val="144"/>
        </w:trPr>
        <w:tc>
          <w:tcPr>
            <w:tcW w:w="420" w:type="dxa"/>
            <w:vAlign w:val="bottom"/>
          </w:tcPr>
          <w:p>
            <w:pPr>
              <w:spacing w:after="0"/>
              <w:rPr>
                <w:sz w:val="12"/>
                <w:szCs w:val="12"/>
                <w:color w:val="auto"/>
              </w:rPr>
            </w:pPr>
          </w:p>
        </w:tc>
        <w:tc>
          <w:tcPr>
            <w:tcW w:w="77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2"/>
                <w:szCs w:val="12"/>
                <w:color w:val="auto"/>
              </w:rPr>
              <w:t>Weighted-average exercise price of options exercisable</w:t>
            </w:r>
          </w:p>
        </w:tc>
        <w:tc>
          <w:tcPr>
            <w:tcW w:w="5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8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1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0.50</w:t>
            </w:r>
          </w:p>
        </w:tc>
      </w:tr>
    </w:tbl>
    <w:p>
      <w:pPr>
        <w:spacing w:after="0" w:line="133" w:lineRule="exact"/>
        <w:rPr>
          <w:sz w:val="20"/>
          <w:szCs w:val="20"/>
          <w:color w:val="auto"/>
        </w:rPr>
      </w:pPr>
    </w:p>
    <w:p>
      <w:pPr>
        <w:jc w:val="both"/>
        <w:ind w:left="420"/>
        <w:spacing w:after="0" w:line="279" w:lineRule="auto"/>
        <w:rPr>
          <w:sz w:val="20"/>
          <w:szCs w:val="20"/>
          <w:color w:val="auto"/>
        </w:rPr>
      </w:pPr>
      <w:r>
        <w:rPr>
          <w:rFonts w:ascii="Times New Roman" w:cs="Times New Roman" w:eastAsia="Times New Roman" w:hAnsi="Times New Roman"/>
          <w:sz w:val="12"/>
          <w:szCs w:val="12"/>
          <w:color w:val="auto"/>
        </w:rPr>
        <w:t>For the period ended September 30, 2024, 524,495 options had vested, and 284,471 options were expected to vest between October 2024 and October 2026. Future compensation expense associated with the unvested options totals $24,269. For the period ended September 30, 2024, stock compensation expense was $12,121.</w:t>
      </w:r>
    </w:p>
    <w:p>
      <w:pPr>
        <w:spacing w:after="0" w:line="111" w:lineRule="exact"/>
        <w:rPr>
          <w:sz w:val="20"/>
          <w:szCs w:val="20"/>
          <w:color w:val="auto"/>
        </w:rPr>
      </w:pPr>
    </w:p>
    <w:p>
      <w:pPr>
        <w:jc w:val="both"/>
        <w:ind w:left="420"/>
        <w:spacing w:after="0" w:line="265" w:lineRule="auto"/>
        <w:rPr>
          <w:sz w:val="20"/>
          <w:szCs w:val="20"/>
          <w:color w:val="auto"/>
        </w:rPr>
      </w:pPr>
      <w:r>
        <w:rPr>
          <w:rFonts w:ascii="Times New Roman" w:cs="Times New Roman" w:eastAsia="Times New Roman" w:hAnsi="Times New Roman"/>
          <w:sz w:val="12"/>
          <w:szCs w:val="12"/>
          <w:color w:val="auto"/>
        </w:rPr>
        <w:t>In January 2024, the Board of Directors of the Company approved the cancellation and replacement of various stock options held by certain participants as part of the Company’s 2017 Equity Incentive Plan. The Company offered to replace outstanding options having an exercise price greater than $0.50 per share with a new stock option with an exercise price of $0.50 per share. Participants holding a total of 808,966 options elected to participate in the option exchange. Due to the repricing, there was a significant decrease in the cost associated with these shares.</w:t>
      </w:r>
    </w:p>
    <w:p>
      <w:pPr>
        <w:spacing w:after="0" w:line="11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497" w:right="299" w:bottom="1440" w:gutter="0" w:footer="0" w:header="0"/>
        </w:sectPr>
      </w:pPr>
    </w:p>
    <w:bookmarkStart w:id="45" w:name="page46"/>
    <w:bookmarkEnd w:id="45"/>
    <w:tbl>
      <w:tblPr>
        <w:tblLayout w:type="fixed"/>
        <w:tblInd w:w="0" w:type="dxa"/>
        <w:tblCellMar>
          <w:top w:w="0" w:type="dxa"/>
          <w:left w:w="0" w:type="dxa"/>
          <w:bottom w:w="0" w:type="dxa"/>
          <w:right w:w="0" w:type="dxa"/>
        </w:tblCellMar>
      </w:tblPr>
      <w:tr>
        <w:trPr>
          <w:trHeight w:val="138"/>
        </w:trPr>
        <w:tc>
          <w:tcPr>
            <w:tcW w:w="420" w:type="dxa"/>
            <w:vAlign w:val="bottom"/>
          </w:tcPr>
          <w:p>
            <w:pPr>
              <w:jc w:val="right"/>
              <w:ind w:right="220"/>
              <w:spacing w:after="0"/>
              <w:rPr>
                <w:sz w:val="20"/>
                <w:szCs w:val="20"/>
                <w:color w:val="auto"/>
              </w:rPr>
            </w:pPr>
            <w:r>
              <w:rPr>
                <w:rFonts w:ascii="Times New Roman" w:cs="Times New Roman" w:eastAsia="Times New Roman" w:hAnsi="Times New Roman"/>
                <w:sz w:val="12"/>
                <w:szCs w:val="12"/>
                <w:b w:val="1"/>
                <w:bCs w:val="1"/>
                <w:color w:val="auto"/>
                <w:w w:val="85"/>
              </w:rPr>
              <w:t>(7)</w:t>
            </w:r>
          </w:p>
        </w:tc>
        <w:tc>
          <w:tcPr>
            <w:tcW w:w="6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b w:val="1"/>
                <w:bCs w:val="1"/>
                <w:color w:val="auto"/>
                <w:w w:val="98"/>
              </w:rPr>
              <w:t>Income taxes</w:t>
            </w:r>
          </w:p>
        </w:tc>
        <w:tc>
          <w:tcPr>
            <w:tcW w:w="79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95"/>
        </w:trPr>
        <w:tc>
          <w:tcPr>
            <w:tcW w:w="420" w:type="dxa"/>
            <w:vAlign w:val="bottom"/>
          </w:tcPr>
          <w:p>
            <w:pPr>
              <w:spacing w:after="0"/>
              <w:rPr>
                <w:sz w:val="24"/>
                <w:szCs w:val="24"/>
                <w:color w:val="auto"/>
              </w:rPr>
            </w:pPr>
          </w:p>
        </w:tc>
        <w:tc>
          <w:tcPr>
            <w:tcW w:w="86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Income tax benefit included in the accompanying consolidated statement of operations is summarized as follows:</w:t>
            </w:r>
          </w:p>
        </w:tc>
        <w:tc>
          <w:tcPr>
            <w:tcW w:w="6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44"/>
        </w:trPr>
        <w:tc>
          <w:tcPr>
            <w:tcW w:w="4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9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4"/>
        </w:trPr>
        <w:tc>
          <w:tcPr>
            <w:tcW w:w="420" w:type="dxa"/>
            <w:vAlign w:val="bottom"/>
          </w:tcPr>
          <w:p>
            <w:pPr>
              <w:spacing w:after="0"/>
              <w:rPr>
                <w:sz w:val="12"/>
                <w:szCs w:val="12"/>
                <w:color w:val="auto"/>
              </w:rPr>
            </w:pPr>
          </w:p>
        </w:tc>
        <w:tc>
          <w:tcPr>
            <w:tcW w:w="8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Current</w:t>
            </w:r>
          </w:p>
        </w:tc>
        <w:tc>
          <w:tcPr>
            <w:tcW w:w="660" w:type="dxa"/>
            <w:vAlign w:val="bottom"/>
            <w:shd w:val="clear" w:color="auto" w:fill="CCEEFF"/>
          </w:tcPr>
          <w:p>
            <w:pPr>
              <w:jc w:val="right"/>
              <w:ind w:right="546"/>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2"/>
                <w:szCs w:val="12"/>
                <w:color w:val="auto"/>
              </w:rPr>
            </w:pPr>
          </w:p>
        </w:tc>
      </w:tr>
      <w:tr>
        <w:trPr>
          <w:trHeight w:val="144"/>
        </w:trPr>
        <w:tc>
          <w:tcPr>
            <w:tcW w:w="420" w:type="dxa"/>
            <w:vAlign w:val="bottom"/>
          </w:tcPr>
          <w:p>
            <w:pPr>
              <w:spacing w:after="0"/>
              <w:rPr>
                <w:sz w:val="12"/>
                <w:szCs w:val="12"/>
                <w:color w:val="auto"/>
              </w:rPr>
            </w:pPr>
          </w:p>
        </w:tc>
        <w:tc>
          <w:tcPr>
            <w:tcW w:w="86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Deferred</w:t>
            </w:r>
          </w:p>
        </w:tc>
        <w:tc>
          <w:tcPr>
            <w:tcW w:w="660" w:type="dxa"/>
            <w:vAlign w:val="bottom"/>
          </w:tcPr>
          <w:p>
            <w:pPr>
              <w:spacing w:after="0"/>
              <w:rPr>
                <w:sz w:val="12"/>
                <w:szCs w:val="1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608,606</w:t>
            </w:r>
          </w:p>
        </w:tc>
        <w:tc>
          <w:tcPr>
            <w:tcW w:w="100" w:type="dxa"/>
            <w:vAlign w:val="bottom"/>
          </w:tcPr>
          <w:p>
            <w:pPr>
              <w:spacing w:after="0"/>
              <w:rPr>
                <w:sz w:val="12"/>
                <w:szCs w:val="12"/>
                <w:color w:val="auto"/>
              </w:rPr>
            </w:pPr>
          </w:p>
        </w:tc>
      </w:tr>
      <w:tr>
        <w:trPr>
          <w:trHeight w:val="153"/>
        </w:trPr>
        <w:tc>
          <w:tcPr>
            <w:tcW w:w="420" w:type="dxa"/>
            <w:vAlign w:val="bottom"/>
          </w:tcPr>
          <w:p>
            <w:pPr>
              <w:spacing w:after="0"/>
              <w:rPr>
                <w:sz w:val="13"/>
                <w:szCs w:val="13"/>
                <w:color w:val="auto"/>
              </w:rPr>
            </w:pPr>
          </w:p>
        </w:tc>
        <w:tc>
          <w:tcPr>
            <w:tcW w:w="8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Valuation allowance</w:t>
            </w:r>
          </w:p>
        </w:tc>
        <w:tc>
          <w:tcPr>
            <w:tcW w:w="660" w:type="dxa"/>
            <w:vAlign w:val="bottom"/>
            <w:shd w:val="clear" w:color="auto" w:fill="CCEEFF"/>
          </w:tcPr>
          <w:p>
            <w:pPr>
              <w:spacing w:after="0"/>
              <w:rPr>
                <w:sz w:val="13"/>
                <w:szCs w:val="13"/>
                <w:color w:val="auto"/>
              </w:rPr>
            </w:pPr>
          </w:p>
        </w:tc>
        <w:tc>
          <w:tcPr>
            <w:tcW w:w="12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(608,606)</w:t>
            </w:r>
          </w:p>
        </w:tc>
      </w:tr>
      <w:tr>
        <w:trPr>
          <w:trHeight w:val="133"/>
        </w:trPr>
        <w:tc>
          <w:tcPr>
            <w:tcW w:w="420" w:type="dxa"/>
            <w:vAlign w:val="bottom"/>
          </w:tcPr>
          <w:p>
            <w:pPr>
              <w:spacing w:after="0"/>
              <w:rPr>
                <w:sz w:val="11"/>
                <w:szCs w:val="11"/>
                <w:color w:val="auto"/>
              </w:rPr>
            </w:pPr>
          </w:p>
        </w:tc>
        <w:tc>
          <w:tcPr>
            <w:tcW w:w="8640" w:type="dxa"/>
            <w:vAlign w:val="bottom"/>
            <w:gridSpan w:val="2"/>
          </w:tcPr>
          <w:p>
            <w:pPr>
              <w:ind w:left="120"/>
              <w:spacing w:after="0" w:line="133" w:lineRule="exact"/>
              <w:rPr>
                <w:sz w:val="20"/>
                <w:szCs w:val="20"/>
                <w:color w:val="auto"/>
              </w:rPr>
            </w:pPr>
            <w:r>
              <w:rPr>
                <w:rFonts w:ascii="Times New Roman" w:cs="Times New Roman" w:eastAsia="Times New Roman" w:hAnsi="Times New Roman"/>
                <w:sz w:val="12"/>
                <w:szCs w:val="12"/>
                <w:color w:val="auto"/>
              </w:rPr>
              <w:t>Total income tax benefit</w:t>
            </w:r>
          </w:p>
        </w:tc>
        <w:tc>
          <w:tcPr>
            <w:tcW w:w="660" w:type="dxa"/>
            <w:vAlign w:val="bottom"/>
            <w:tcBorders>
              <w:top w:val="single" w:sz="8" w:color="auto"/>
              <w:bottom w:val="single" w:sz="8" w:color="auto"/>
            </w:tcBorders>
          </w:tcPr>
          <w:p>
            <w:pPr>
              <w:jc w:val="right"/>
              <w:ind w:right="546"/>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tcBorders>
              <w:top w:val="single" w:sz="8" w:color="auto"/>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1"/>
                <w:szCs w:val="11"/>
                <w:color w:val="auto"/>
              </w:rPr>
            </w:pPr>
          </w:p>
        </w:tc>
      </w:tr>
      <w:tr>
        <w:trPr>
          <w:trHeight w:val="277"/>
        </w:trPr>
        <w:tc>
          <w:tcPr>
            <w:tcW w:w="420" w:type="dxa"/>
            <w:vAlign w:val="bottom"/>
          </w:tcPr>
          <w:p>
            <w:pPr>
              <w:spacing w:after="0"/>
              <w:rPr>
                <w:sz w:val="24"/>
                <w:szCs w:val="24"/>
                <w:color w:val="auto"/>
              </w:rPr>
            </w:pPr>
          </w:p>
        </w:tc>
        <w:tc>
          <w:tcPr>
            <w:tcW w:w="86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The deferred income tax assets and liabilities consisted of the following as of the period ended September 30, 2024:</w:t>
            </w:r>
          </w:p>
        </w:tc>
        <w:tc>
          <w:tcPr>
            <w:tcW w:w="6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44"/>
        </w:trPr>
        <w:tc>
          <w:tcPr>
            <w:tcW w:w="4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9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4"/>
        </w:trPr>
        <w:tc>
          <w:tcPr>
            <w:tcW w:w="420" w:type="dxa"/>
            <w:vAlign w:val="bottom"/>
          </w:tcPr>
          <w:p>
            <w:pPr>
              <w:spacing w:after="0"/>
              <w:rPr>
                <w:sz w:val="12"/>
                <w:szCs w:val="12"/>
                <w:color w:val="auto"/>
              </w:rPr>
            </w:pPr>
          </w:p>
        </w:tc>
        <w:tc>
          <w:tcPr>
            <w:tcW w:w="8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Deferred income tax assets:</w:t>
            </w:r>
          </w:p>
        </w:tc>
        <w:tc>
          <w:tcPr>
            <w:tcW w:w="66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44"/>
        </w:trPr>
        <w:tc>
          <w:tcPr>
            <w:tcW w:w="420" w:type="dxa"/>
            <w:vAlign w:val="bottom"/>
          </w:tcPr>
          <w:p>
            <w:pPr>
              <w:spacing w:after="0"/>
              <w:rPr>
                <w:sz w:val="12"/>
                <w:szCs w:val="12"/>
                <w:color w:val="auto"/>
              </w:rPr>
            </w:pPr>
          </w:p>
        </w:tc>
        <w:tc>
          <w:tcPr>
            <w:tcW w:w="8640" w:type="dxa"/>
            <w:vAlign w:val="bottom"/>
            <w:gridSpan w:val="2"/>
          </w:tcPr>
          <w:p>
            <w:pPr>
              <w:ind w:left="120"/>
              <w:spacing w:after="0"/>
              <w:rPr>
                <w:sz w:val="20"/>
                <w:szCs w:val="20"/>
                <w:color w:val="auto"/>
              </w:rPr>
            </w:pPr>
            <w:r>
              <w:rPr>
                <w:rFonts w:ascii="Times New Roman" w:cs="Times New Roman" w:eastAsia="Times New Roman" w:hAnsi="Times New Roman"/>
                <w:sz w:val="12"/>
                <w:szCs w:val="12"/>
                <w:color w:val="auto"/>
              </w:rPr>
              <w:t>Net operating loss carryforwards</w:t>
            </w:r>
          </w:p>
        </w:tc>
        <w:tc>
          <w:tcPr>
            <w:tcW w:w="660" w:type="dxa"/>
            <w:vAlign w:val="bottom"/>
          </w:tcPr>
          <w:p>
            <w:pPr>
              <w:jc w:val="right"/>
              <w:ind w:right="546"/>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4,205,989</w:t>
            </w:r>
          </w:p>
        </w:tc>
        <w:tc>
          <w:tcPr>
            <w:tcW w:w="100" w:type="dxa"/>
            <w:vAlign w:val="bottom"/>
          </w:tcPr>
          <w:p>
            <w:pPr>
              <w:spacing w:after="0"/>
              <w:rPr>
                <w:sz w:val="12"/>
                <w:szCs w:val="12"/>
                <w:color w:val="auto"/>
              </w:rPr>
            </w:pPr>
          </w:p>
        </w:tc>
      </w:tr>
      <w:tr>
        <w:trPr>
          <w:trHeight w:val="144"/>
        </w:trPr>
        <w:tc>
          <w:tcPr>
            <w:tcW w:w="420" w:type="dxa"/>
            <w:vAlign w:val="bottom"/>
          </w:tcPr>
          <w:p>
            <w:pPr>
              <w:spacing w:after="0"/>
              <w:rPr>
                <w:sz w:val="12"/>
                <w:szCs w:val="12"/>
                <w:color w:val="auto"/>
              </w:rPr>
            </w:pPr>
          </w:p>
        </w:tc>
        <w:tc>
          <w:tcPr>
            <w:tcW w:w="86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Research and experimental expenses</w:t>
            </w:r>
          </w:p>
        </w:tc>
        <w:tc>
          <w:tcPr>
            <w:tcW w:w="660" w:type="dxa"/>
            <w:vAlign w:val="bottom"/>
            <w:shd w:val="clear" w:color="auto" w:fill="CCEEFF"/>
          </w:tcPr>
          <w:p>
            <w:pPr>
              <w:spacing w:after="0"/>
              <w:rPr>
                <w:sz w:val="12"/>
                <w:szCs w:val="1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1,016,763</w:t>
            </w:r>
          </w:p>
        </w:tc>
        <w:tc>
          <w:tcPr>
            <w:tcW w:w="100" w:type="dxa"/>
            <w:vAlign w:val="bottom"/>
            <w:shd w:val="clear" w:color="auto" w:fill="CCEEFF"/>
          </w:tcPr>
          <w:p>
            <w:pPr>
              <w:spacing w:after="0"/>
              <w:rPr>
                <w:sz w:val="12"/>
                <w:szCs w:val="12"/>
                <w:color w:val="auto"/>
              </w:rPr>
            </w:pPr>
          </w:p>
        </w:tc>
      </w:tr>
      <w:tr>
        <w:trPr>
          <w:trHeight w:val="144"/>
        </w:trPr>
        <w:tc>
          <w:tcPr>
            <w:tcW w:w="420" w:type="dxa"/>
            <w:vAlign w:val="bottom"/>
          </w:tcPr>
          <w:p>
            <w:pPr>
              <w:spacing w:after="0"/>
              <w:rPr>
                <w:sz w:val="12"/>
                <w:szCs w:val="12"/>
                <w:color w:val="auto"/>
              </w:rPr>
            </w:pPr>
          </w:p>
        </w:tc>
        <w:tc>
          <w:tcPr>
            <w:tcW w:w="8640" w:type="dxa"/>
            <w:vAlign w:val="bottom"/>
            <w:gridSpan w:val="2"/>
          </w:tcPr>
          <w:p>
            <w:pPr>
              <w:ind w:left="120"/>
              <w:spacing w:after="0"/>
              <w:rPr>
                <w:sz w:val="20"/>
                <w:szCs w:val="20"/>
                <w:color w:val="auto"/>
              </w:rPr>
            </w:pPr>
            <w:r>
              <w:rPr>
                <w:rFonts w:ascii="Times New Roman" w:cs="Times New Roman" w:eastAsia="Times New Roman" w:hAnsi="Times New Roman"/>
                <w:sz w:val="12"/>
                <w:szCs w:val="12"/>
                <w:color w:val="auto"/>
              </w:rPr>
              <w:t>Tax credits</w:t>
            </w:r>
          </w:p>
        </w:tc>
        <w:tc>
          <w:tcPr>
            <w:tcW w:w="660" w:type="dxa"/>
            <w:vAlign w:val="bottom"/>
          </w:tcPr>
          <w:p>
            <w:pPr>
              <w:spacing w:after="0"/>
              <w:rPr>
                <w:sz w:val="12"/>
                <w:szCs w:val="12"/>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22,741</w:t>
            </w:r>
          </w:p>
        </w:tc>
      </w:tr>
      <w:tr>
        <w:trPr>
          <w:trHeight w:val="144"/>
        </w:trPr>
        <w:tc>
          <w:tcPr>
            <w:tcW w:w="420" w:type="dxa"/>
            <w:vAlign w:val="bottom"/>
          </w:tcPr>
          <w:p>
            <w:pPr>
              <w:spacing w:after="0"/>
              <w:rPr>
                <w:sz w:val="12"/>
                <w:szCs w:val="12"/>
                <w:color w:val="auto"/>
              </w:rPr>
            </w:pPr>
          </w:p>
        </w:tc>
        <w:tc>
          <w:tcPr>
            <w:tcW w:w="86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Accrued expenses</w:t>
            </w:r>
          </w:p>
        </w:tc>
        <w:tc>
          <w:tcPr>
            <w:tcW w:w="66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22,532</w:t>
            </w:r>
          </w:p>
        </w:tc>
      </w:tr>
      <w:tr>
        <w:trPr>
          <w:trHeight w:val="144"/>
        </w:trPr>
        <w:tc>
          <w:tcPr>
            <w:tcW w:w="420" w:type="dxa"/>
            <w:vAlign w:val="bottom"/>
          </w:tcPr>
          <w:p>
            <w:pPr>
              <w:spacing w:after="0"/>
              <w:rPr>
                <w:sz w:val="12"/>
                <w:szCs w:val="12"/>
                <w:color w:val="auto"/>
              </w:rPr>
            </w:pPr>
          </w:p>
        </w:tc>
        <w:tc>
          <w:tcPr>
            <w:tcW w:w="8640" w:type="dxa"/>
            <w:vAlign w:val="bottom"/>
            <w:gridSpan w:val="2"/>
          </w:tcPr>
          <w:p>
            <w:pPr>
              <w:ind w:left="120"/>
              <w:spacing w:after="0"/>
              <w:rPr>
                <w:sz w:val="20"/>
                <w:szCs w:val="20"/>
                <w:color w:val="auto"/>
              </w:rPr>
            </w:pPr>
            <w:r>
              <w:rPr>
                <w:rFonts w:ascii="Times New Roman" w:cs="Times New Roman" w:eastAsia="Times New Roman" w:hAnsi="Times New Roman"/>
                <w:sz w:val="12"/>
                <w:szCs w:val="12"/>
                <w:color w:val="auto"/>
              </w:rPr>
              <w:t>Deferred revenue</w:t>
            </w:r>
          </w:p>
        </w:tc>
        <w:tc>
          <w:tcPr>
            <w:tcW w:w="660" w:type="dxa"/>
            <w:vAlign w:val="bottom"/>
          </w:tcPr>
          <w:p>
            <w:pPr>
              <w:spacing w:after="0"/>
              <w:rPr>
                <w:sz w:val="12"/>
                <w:szCs w:val="12"/>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61,078</w:t>
            </w:r>
          </w:p>
        </w:tc>
      </w:tr>
      <w:tr>
        <w:trPr>
          <w:trHeight w:val="153"/>
        </w:trPr>
        <w:tc>
          <w:tcPr>
            <w:tcW w:w="420" w:type="dxa"/>
            <w:vAlign w:val="bottom"/>
          </w:tcPr>
          <w:p>
            <w:pPr>
              <w:spacing w:after="0"/>
              <w:rPr>
                <w:sz w:val="13"/>
                <w:szCs w:val="13"/>
                <w:color w:val="auto"/>
              </w:rPr>
            </w:pPr>
          </w:p>
        </w:tc>
        <w:tc>
          <w:tcPr>
            <w:tcW w:w="86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Stock compensation</w:t>
            </w:r>
          </w:p>
        </w:tc>
        <w:tc>
          <w:tcPr>
            <w:tcW w:w="660" w:type="dxa"/>
            <w:vAlign w:val="bottom"/>
            <w:tcBorders>
              <w:bottom w:val="single" w:sz="8" w:color="auto"/>
            </w:tcBorders>
            <w:shd w:val="clear" w:color="auto" w:fill="CCEEFF"/>
          </w:tcPr>
          <w:p>
            <w:pPr>
              <w:spacing w:after="0"/>
              <w:rPr>
                <w:sz w:val="13"/>
                <w:szCs w:val="13"/>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438,786</w:t>
            </w:r>
          </w:p>
        </w:tc>
        <w:tc>
          <w:tcPr>
            <w:tcW w:w="100" w:type="dxa"/>
            <w:vAlign w:val="bottom"/>
            <w:shd w:val="clear" w:color="auto" w:fill="CCEEFF"/>
          </w:tcPr>
          <w:p>
            <w:pPr>
              <w:spacing w:after="0"/>
              <w:rPr>
                <w:sz w:val="13"/>
                <w:szCs w:val="13"/>
                <w:color w:val="auto"/>
              </w:rPr>
            </w:pPr>
          </w:p>
        </w:tc>
      </w:tr>
      <w:tr>
        <w:trPr>
          <w:trHeight w:val="133"/>
        </w:trPr>
        <w:tc>
          <w:tcPr>
            <w:tcW w:w="420" w:type="dxa"/>
            <w:vAlign w:val="bottom"/>
          </w:tcPr>
          <w:p>
            <w:pPr>
              <w:spacing w:after="0"/>
              <w:rPr>
                <w:sz w:val="11"/>
                <w:szCs w:val="11"/>
                <w:color w:val="auto"/>
              </w:rPr>
            </w:pPr>
          </w:p>
        </w:tc>
        <w:tc>
          <w:tcPr>
            <w:tcW w:w="8640" w:type="dxa"/>
            <w:vAlign w:val="bottom"/>
            <w:gridSpan w:val="2"/>
          </w:tcPr>
          <w:p>
            <w:pPr>
              <w:ind w:left="120"/>
              <w:spacing w:after="0" w:line="133" w:lineRule="exact"/>
              <w:rPr>
                <w:sz w:val="20"/>
                <w:szCs w:val="20"/>
                <w:color w:val="auto"/>
              </w:rPr>
            </w:pPr>
            <w:r>
              <w:rPr>
                <w:rFonts w:ascii="Times New Roman" w:cs="Times New Roman" w:eastAsia="Times New Roman" w:hAnsi="Times New Roman"/>
                <w:sz w:val="12"/>
                <w:szCs w:val="12"/>
                <w:color w:val="auto"/>
              </w:rPr>
              <w:t>Gross deferred income tax assets</w:t>
            </w:r>
          </w:p>
        </w:tc>
        <w:tc>
          <w:tcPr>
            <w:tcW w:w="660" w:type="dxa"/>
            <w:vAlign w:val="bottom"/>
          </w:tcPr>
          <w:p>
            <w:pPr>
              <w:spacing w:after="0"/>
              <w:rPr>
                <w:sz w:val="11"/>
                <w:szCs w:val="11"/>
                <w:color w:val="auto"/>
              </w:rPr>
            </w:pPr>
          </w:p>
        </w:tc>
        <w:tc>
          <w:tcPr>
            <w:tcW w:w="112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5,767,889</w:t>
            </w:r>
          </w:p>
        </w:tc>
        <w:tc>
          <w:tcPr>
            <w:tcW w:w="100" w:type="dxa"/>
            <w:vAlign w:val="bottom"/>
          </w:tcPr>
          <w:p>
            <w:pPr>
              <w:spacing w:after="0"/>
              <w:rPr>
                <w:sz w:val="11"/>
                <w:szCs w:val="11"/>
                <w:color w:val="auto"/>
              </w:rPr>
            </w:pPr>
          </w:p>
        </w:tc>
      </w:tr>
      <w:tr>
        <w:trPr>
          <w:trHeight w:val="153"/>
        </w:trPr>
        <w:tc>
          <w:tcPr>
            <w:tcW w:w="420" w:type="dxa"/>
            <w:vAlign w:val="bottom"/>
          </w:tcPr>
          <w:p>
            <w:pPr>
              <w:spacing w:after="0"/>
              <w:rPr>
                <w:sz w:val="13"/>
                <w:szCs w:val="13"/>
                <w:color w:val="auto"/>
              </w:rPr>
            </w:pPr>
          </w:p>
        </w:tc>
        <w:tc>
          <w:tcPr>
            <w:tcW w:w="8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Less: valuation allowance</w:t>
            </w:r>
          </w:p>
        </w:tc>
        <w:tc>
          <w:tcPr>
            <w:tcW w:w="660" w:type="dxa"/>
            <w:vAlign w:val="bottom"/>
            <w:shd w:val="clear" w:color="auto" w:fill="CCEEFF"/>
          </w:tcPr>
          <w:p>
            <w:pPr>
              <w:spacing w:after="0"/>
              <w:rPr>
                <w:sz w:val="13"/>
                <w:szCs w:val="13"/>
                <w:color w:val="auto"/>
              </w:rPr>
            </w:pPr>
          </w:p>
        </w:tc>
        <w:tc>
          <w:tcPr>
            <w:tcW w:w="12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(5,719,825)</w:t>
            </w:r>
          </w:p>
        </w:tc>
      </w:tr>
      <w:tr>
        <w:trPr>
          <w:trHeight w:val="133"/>
        </w:trPr>
        <w:tc>
          <w:tcPr>
            <w:tcW w:w="420" w:type="dxa"/>
            <w:vAlign w:val="bottom"/>
          </w:tcPr>
          <w:p>
            <w:pPr>
              <w:spacing w:after="0"/>
              <w:rPr>
                <w:sz w:val="11"/>
                <w:szCs w:val="11"/>
                <w:color w:val="auto"/>
              </w:rPr>
            </w:pPr>
          </w:p>
        </w:tc>
        <w:tc>
          <w:tcPr>
            <w:tcW w:w="8640" w:type="dxa"/>
            <w:vAlign w:val="bottom"/>
            <w:tcBorders>
              <w:bottom w:val="single" w:sz="8" w:color="CCEEFF"/>
            </w:tcBorders>
            <w:gridSpan w:val="2"/>
          </w:tcPr>
          <w:p>
            <w:pPr>
              <w:ind w:left="120"/>
              <w:spacing w:after="0" w:line="133" w:lineRule="exact"/>
              <w:rPr>
                <w:sz w:val="20"/>
                <w:szCs w:val="20"/>
                <w:color w:val="auto"/>
              </w:rPr>
            </w:pPr>
            <w:r>
              <w:rPr>
                <w:rFonts w:ascii="Times New Roman" w:cs="Times New Roman" w:eastAsia="Times New Roman" w:hAnsi="Times New Roman"/>
                <w:sz w:val="12"/>
                <w:szCs w:val="12"/>
                <w:color w:val="auto"/>
              </w:rPr>
              <w:t>Total deferred income tax assets</w:t>
            </w:r>
          </w:p>
        </w:tc>
        <w:tc>
          <w:tcPr>
            <w:tcW w:w="660" w:type="dxa"/>
            <w:vAlign w:val="bottom"/>
            <w:tcBorders>
              <w:top w:val="single" w:sz="8" w:color="auto"/>
              <w:bottom w:val="single" w:sz="8" w:color="auto"/>
            </w:tcBorders>
          </w:tcPr>
          <w:p>
            <w:pPr>
              <w:spacing w:after="0"/>
              <w:rPr>
                <w:sz w:val="11"/>
                <w:szCs w:val="11"/>
                <w:color w:val="auto"/>
              </w:rPr>
            </w:pPr>
          </w:p>
        </w:tc>
        <w:tc>
          <w:tcPr>
            <w:tcW w:w="1120" w:type="dxa"/>
            <w:vAlign w:val="bottom"/>
            <w:tcBorders>
              <w:top w:val="single" w:sz="8" w:color="auto"/>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48,064</w:t>
            </w:r>
          </w:p>
        </w:tc>
        <w:tc>
          <w:tcPr>
            <w:tcW w:w="100" w:type="dxa"/>
            <w:vAlign w:val="bottom"/>
            <w:tcBorders>
              <w:bottom w:val="single" w:sz="8" w:color="CCEEFF"/>
            </w:tcBorders>
          </w:tcPr>
          <w:p>
            <w:pPr>
              <w:spacing w:after="0"/>
              <w:rPr>
                <w:sz w:val="11"/>
                <w:szCs w:val="11"/>
                <w:color w:val="auto"/>
              </w:rPr>
            </w:pPr>
          </w:p>
        </w:tc>
      </w:tr>
      <w:tr>
        <w:trPr>
          <w:trHeight w:val="133"/>
        </w:trPr>
        <w:tc>
          <w:tcPr>
            <w:tcW w:w="420" w:type="dxa"/>
            <w:vAlign w:val="bottom"/>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79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r>
      <w:tr>
        <w:trPr>
          <w:trHeight w:val="144"/>
        </w:trPr>
        <w:tc>
          <w:tcPr>
            <w:tcW w:w="420" w:type="dxa"/>
            <w:vAlign w:val="bottom"/>
          </w:tcPr>
          <w:p>
            <w:pPr>
              <w:spacing w:after="0"/>
              <w:rPr>
                <w:sz w:val="12"/>
                <w:szCs w:val="12"/>
                <w:color w:val="auto"/>
              </w:rPr>
            </w:pPr>
          </w:p>
        </w:tc>
        <w:tc>
          <w:tcPr>
            <w:tcW w:w="86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Deferred income tax liabilities:</w:t>
            </w:r>
          </w:p>
        </w:tc>
        <w:tc>
          <w:tcPr>
            <w:tcW w:w="6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4"/>
        </w:trPr>
        <w:tc>
          <w:tcPr>
            <w:tcW w:w="420" w:type="dxa"/>
            <w:vAlign w:val="bottom"/>
          </w:tcPr>
          <w:p>
            <w:pPr>
              <w:spacing w:after="0"/>
              <w:rPr>
                <w:sz w:val="12"/>
                <w:szCs w:val="12"/>
                <w:color w:val="auto"/>
              </w:rPr>
            </w:pPr>
          </w:p>
        </w:tc>
        <w:tc>
          <w:tcPr>
            <w:tcW w:w="86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Property and equipment</w:t>
            </w:r>
          </w:p>
        </w:tc>
        <w:tc>
          <w:tcPr>
            <w:tcW w:w="660" w:type="dxa"/>
            <w:vAlign w:val="bottom"/>
            <w:shd w:val="clear" w:color="auto" w:fill="CCEEFF"/>
          </w:tcPr>
          <w:p>
            <w:pPr>
              <w:spacing w:after="0"/>
              <w:rPr>
                <w:sz w:val="12"/>
                <w:szCs w:val="1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469</w:t>
            </w:r>
          </w:p>
        </w:tc>
        <w:tc>
          <w:tcPr>
            <w:tcW w:w="100" w:type="dxa"/>
            <w:vAlign w:val="bottom"/>
            <w:shd w:val="clear" w:color="auto" w:fill="CCEEFF"/>
          </w:tcPr>
          <w:p>
            <w:pPr>
              <w:spacing w:after="0"/>
              <w:rPr>
                <w:sz w:val="12"/>
                <w:szCs w:val="12"/>
                <w:color w:val="auto"/>
              </w:rPr>
            </w:pPr>
          </w:p>
        </w:tc>
      </w:tr>
      <w:tr>
        <w:trPr>
          <w:trHeight w:val="153"/>
        </w:trPr>
        <w:tc>
          <w:tcPr>
            <w:tcW w:w="420" w:type="dxa"/>
            <w:vAlign w:val="bottom"/>
          </w:tcPr>
          <w:p>
            <w:pPr>
              <w:spacing w:after="0"/>
              <w:rPr>
                <w:sz w:val="13"/>
                <w:szCs w:val="13"/>
                <w:color w:val="auto"/>
              </w:rPr>
            </w:pPr>
          </w:p>
        </w:tc>
        <w:tc>
          <w:tcPr>
            <w:tcW w:w="8640" w:type="dxa"/>
            <w:vAlign w:val="bottom"/>
            <w:gridSpan w:val="2"/>
          </w:tcPr>
          <w:p>
            <w:pPr>
              <w:ind w:left="120"/>
              <w:spacing w:after="0"/>
              <w:rPr>
                <w:sz w:val="20"/>
                <w:szCs w:val="20"/>
                <w:color w:val="auto"/>
              </w:rPr>
            </w:pPr>
            <w:r>
              <w:rPr>
                <w:rFonts w:ascii="Times New Roman" w:cs="Times New Roman" w:eastAsia="Times New Roman" w:hAnsi="Times New Roman"/>
                <w:sz w:val="12"/>
                <w:szCs w:val="12"/>
                <w:color w:val="auto"/>
              </w:rPr>
              <w:t>Intangibles</w:t>
            </w:r>
          </w:p>
        </w:tc>
        <w:tc>
          <w:tcPr>
            <w:tcW w:w="660" w:type="dxa"/>
            <w:vAlign w:val="bottom"/>
          </w:tcPr>
          <w:p>
            <w:pPr>
              <w:spacing w:after="0"/>
              <w:rPr>
                <w:sz w:val="13"/>
                <w:szCs w:val="13"/>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47,595</w:t>
            </w:r>
          </w:p>
        </w:tc>
      </w:tr>
      <w:tr>
        <w:trPr>
          <w:trHeight w:val="133"/>
        </w:trPr>
        <w:tc>
          <w:tcPr>
            <w:tcW w:w="420" w:type="dxa"/>
            <w:vAlign w:val="bottom"/>
          </w:tcPr>
          <w:p>
            <w:pPr>
              <w:spacing w:after="0"/>
              <w:rPr>
                <w:sz w:val="11"/>
                <w:szCs w:val="11"/>
                <w:color w:val="auto"/>
              </w:rPr>
            </w:pPr>
          </w:p>
        </w:tc>
        <w:tc>
          <w:tcPr>
            <w:tcW w:w="8640" w:type="dxa"/>
            <w:vAlign w:val="bottom"/>
            <w:tcBorders>
              <w:top w:val="single" w:sz="8" w:color="CCEEFF"/>
            </w:tcBorders>
            <w:gridSpan w:val="2"/>
            <w:shd w:val="clear" w:color="auto" w:fill="CCEEFF"/>
          </w:tcPr>
          <w:p>
            <w:pPr>
              <w:ind w:left="120"/>
              <w:spacing w:after="0" w:line="133" w:lineRule="exact"/>
              <w:rPr>
                <w:sz w:val="20"/>
                <w:szCs w:val="20"/>
                <w:color w:val="auto"/>
              </w:rPr>
            </w:pPr>
            <w:r>
              <w:rPr>
                <w:rFonts w:ascii="Times New Roman" w:cs="Times New Roman" w:eastAsia="Times New Roman" w:hAnsi="Times New Roman"/>
                <w:sz w:val="12"/>
                <w:szCs w:val="12"/>
                <w:color w:val="auto"/>
              </w:rPr>
              <w:t>Total deferred income tax liabilities</w:t>
            </w:r>
          </w:p>
        </w:tc>
        <w:tc>
          <w:tcPr>
            <w:tcW w:w="660" w:type="dxa"/>
            <w:vAlign w:val="bottom"/>
            <w:tcBorders>
              <w:top w:val="single" w:sz="8" w:color="auto"/>
              <w:bottom w:val="single" w:sz="8" w:color="auto"/>
            </w:tcBorders>
            <w:shd w:val="clear" w:color="auto" w:fill="CCEEFF"/>
          </w:tcPr>
          <w:p>
            <w:pPr>
              <w:spacing w:after="0"/>
              <w:rPr>
                <w:sz w:val="11"/>
                <w:szCs w:val="11"/>
                <w:color w:val="auto"/>
              </w:rPr>
            </w:pPr>
          </w:p>
        </w:tc>
        <w:tc>
          <w:tcPr>
            <w:tcW w:w="112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48,064</w:t>
            </w:r>
          </w:p>
        </w:tc>
        <w:tc>
          <w:tcPr>
            <w:tcW w:w="100" w:type="dxa"/>
            <w:vAlign w:val="bottom"/>
            <w:tcBorders>
              <w:top w:val="single" w:sz="8" w:color="CCEEFF"/>
            </w:tcBorders>
            <w:shd w:val="clear" w:color="auto" w:fill="CCEEFF"/>
          </w:tcPr>
          <w:p>
            <w:pPr>
              <w:spacing w:after="0"/>
              <w:rPr>
                <w:sz w:val="11"/>
                <w:szCs w:val="11"/>
                <w:color w:val="auto"/>
              </w:rPr>
            </w:pPr>
          </w:p>
        </w:tc>
      </w:tr>
      <w:tr>
        <w:trPr>
          <w:trHeight w:val="133"/>
        </w:trPr>
        <w:tc>
          <w:tcPr>
            <w:tcW w:w="420" w:type="dxa"/>
            <w:vAlign w:val="bottom"/>
          </w:tcPr>
          <w:p>
            <w:pPr>
              <w:spacing w:after="0"/>
              <w:rPr>
                <w:sz w:val="11"/>
                <w:szCs w:val="11"/>
                <w:color w:val="auto"/>
              </w:rPr>
            </w:pPr>
          </w:p>
        </w:tc>
        <w:tc>
          <w:tcPr>
            <w:tcW w:w="8640" w:type="dxa"/>
            <w:vAlign w:val="bottom"/>
            <w:gridSpan w:val="2"/>
          </w:tcPr>
          <w:p>
            <w:pPr>
              <w:ind w:left="240"/>
              <w:spacing w:after="0" w:line="133" w:lineRule="exact"/>
              <w:rPr>
                <w:sz w:val="20"/>
                <w:szCs w:val="20"/>
                <w:color w:val="auto"/>
              </w:rPr>
            </w:pPr>
            <w:r>
              <w:rPr>
                <w:rFonts w:ascii="Times New Roman" w:cs="Times New Roman" w:eastAsia="Times New Roman" w:hAnsi="Times New Roman"/>
                <w:sz w:val="12"/>
                <w:szCs w:val="12"/>
                <w:color w:val="auto"/>
              </w:rPr>
              <w:t>Net deferred income taxes</w:t>
            </w:r>
          </w:p>
        </w:tc>
        <w:tc>
          <w:tcPr>
            <w:tcW w:w="660" w:type="dxa"/>
            <w:vAlign w:val="bottom"/>
            <w:tcBorders>
              <w:bottom w:val="single" w:sz="8" w:color="auto"/>
            </w:tcBorders>
          </w:tcPr>
          <w:p>
            <w:pPr>
              <w:jc w:val="right"/>
              <w:ind w:right="546"/>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1"/>
                <w:szCs w:val="11"/>
                <w:color w:val="auto"/>
              </w:rPr>
            </w:pPr>
          </w:p>
        </w:tc>
      </w:tr>
    </w:tbl>
    <w:p>
      <w:pPr>
        <w:spacing w:after="0" w:line="133" w:lineRule="exact"/>
        <w:rPr>
          <w:sz w:val="20"/>
          <w:szCs w:val="20"/>
          <w:color w:val="auto"/>
        </w:rPr>
      </w:pPr>
    </w:p>
    <w:p>
      <w:pPr>
        <w:jc w:val="both"/>
        <w:ind w:left="420"/>
        <w:spacing w:after="0" w:line="279" w:lineRule="auto"/>
        <w:rPr>
          <w:sz w:val="20"/>
          <w:szCs w:val="20"/>
          <w:color w:val="auto"/>
        </w:rPr>
      </w:pPr>
      <w:r>
        <w:rPr>
          <w:rFonts w:ascii="Times New Roman" w:cs="Times New Roman" w:eastAsia="Times New Roman" w:hAnsi="Times New Roman"/>
          <w:sz w:val="12"/>
          <w:szCs w:val="12"/>
          <w:color w:val="auto"/>
        </w:rPr>
        <w:t>The Company has a valuation allowance against its net deferred income for the period ended September 30, 2024. The valuation allowance was recorded due to cumulative losses and the Company’s conclusion that it was more likely than not that certain deferred income tax assets would not be realized.</w:t>
      </w:r>
    </w:p>
    <w:p>
      <w:pPr>
        <w:spacing w:after="0" w:line="111" w:lineRule="exact"/>
        <w:rPr>
          <w:sz w:val="20"/>
          <w:szCs w:val="20"/>
          <w:color w:val="auto"/>
        </w:rPr>
      </w:pPr>
    </w:p>
    <w:p>
      <w:pPr>
        <w:jc w:val="both"/>
        <w:ind w:left="420"/>
        <w:spacing w:after="0" w:line="265" w:lineRule="auto"/>
        <w:rPr>
          <w:sz w:val="20"/>
          <w:szCs w:val="20"/>
          <w:color w:val="auto"/>
        </w:rPr>
      </w:pPr>
      <w:r>
        <w:rPr>
          <w:rFonts w:ascii="Times New Roman" w:cs="Times New Roman" w:eastAsia="Times New Roman" w:hAnsi="Times New Roman"/>
          <w:sz w:val="12"/>
          <w:szCs w:val="12"/>
          <w:color w:val="auto"/>
        </w:rPr>
        <w:t>The Company’s deferred income tax assets include certain future tax benefits. For the period ended September 30, 2024, the tax-effected deferred income tax assets included $4,205,989 related to net operating losses. Of this amount, $3,125,150 related to federal net operating losses and $1,080,839 related to various state net operating losses. For the federal net operating losses, $75,955 are set to expire between the years 2036 and 2037, while the remaining $3,049,195 does not expire. The various state net operating losses of $1,080,839 are set to expire at various times.</w:t>
      </w:r>
    </w:p>
    <w:p>
      <w:pPr>
        <w:spacing w:after="0" w:line="11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542" w:right="299" w:bottom="1440" w:gutter="0" w:footer="0" w:header="0"/>
        </w:sectPr>
      </w:pPr>
    </w:p>
    <w:bookmarkStart w:id="46" w:name="page47"/>
    <w:bookmarkEnd w:id="46"/>
    <w:p>
      <w:pPr>
        <w:ind w:left="428" w:hanging="428"/>
        <w:spacing w:after="0"/>
        <w:tabs>
          <w:tab w:leader="none" w:pos="428" w:val="left"/>
        </w:tabs>
        <w:numPr>
          <w:ilvl w:val="0"/>
          <w:numId w:val="15"/>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u w:val="single" w:color="auto"/>
          <w:color w:val="auto"/>
        </w:rPr>
        <w:t>Employee benefit plan</w:t>
      </w:r>
    </w:p>
    <w:p>
      <w:pPr>
        <w:spacing w:after="0" w:line="154" w:lineRule="exact"/>
        <w:rPr>
          <w:rFonts w:ascii="Times New Roman" w:cs="Times New Roman" w:eastAsia="Times New Roman" w:hAnsi="Times New Roman"/>
          <w:sz w:val="12"/>
          <w:szCs w:val="12"/>
          <w:b w:val="1"/>
          <w:bCs w:val="1"/>
          <w:color w:val="auto"/>
        </w:rPr>
      </w:pPr>
    </w:p>
    <w:p>
      <w:pPr>
        <w:ind w:left="428"/>
        <w:spacing w:after="0" w:line="279" w:lineRule="auto"/>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color w:val="auto"/>
        </w:rPr>
        <w:t>The Company maintains a 401(k) plan which covers all eligible employees. The Company may, but is not required to, make a matching contribution to the plan which is made based on a percentage of the employees’ contributions and allocated to participants at the end of the plan year. For the period ended September 30, 2024, the Company did not make any matching contributions to the plan.</w:t>
      </w:r>
    </w:p>
    <w:p>
      <w:pPr>
        <w:spacing w:after="0" w:line="143" w:lineRule="exact"/>
        <w:rPr>
          <w:rFonts w:ascii="Times New Roman" w:cs="Times New Roman" w:eastAsia="Times New Roman" w:hAnsi="Times New Roman"/>
          <w:sz w:val="12"/>
          <w:szCs w:val="12"/>
          <w:b w:val="1"/>
          <w:bCs w:val="1"/>
          <w:color w:val="auto"/>
        </w:rPr>
      </w:pPr>
    </w:p>
    <w:p>
      <w:pPr>
        <w:ind w:left="428" w:hanging="428"/>
        <w:spacing w:after="0"/>
        <w:tabs>
          <w:tab w:leader="none" w:pos="428" w:val="left"/>
        </w:tabs>
        <w:numPr>
          <w:ilvl w:val="0"/>
          <w:numId w:val="15"/>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u w:val="single" w:color="auto"/>
          <w:color w:val="auto"/>
        </w:rPr>
        <w:t>Commitments and contingencies</w:t>
      </w:r>
    </w:p>
    <w:p>
      <w:pPr>
        <w:spacing w:after="0" w:line="154" w:lineRule="exact"/>
        <w:rPr>
          <w:rFonts w:ascii="Times New Roman" w:cs="Times New Roman" w:eastAsia="Times New Roman" w:hAnsi="Times New Roman"/>
          <w:sz w:val="12"/>
          <w:szCs w:val="12"/>
          <w:b w:val="1"/>
          <w:bCs w:val="1"/>
          <w:color w:val="auto"/>
        </w:rPr>
      </w:pPr>
    </w:p>
    <w:p>
      <w:pPr>
        <w:ind w:left="428" w:right="20"/>
        <w:spacing w:after="0" w:line="279" w:lineRule="auto"/>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color w:val="auto"/>
        </w:rPr>
        <w:t>From time to time the Company may become subject to various routine legal proceedings and other matters in the ordinary course of business, some of which may be covered in whole or in part by insurance. In management’s opinion, none of these matters will have a material adverse effect on the Company’s consolidated financial position, results of operations or cash flows.</w:t>
      </w:r>
    </w:p>
    <w:p>
      <w:pPr>
        <w:spacing w:after="0" w:line="156" w:lineRule="exact"/>
        <w:rPr>
          <w:rFonts w:ascii="Times New Roman" w:cs="Times New Roman" w:eastAsia="Times New Roman" w:hAnsi="Times New Roman"/>
          <w:sz w:val="12"/>
          <w:szCs w:val="12"/>
          <w:b w:val="1"/>
          <w:bCs w:val="1"/>
          <w:color w:val="auto"/>
        </w:rPr>
      </w:pPr>
    </w:p>
    <w:p>
      <w:pPr>
        <w:ind w:left="428" w:hanging="428"/>
        <w:spacing w:after="0"/>
        <w:tabs>
          <w:tab w:leader="none" w:pos="428" w:val="left"/>
        </w:tabs>
        <w:numPr>
          <w:ilvl w:val="0"/>
          <w:numId w:val="1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Subsequent Events</w:t>
      </w:r>
    </w:p>
    <w:p>
      <w:pPr>
        <w:spacing w:after="0" w:line="150" w:lineRule="exact"/>
        <w:rPr>
          <w:rFonts w:ascii="Times New Roman" w:cs="Times New Roman" w:eastAsia="Times New Roman" w:hAnsi="Times New Roman"/>
          <w:sz w:val="12"/>
          <w:szCs w:val="12"/>
          <w:color w:val="auto"/>
        </w:rPr>
      </w:pPr>
    </w:p>
    <w:p>
      <w:pPr>
        <w:ind w:left="428"/>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On December 18, 2024, Banzai International, Inc., a Delaware corporation, closed a previously announced merger, with ClearDoc, Inc., pursuant to an Agreement and Plan of Merger, date December 10, 2024.</w:t>
      </w:r>
    </w:p>
    <w:p>
      <w:pPr>
        <w:spacing w:after="0" w:line="150" w:lineRule="exact"/>
        <w:rPr>
          <w:sz w:val="20"/>
          <w:szCs w:val="20"/>
          <w:color w:val="auto"/>
        </w:rPr>
      </w:pPr>
    </w:p>
    <w:p>
      <w:pPr>
        <w:jc w:val="both"/>
        <w:ind w:left="428"/>
        <w:spacing w:after="0" w:line="265" w:lineRule="auto"/>
        <w:rPr>
          <w:sz w:val="20"/>
          <w:szCs w:val="20"/>
          <w:color w:val="auto"/>
        </w:rPr>
      </w:pPr>
      <w:r>
        <w:rPr>
          <w:rFonts w:ascii="Times New Roman" w:cs="Times New Roman" w:eastAsia="Times New Roman" w:hAnsi="Times New Roman"/>
          <w:sz w:val="12"/>
          <w:szCs w:val="12"/>
          <w:color w:val="auto"/>
        </w:rPr>
        <w:t>As of the effective time of the merger, each share of capital stock of ClearDoc issued and outstanding immediately prior to the merge (other than shares as to which dissenter’s rights have been properly exercised and certain other excluded shares) was converted into the right to receive Banzai Class A Common Stock, par value $0.0001 per share, and pre- funded warrants, each exercisable for one share of Banzai Class A Common Stock at an exercise price of $0.0001 issued in lieu thereof, in an amount equal to the quotient of $19,600,000 divided by the Conversion Price.</w:t>
      </w:r>
    </w:p>
    <w:p>
      <w:pPr>
        <w:spacing w:after="0" w:line="119"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78040" cy="571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548" w:right="299" w:bottom="1440" w:gutter="0" w:footer="0" w:header="0"/>
        </w:sectPr>
      </w:pPr>
    </w:p>
    <w:bookmarkStart w:id="47" w:name="page48"/>
    <w:bookmarkEnd w:id="47"/>
    <w:p>
      <w:pPr>
        <w:ind w:left="10688"/>
        <w:spacing w:after="0"/>
        <w:rPr>
          <w:sz w:val="20"/>
          <w:szCs w:val="20"/>
          <w:color w:val="auto"/>
        </w:rPr>
      </w:pPr>
      <w:r>
        <w:rPr>
          <w:rFonts w:ascii="Times New Roman" w:cs="Times New Roman" w:eastAsia="Times New Roman" w:hAnsi="Times New Roman"/>
          <w:sz w:val="12"/>
          <w:szCs w:val="12"/>
          <w:b w:val="1"/>
          <w:bCs w:val="1"/>
          <w:color w:val="auto"/>
        </w:rPr>
        <w:t>Exhibit 99.3</w:t>
      </w:r>
    </w:p>
    <w:p>
      <w:pPr>
        <w:spacing w:after="0" w:line="150" w:lineRule="exact"/>
        <w:rPr>
          <w:sz w:val="20"/>
          <w:szCs w:val="20"/>
          <w:color w:val="auto"/>
        </w:rPr>
      </w:pPr>
    </w:p>
    <w:p>
      <w:pPr>
        <w:jc w:val="center"/>
        <w:ind w:right="32"/>
        <w:spacing w:after="0"/>
        <w:rPr>
          <w:sz w:val="20"/>
          <w:szCs w:val="20"/>
          <w:color w:val="auto"/>
        </w:rPr>
      </w:pPr>
      <w:r>
        <w:rPr>
          <w:rFonts w:ascii="Times New Roman" w:cs="Times New Roman" w:eastAsia="Times New Roman" w:hAnsi="Times New Roman"/>
          <w:sz w:val="12"/>
          <w:szCs w:val="12"/>
          <w:b w:val="1"/>
          <w:bCs w:val="1"/>
          <w:color w:val="auto"/>
        </w:rPr>
        <w:t>BANZAI INTERNATIONAL INC</w:t>
      </w:r>
    </w:p>
    <w:p>
      <w:pPr>
        <w:spacing w:after="0" w:line="21" w:lineRule="exact"/>
        <w:rPr>
          <w:sz w:val="20"/>
          <w:szCs w:val="20"/>
          <w:color w:val="auto"/>
        </w:rPr>
      </w:pPr>
    </w:p>
    <w:p>
      <w:pPr>
        <w:jc w:val="center"/>
        <w:ind w:right="32"/>
        <w:spacing w:after="0"/>
        <w:rPr>
          <w:sz w:val="20"/>
          <w:szCs w:val="20"/>
          <w:color w:val="auto"/>
        </w:rPr>
      </w:pPr>
      <w:r>
        <w:rPr>
          <w:rFonts w:ascii="Times New Roman" w:cs="Times New Roman" w:eastAsia="Times New Roman" w:hAnsi="Times New Roman"/>
          <w:sz w:val="12"/>
          <w:szCs w:val="12"/>
          <w:b w:val="1"/>
          <w:bCs w:val="1"/>
          <w:color w:val="auto"/>
        </w:rPr>
        <w:t>UNAUDITED PRO FORMA CONDENSED COMBINED FINANCIAL INFORMATION</w:t>
      </w:r>
    </w:p>
    <w:p>
      <w:pPr>
        <w:spacing w:after="0" w:line="139" w:lineRule="exact"/>
        <w:rPr>
          <w:sz w:val="20"/>
          <w:szCs w:val="20"/>
          <w:color w:val="auto"/>
        </w:rPr>
      </w:pPr>
    </w:p>
    <w:p>
      <w:pPr>
        <w:jc w:val="both"/>
        <w:ind w:left="8" w:right="40"/>
        <w:spacing w:after="0" w:line="257" w:lineRule="auto"/>
        <w:rPr>
          <w:sz w:val="20"/>
          <w:szCs w:val="20"/>
          <w:color w:val="auto"/>
        </w:rPr>
      </w:pPr>
      <w:r>
        <w:rPr>
          <w:rFonts w:ascii="Times New Roman" w:cs="Times New Roman" w:eastAsia="Times New Roman" w:hAnsi="Times New Roman"/>
          <w:sz w:val="12"/>
          <w:szCs w:val="12"/>
          <w:color w:val="auto"/>
        </w:rPr>
        <w:t>On December 18, 2024 (the “Closing”), Banzai International, Inc., a Delaware corporation (“Banzai” or the “Company”), closed a previously announced merger (the “Merger”, the consummation of the Merger, the “Closing”) with ClearDoc, Inc., a Delaware corporation doing business as OpenReel (“OpenReel”), pursuant to an Agreement and Plan of Merger (the “Merger Agreement”), dated December 10, 2024, by and among the Company, OpenReel, certain stockholders of OpenReel (the “OpenReel Stockholders”), and Banzai Reel Acquisition, Inc., a Delaware corporation and wholly owned subsidiary of Banzai (“Merger Sub”), that was formed solely for purposes of consummating the Merger. On or prior to the Closing Date, the closing conditions as set forth in the Merger Agreement were satisfied or otherwise waived by the parties thereto, and upon Closing, the Merger Sub merged with and into OpenReel, with OpenReel being the surviving entity (the “Surviving Entity”) thereafter as a direct and wholly owned subsidiary of Banzai named “OpenReel, Inc.” (the “Acquisition”).</w:t>
      </w:r>
    </w:p>
    <w:p>
      <w:pPr>
        <w:spacing w:after="0" w:line="125" w:lineRule="exact"/>
        <w:rPr>
          <w:sz w:val="20"/>
          <w:szCs w:val="20"/>
          <w:color w:val="auto"/>
        </w:rPr>
      </w:pPr>
    </w:p>
    <w:p>
      <w:pPr>
        <w:jc w:val="both"/>
        <w:ind w:left="8" w:right="40"/>
        <w:spacing w:after="0" w:line="260" w:lineRule="auto"/>
        <w:rPr>
          <w:sz w:val="20"/>
          <w:szCs w:val="20"/>
          <w:color w:val="auto"/>
        </w:rPr>
      </w:pPr>
      <w:r>
        <w:rPr>
          <w:rFonts w:ascii="Times New Roman" w:cs="Times New Roman" w:eastAsia="Times New Roman" w:hAnsi="Times New Roman"/>
          <w:sz w:val="12"/>
          <w:szCs w:val="12"/>
          <w:color w:val="auto"/>
        </w:rPr>
        <w:t>At the effective time of the Merger (the “Effective Time”), each share of capital stock of OpenReel issued and outstanding immediately prior to the Effective Time (other than shares as to which dissenter’s rights have been properly exercised and certain other excluded shares) was converted into the right to receive Banzai Class A Common Stock, par value US$0.0001 per share (the “Banzai Class A Common Stock”), and pre-funded warrants, each exercisable for one (1) share of Banzai Class A Common Stock at an exercise price of US$0.0001 (the “Pre-Funded Warrants”) issued in lieu thereof, in an amount equal to the quotient of $19,600,000 divided by the Conversion Price (as defined in the Merger Agreement) (the “Merger Consideration”).</w:t>
      </w:r>
    </w:p>
    <w:p>
      <w:pPr>
        <w:spacing w:after="0" w:line="122" w:lineRule="exact"/>
        <w:rPr>
          <w:sz w:val="20"/>
          <w:szCs w:val="20"/>
          <w:color w:val="auto"/>
        </w:rPr>
      </w:pPr>
    </w:p>
    <w:p>
      <w:pPr>
        <w:jc w:val="both"/>
        <w:ind w:left="8" w:right="40"/>
        <w:spacing w:after="0" w:line="279" w:lineRule="auto"/>
        <w:rPr>
          <w:sz w:val="20"/>
          <w:szCs w:val="20"/>
          <w:color w:val="auto"/>
        </w:rPr>
      </w:pPr>
      <w:r>
        <w:rPr>
          <w:rFonts w:ascii="Times New Roman" w:cs="Times New Roman" w:eastAsia="Times New Roman" w:hAnsi="Times New Roman"/>
          <w:sz w:val="12"/>
          <w:szCs w:val="12"/>
          <w:color w:val="auto"/>
        </w:rPr>
        <w:t>The following unaudited pro forma condensed combined financial information presents the combination of the historical consolidated financial statements of Banzai and OpenReel and is intended to provide you with information about how the Acquisition might have affected Banzai’s historical financial statements.</w:t>
      </w:r>
    </w:p>
    <w:p>
      <w:pPr>
        <w:spacing w:after="0" w:line="111" w:lineRule="exact"/>
        <w:rPr>
          <w:sz w:val="20"/>
          <w:szCs w:val="20"/>
          <w:color w:val="auto"/>
        </w:rPr>
      </w:pPr>
    </w:p>
    <w:p>
      <w:pPr>
        <w:jc w:val="both"/>
        <w:ind w:left="8" w:right="40"/>
        <w:spacing w:after="0" w:line="265" w:lineRule="auto"/>
        <w:rPr>
          <w:sz w:val="20"/>
          <w:szCs w:val="20"/>
          <w:color w:val="auto"/>
        </w:rPr>
      </w:pPr>
      <w:r>
        <w:rPr>
          <w:rFonts w:ascii="Times New Roman" w:cs="Times New Roman" w:eastAsia="Times New Roman" w:hAnsi="Times New Roman"/>
          <w:sz w:val="12"/>
          <w:szCs w:val="12"/>
          <w:color w:val="auto"/>
        </w:rPr>
        <w:t>The unaudited pro forma condensed combined balance sheet, statements of operations for the nine months ended September 30, 2024, and year ended December 31, 2023, combines the historical statements of operations of Banzai and OpenReel for such periods on a pro forma basis as if the Acquisition and Financing Transaction had been consummated on January 1, 2023, the beginning of the earliest period presented. Both Banzai’s and OpenReel’s fiscal year ends on December 31. The pro forma condensed combined financial information is presented on the basis of Banzai’s fiscal year and combines the historical results of the fiscal periods of Banzai and OpenReel.</w:t>
      </w:r>
    </w:p>
    <w:p>
      <w:pPr>
        <w:spacing w:after="0" w:line="119"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The unaudited pro forma condensed combined financial statements constitute forward-looking information and are subject to certain risks and uncertainties that could cause actual results to differ materially from those anticipated</w:t>
      </w:r>
    </w:p>
    <w:p>
      <w:pPr>
        <w:spacing w:after="0" w:line="150"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The following unaudited pro forma condensed combined financial information gives effect to the following:</w:t>
      </w:r>
    </w:p>
    <w:p>
      <w:pPr>
        <w:spacing w:after="0" w:line="150" w:lineRule="exact"/>
        <w:rPr>
          <w:sz w:val="20"/>
          <w:szCs w:val="20"/>
          <w:color w:val="auto"/>
        </w:rPr>
      </w:pPr>
    </w:p>
    <w:p>
      <w:pPr>
        <w:ind w:left="348" w:hanging="348"/>
        <w:spacing w:after="0"/>
        <w:tabs>
          <w:tab w:leader="none" w:pos="348" w:val="left"/>
        </w:tabs>
        <w:numPr>
          <w:ilvl w:val="0"/>
          <w:numId w:val="1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Acquisition, inclusive of the following:</w:t>
      </w:r>
    </w:p>
    <w:p>
      <w:pPr>
        <w:spacing w:after="0" w:line="168" w:lineRule="exact"/>
        <w:rPr>
          <w:sz w:val="20"/>
          <w:szCs w:val="20"/>
          <w:color w:val="auto"/>
        </w:rPr>
      </w:pPr>
    </w:p>
    <w:p>
      <w:pPr>
        <w:ind w:left="28"/>
        <w:spacing w:after="0"/>
        <w:rPr>
          <w:sz w:val="20"/>
          <w:szCs w:val="20"/>
          <w:color w:val="auto"/>
        </w:rPr>
      </w:pPr>
      <w:r>
        <w:rPr>
          <w:rFonts w:ascii="Times New Roman" w:cs="Times New Roman" w:eastAsia="Times New Roman" w:hAnsi="Times New Roman"/>
          <w:sz w:val="12"/>
          <w:szCs w:val="12"/>
          <w:color w:val="auto"/>
        </w:rPr>
        <w:t>●Identification and reclassification of certain OpenReel historical financial information to conform to Banzai’s presentation of similar revenues and expenses; (see Note 2)</w:t>
      </w:r>
    </w:p>
    <w:p>
      <w:pPr>
        <w:spacing w:after="0" w:line="150" w:lineRule="exact"/>
        <w:rPr>
          <w:sz w:val="20"/>
          <w:szCs w:val="20"/>
          <w:color w:val="auto"/>
        </w:rPr>
      </w:pPr>
    </w:p>
    <w:p>
      <w:pPr>
        <w:ind w:left="28"/>
        <w:spacing w:after="0"/>
        <w:rPr>
          <w:sz w:val="20"/>
          <w:szCs w:val="20"/>
          <w:color w:val="auto"/>
        </w:rPr>
      </w:pPr>
      <w:r>
        <w:rPr>
          <w:rFonts w:ascii="Times New Roman" w:cs="Times New Roman" w:eastAsia="Times New Roman" w:hAnsi="Times New Roman"/>
          <w:sz w:val="12"/>
          <w:szCs w:val="12"/>
          <w:color w:val="auto"/>
        </w:rPr>
        <w:t>●As of this current report of the 8K/A. Other adjustments including expense associated with the allocation of the purchase price to the acquired assets (i.e. depreciation and amortization expense) is pending on the final acquisition accou</w:t>
      </w:r>
    </w:p>
    <w:p>
      <w:pPr>
        <w:spacing w:after="0" w:line="150"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 Estimates of the related income tax effects of the pro forma adjustments.</w:t>
      </w:r>
    </w:p>
    <w:p>
      <w:pPr>
        <w:spacing w:after="0" w:line="150" w:lineRule="exact"/>
        <w:rPr>
          <w:sz w:val="20"/>
          <w:szCs w:val="20"/>
          <w:color w:val="auto"/>
        </w:rPr>
      </w:pPr>
    </w:p>
    <w:p>
      <w:pPr>
        <w:jc w:val="both"/>
        <w:ind w:left="8" w:right="40"/>
        <w:spacing w:after="0" w:line="256" w:lineRule="auto"/>
        <w:rPr>
          <w:sz w:val="20"/>
          <w:szCs w:val="20"/>
          <w:color w:val="auto"/>
        </w:rPr>
      </w:pPr>
      <w:r>
        <w:rPr>
          <w:rFonts w:ascii="Times New Roman" w:cs="Times New Roman" w:eastAsia="Times New Roman" w:hAnsi="Times New Roman"/>
          <w:sz w:val="12"/>
          <w:szCs w:val="12"/>
          <w:color w:val="auto"/>
        </w:rPr>
        <w:t>The Acquisition was accounted for under the acquisition method of accounting in accordance with Accounting Standards Codification (“ASC”) Topic 805, Business Combinations (“ASC 805”). Under the acquisition method of accounting, the total estimated purchase price is to be allocated to the tangible and intangible assets acquired and liabilities assumed of OpenReel based on a preliminary estimate of their fair value. The preliminary allocation of the estimated purchase price is based upon management’s estimates based on information currently available and is subject to revision as a more detailed analysis is completed and additional information on the fair value of the assets and liabilities become available and final appraisals and analyses are completed. The Company is still evaluating the fair value of intangible assets including goodwill, and income taxes, in addition to ensuring all other assets and liabilities and contingencies have been identified and recorded. Differences between these preliminary estimates and the final acquisition accounting could occur and these differences could be material. A change in the fair value of the net assets of OpenReel may change the amount of the purchase price allocable to goodwill and could have a material impact on the accompanying unaudited pro forma condensed combined statements of operations.</w:t>
      </w:r>
    </w:p>
    <w:p>
      <w:pPr>
        <w:spacing w:after="0" w:line="125" w:lineRule="exact"/>
        <w:rPr>
          <w:sz w:val="20"/>
          <w:szCs w:val="20"/>
          <w:color w:val="auto"/>
        </w:rPr>
      </w:pPr>
    </w:p>
    <w:p>
      <w:pPr>
        <w:jc w:val="both"/>
        <w:ind w:left="8" w:right="40"/>
        <w:spacing w:after="0" w:line="256" w:lineRule="auto"/>
        <w:rPr>
          <w:sz w:val="20"/>
          <w:szCs w:val="20"/>
          <w:color w:val="auto"/>
        </w:rPr>
      </w:pPr>
      <w:r>
        <w:rPr>
          <w:rFonts w:ascii="Times New Roman" w:cs="Times New Roman" w:eastAsia="Times New Roman" w:hAnsi="Times New Roman"/>
          <w:sz w:val="12"/>
          <w:szCs w:val="12"/>
          <w:color w:val="auto"/>
        </w:rPr>
        <w:t>The pro forma financial information has been prepared by management in accordance with SEC Regulation S-X Article 11, Pro Forma Financial Information, as amended, and are not necessarily indicative of the financial position or results of operations that would have been realized if the aforementioned transactions had been completed on the dates indicated, nor is it indicative of future operating results or financial position. The pro forma adjustments are based upon available information and certain assumptions that Banzai believes are reasonable. Actual results and valuations may differ materially from the assumptions within the accompanying unaudited pro forma condensed combined financial statements. In addition, the unaudited pro forma condensed combined financial statements do not reflect any revenue enhancements, anticipated synergies, operating efficiencies, or cost savings that may be achieved related to the Acquisition, nor do they reflect any costs or expenditures that may be required to achieve any possible synergies. In addition, the unaudited pro forma condensed combined financial statements are not necessarily indicative of Banzai’s results of operations and financial position for any future period.</w:t>
      </w:r>
    </w:p>
    <w:p>
      <w:pPr>
        <w:spacing w:after="0" w:line="125" w:lineRule="exact"/>
        <w:rPr>
          <w:sz w:val="20"/>
          <w:szCs w:val="20"/>
          <w:color w:val="auto"/>
        </w:rPr>
      </w:pPr>
    </w:p>
    <w:p>
      <w:pPr>
        <w:jc w:val="both"/>
        <w:ind w:left="8" w:right="40"/>
        <w:spacing w:after="0" w:line="257" w:lineRule="auto"/>
        <w:rPr>
          <w:sz w:val="20"/>
          <w:szCs w:val="20"/>
          <w:color w:val="auto"/>
        </w:rPr>
      </w:pPr>
      <w:r>
        <w:rPr>
          <w:rFonts w:ascii="Times New Roman" w:cs="Times New Roman" w:eastAsia="Times New Roman" w:hAnsi="Times New Roman"/>
          <w:sz w:val="12"/>
          <w:szCs w:val="12"/>
          <w:color w:val="auto"/>
        </w:rPr>
        <w:t>The unaudited pro forma condensed combined financial information was derived from and should be read together with the accompanying notes to the unaudited pro forma condensed combined financial information, Banzai’s historical consolidated financial statements and accompanying notes and Management’s Discussion and Analysis of Financial Condition and Results of Operations included in its annual report on Form 10-K for the fiscal year ended December 31, 2023, and interim report on Form 10-Q as of and for the nine months ended September 30, 2024. The unaudited pro forma condensed combined financial information should also be read together with OpenReel’s historical audited consolidated statement of operations for the twelve months fiscal year ended December 31, 2023 and unaudited consolidated financial statements for the nine months ended September 30, 2024 and the related notes filed as an exhibit to this Current Report on Form 8-K/A as exhibit 99.1 and 99.2,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177800</wp:posOffset>
            </wp:positionV>
            <wp:extent cx="7178040" cy="571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48"/>
          </w:cols>
          <w:pgMar w:left="292" w:top="269" w:right="259" w:bottom="1440" w:gutter="0" w:footer="0" w:header="0"/>
        </w:sectPr>
      </w:pPr>
    </w:p>
    <w:bookmarkStart w:id="48" w:name="page49"/>
    <w:bookmarkEnd w:id="48"/>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BANZAI INTERNATIONAL INC.</w:t>
      </w:r>
    </w:p>
    <w:p>
      <w:pPr>
        <w:spacing w:after="0" w:line="2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UNAUDITED PRO FORMA CONDENSED COMBINED BALANCE SHEET</w:t>
      </w:r>
    </w:p>
    <w:p>
      <w:pPr>
        <w:spacing w:after="0" w:line="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AS OF SEPTEMBER 30, 2024</w:t>
      </w:r>
    </w:p>
    <w:p>
      <w:pPr>
        <w:spacing w:after="0" w:line="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(Amounts in millions, except per share amounts)</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31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60" w:type="dxa"/>
            <w:vAlign w:val="bottom"/>
            <w:gridSpan w:val="2"/>
          </w:tcPr>
          <w:p>
            <w:pPr>
              <w:jc w:val="right"/>
              <w:ind w:right="420"/>
              <w:spacing w:after="0"/>
              <w:rPr>
                <w:sz w:val="20"/>
                <w:szCs w:val="20"/>
                <w:color w:val="auto"/>
              </w:rPr>
            </w:pPr>
            <w:r>
              <w:rPr>
                <w:rFonts w:ascii="Times New Roman" w:cs="Times New Roman" w:eastAsia="Times New Roman" w:hAnsi="Times New Roman"/>
                <w:sz w:val="12"/>
                <w:szCs w:val="12"/>
                <w:b w:val="1"/>
                <w:bCs w:val="1"/>
                <w:color w:val="auto"/>
                <w:w w:val="96"/>
              </w:rPr>
              <w:t>Open Reel</w:t>
            </w:r>
          </w:p>
        </w:tc>
        <w:tc>
          <w:tcPr>
            <w:tcW w:w="120" w:type="dxa"/>
            <w:vAlign w:val="bottom"/>
          </w:tcPr>
          <w:p>
            <w:pPr>
              <w:spacing w:after="0"/>
              <w:rPr>
                <w:sz w:val="12"/>
                <w:szCs w:val="12"/>
                <w:color w:val="auto"/>
              </w:rPr>
            </w:pPr>
          </w:p>
        </w:tc>
        <w:tc>
          <w:tcPr>
            <w:tcW w:w="900" w:type="dxa"/>
            <w:vAlign w:val="bottom"/>
            <w:gridSpan w:val="2"/>
          </w:tcPr>
          <w:p>
            <w:pPr>
              <w:jc w:val="right"/>
              <w:ind w:right="500"/>
              <w:spacing w:after="0"/>
              <w:rPr>
                <w:sz w:val="20"/>
                <w:szCs w:val="20"/>
                <w:color w:val="auto"/>
              </w:rPr>
            </w:pPr>
            <w:r>
              <w:rPr>
                <w:rFonts w:ascii="Times New Roman" w:cs="Times New Roman" w:eastAsia="Times New Roman" w:hAnsi="Times New Roman"/>
                <w:sz w:val="12"/>
                <w:szCs w:val="12"/>
                <w:b w:val="1"/>
                <w:bCs w:val="1"/>
                <w:color w:val="auto"/>
              </w:rPr>
              <w:t>Banzai</w:t>
            </w:r>
          </w:p>
        </w:tc>
        <w:tc>
          <w:tcPr>
            <w:tcW w:w="1180" w:type="dxa"/>
            <w:vAlign w:val="bottom"/>
            <w:gridSpan w:val="4"/>
          </w:tcPr>
          <w:p>
            <w:pPr>
              <w:ind w:left="40"/>
              <w:spacing w:after="0"/>
              <w:rPr>
                <w:sz w:val="20"/>
                <w:szCs w:val="20"/>
                <w:color w:val="auto"/>
              </w:rPr>
            </w:pPr>
            <w:r>
              <w:rPr>
                <w:rFonts w:ascii="Times New Roman" w:cs="Times New Roman" w:eastAsia="Times New Roman" w:hAnsi="Times New Roman"/>
                <w:sz w:val="12"/>
                <w:szCs w:val="12"/>
                <w:b w:val="1"/>
                <w:bCs w:val="1"/>
                <w:color w:val="auto"/>
              </w:rPr>
              <w:t>Transaction</w:t>
            </w: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60" w:type="dxa"/>
            <w:vAlign w:val="bottom"/>
            <w:gridSpan w:val="3"/>
          </w:tcPr>
          <w:p>
            <w:pPr>
              <w:ind w:left="20"/>
              <w:spacing w:after="0"/>
              <w:rPr>
                <w:sz w:val="20"/>
                <w:szCs w:val="20"/>
                <w:color w:val="auto"/>
              </w:rPr>
            </w:pPr>
            <w:r>
              <w:rPr>
                <w:rFonts w:ascii="Times New Roman" w:cs="Times New Roman" w:eastAsia="Times New Roman" w:hAnsi="Times New Roman"/>
                <w:sz w:val="12"/>
                <w:szCs w:val="12"/>
                <w:b w:val="1"/>
                <w:bCs w:val="1"/>
                <w:color w:val="auto"/>
              </w:rPr>
              <w:t>Consolidation</w:t>
            </w: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gridSpan w:val="3"/>
          </w:tcPr>
          <w:p>
            <w:pPr>
              <w:jc w:val="right"/>
              <w:ind w:right="160"/>
              <w:spacing w:after="0"/>
              <w:rPr>
                <w:sz w:val="20"/>
                <w:szCs w:val="20"/>
                <w:color w:val="auto"/>
              </w:rPr>
            </w:pPr>
            <w:r>
              <w:rPr>
                <w:rFonts w:ascii="Times New Roman" w:cs="Times New Roman" w:eastAsia="Times New Roman" w:hAnsi="Times New Roman"/>
                <w:sz w:val="12"/>
                <w:szCs w:val="12"/>
                <w:b w:val="1"/>
                <w:bCs w:val="1"/>
                <w:color w:val="auto"/>
              </w:rPr>
              <w:t>Pro Forma</w:t>
            </w:r>
          </w:p>
        </w:tc>
      </w:tr>
      <w:tr>
        <w:trPr>
          <w:trHeight w:val="159"/>
        </w:trPr>
        <w:tc>
          <w:tcPr>
            <w:tcW w:w="312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020" w:type="dxa"/>
            <w:vAlign w:val="bottom"/>
            <w:gridSpan w:val="3"/>
          </w:tcPr>
          <w:p>
            <w:pPr>
              <w:jc w:val="right"/>
              <w:ind w:right="400"/>
              <w:spacing w:after="0"/>
              <w:rPr>
                <w:sz w:val="20"/>
                <w:szCs w:val="20"/>
                <w:color w:val="auto"/>
              </w:rPr>
            </w:pPr>
            <w:r>
              <w:rPr>
                <w:rFonts w:ascii="Times New Roman" w:cs="Times New Roman" w:eastAsia="Times New Roman" w:hAnsi="Times New Roman"/>
                <w:sz w:val="12"/>
                <w:szCs w:val="12"/>
                <w:b w:val="1"/>
                <w:bCs w:val="1"/>
                <w:color w:val="auto"/>
              </w:rPr>
              <w:t>(Historical)</w:t>
            </w:r>
          </w:p>
        </w:tc>
        <w:tc>
          <w:tcPr>
            <w:tcW w:w="1020" w:type="dxa"/>
            <w:vAlign w:val="bottom"/>
            <w:gridSpan w:val="3"/>
          </w:tcPr>
          <w:p>
            <w:pPr>
              <w:jc w:val="right"/>
              <w:ind w:right="380"/>
              <w:spacing w:after="0"/>
              <w:rPr>
                <w:sz w:val="20"/>
                <w:szCs w:val="20"/>
                <w:color w:val="auto"/>
              </w:rPr>
            </w:pPr>
            <w:r>
              <w:rPr>
                <w:rFonts w:ascii="Times New Roman" w:cs="Times New Roman" w:eastAsia="Times New Roman" w:hAnsi="Times New Roman"/>
                <w:sz w:val="12"/>
                <w:szCs w:val="12"/>
                <w:b w:val="1"/>
                <w:bCs w:val="1"/>
                <w:color w:val="auto"/>
              </w:rPr>
              <w:t>(Historical)</w:t>
            </w:r>
          </w:p>
        </w:tc>
        <w:tc>
          <w:tcPr>
            <w:tcW w:w="1180" w:type="dxa"/>
            <w:vAlign w:val="bottom"/>
            <w:gridSpan w:val="4"/>
          </w:tcPr>
          <w:p>
            <w:pPr>
              <w:spacing w:after="0"/>
              <w:rPr>
                <w:sz w:val="20"/>
                <w:szCs w:val="20"/>
                <w:color w:val="auto"/>
              </w:rPr>
            </w:pPr>
            <w:r>
              <w:rPr>
                <w:rFonts w:ascii="Times New Roman" w:cs="Times New Roman" w:eastAsia="Times New Roman" w:hAnsi="Times New Roman"/>
                <w:sz w:val="12"/>
                <w:szCs w:val="12"/>
                <w:b w:val="1"/>
                <w:bCs w:val="1"/>
                <w:color w:val="auto"/>
              </w:rPr>
              <w:t>Adjustments</w:t>
            </w:r>
          </w:p>
        </w:tc>
        <w:tc>
          <w:tcPr>
            <w:tcW w:w="820" w:type="dxa"/>
            <w:vAlign w:val="bottom"/>
            <w:gridSpan w:val="2"/>
          </w:tcPr>
          <w:p>
            <w:pPr>
              <w:jc w:val="center"/>
              <w:ind w:right="380"/>
              <w:spacing w:after="0"/>
              <w:rPr>
                <w:sz w:val="20"/>
                <w:szCs w:val="20"/>
                <w:color w:val="auto"/>
              </w:rPr>
            </w:pPr>
            <w:r>
              <w:rPr>
                <w:rFonts w:ascii="Times New Roman" w:cs="Times New Roman" w:eastAsia="Times New Roman" w:hAnsi="Times New Roman"/>
                <w:sz w:val="12"/>
                <w:szCs w:val="12"/>
                <w:b w:val="1"/>
                <w:bCs w:val="1"/>
                <w:color w:val="auto"/>
                <w:w w:val="97"/>
              </w:rPr>
              <w:t>Notes</w:t>
            </w:r>
          </w:p>
        </w:tc>
        <w:tc>
          <w:tcPr>
            <w:tcW w:w="120" w:type="dxa"/>
            <w:vAlign w:val="bottom"/>
          </w:tcPr>
          <w:p>
            <w:pPr>
              <w:spacing w:after="0"/>
              <w:rPr>
                <w:sz w:val="13"/>
                <w:szCs w:val="13"/>
                <w:color w:val="auto"/>
              </w:rPr>
            </w:pPr>
          </w:p>
        </w:tc>
        <w:tc>
          <w:tcPr>
            <w:tcW w:w="940" w:type="dxa"/>
            <w:vAlign w:val="bottom"/>
            <w:gridSpan w:val="2"/>
          </w:tcPr>
          <w:p>
            <w:pPr>
              <w:jc w:val="right"/>
              <w:ind w:right="500"/>
              <w:spacing w:after="0"/>
              <w:rPr>
                <w:sz w:val="20"/>
                <w:szCs w:val="20"/>
                <w:color w:val="auto"/>
              </w:rPr>
            </w:pPr>
            <w:r>
              <w:rPr>
                <w:rFonts w:ascii="Times New Roman" w:cs="Times New Roman" w:eastAsia="Times New Roman" w:hAnsi="Times New Roman"/>
                <w:sz w:val="12"/>
                <w:szCs w:val="12"/>
                <w:b w:val="1"/>
                <w:bCs w:val="1"/>
                <w:color w:val="auto"/>
              </w:rPr>
              <w:t>Entries</w:t>
            </w:r>
          </w:p>
        </w:tc>
        <w:tc>
          <w:tcPr>
            <w:tcW w:w="1000" w:type="dxa"/>
            <w:vAlign w:val="bottom"/>
            <w:gridSpan w:val="2"/>
          </w:tcPr>
          <w:p>
            <w:pPr>
              <w:jc w:val="center"/>
              <w:ind w:right="240"/>
              <w:spacing w:after="0"/>
              <w:rPr>
                <w:sz w:val="20"/>
                <w:szCs w:val="20"/>
                <w:color w:val="auto"/>
              </w:rPr>
            </w:pPr>
            <w:r>
              <w:rPr>
                <w:rFonts w:ascii="Times New Roman" w:cs="Times New Roman" w:eastAsia="Times New Roman" w:hAnsi="Times New Roman"/>
                <w:sz w:val="12"/>
                <w:szCs w:val="12"/>
                <w:b w:val="1"/>
                <w:bCs w:val="1"/>
                <w:color w:val="auto"/>
                <w:w w:val="97"/>
              </w:rPr>
              <w:t>Notes</w:t>
            </w:r>
          </w:p>
        </w:tc>
        <w:tc>
          <w:tcPr>
            <w:tcW w:w="60" w:type="dxa"/>
            <w:vAlign w:val="bottom"/>
          </w:tcPr>
          <w:p>
            <w:pPr>
              <w:spacing w:after="0"/>
              <w:rPr>
                <w:sz w:val="13"/>
                <w:szCs w:val="13"/>
                <w:color w:val="auto"/>
              </w:rPr>
            </w:pP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b w:val="1"/>
                <w:bCs w:val="1"/>
                <w:color w:val="auto"/>
                <w:w w:val="97"/>
              </w:rPr>
              <w:t>Combined</w:t>
            </w:r>
          </w:p>
        </w:tc>
      </w:tr>
      <w:tr>
        <w:trPr>
          <w:trHeight w:val="133"/>
        </w:trPr>
        <w:tc>
          <w:tcPr>
            <w:tcW w:w="3120" w:type="dxa"/>
            <w:vAlign w:val="bottom"/>
            <w:tcBorders>
              <w:top w:val="single" w:sz="8" w:color="CCEEFF"/>
            </w:tcBorders>
            <w:shd w:val="clear" w:color="auto" w:fill="CCEEFF"/>
          </w:tcPr>
          <w:p>
            <w:pPr>
              <w:spacing w:after="0" w:line="133" w:lineRule="exact"/>
              <w:rPr>
                <w:sz w:val="20"/>
                <w:szCs w:val="20"/>
                <w:color w:val="auto"/>
              </w:rPr>
            </w:pPr>
            <w:r>
              <w:rPr>
                <w:rFonts w:ascii="Times New Roman" w:cs="Times New Roman" w:eastAsia="Times New Roman" w:hAnsi="Times New Roman"/>
                <w:sz w:val="12"/>
                <w:szCs w:val="12"/>
                <w:b w:val="1"/>
                <w:bCs w:val="1"/>
                <w:color w:val="auto"/>
              </w:rPr>
              <w:t>Assets</w:t>
            </w:r>
          </w:p>
        </w:tc>
        <w:tc>
          <w:tcPr>
            <w:tcW w:w="130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spacing w:after="0"/>
              <w:rPr>
                <w:sz w:val="11"/>
                <w:szCs w:val="11"/>
                <w:color w:val="auto"/>
              </w:rPr>
            </w:pPr>
          </w:p>
        </w:tc>
        <w:tc>
          <w:tcPr>
            <w:tcW w:w="34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560" w:type="dxa"/>
            <w:vAlign w:val="bottom"/>
            <w:tcBorders>
              <w:top w:val="single" w:sz="8" w:color="auto"/>
            </w:tcBorders>
            <w:shd w:val="clear" w:color="auto" w:fill="CCEEFF"/>
          </w:tcPr>
          <w:p>
            <w:pPr>
              <w:spacing w:after="0"/>
              <w:rPr>
                <w:sz w:val="11"/>
                <w:szCs w:val="11"/>
                <w:color w:val="auto"/>
              </w:rPr>
            </w:pPr>
          </w:p>
        </w:tc>
        <w:tc>
          <w:tcPr>
            <w:tcW w:w="34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auto"/>
            </w:tcBorders>
            <w:shd w:val="clear" w:color="auto" w:fill="CCEEFF"/>
          </w:tcPr>
          <w:p>
            <w:pPr>
              <w:spacing w:after="0"/>
              <w:rPr>
                <w:sz w:val="11"/>
                <w:szCs w:val="11"/>
                <w:color w:val="auto"/>
              </w:rPr>
            </w:pPr>
          </w:p>
        </w:tc>
        <w:tc>
          <w:tcPr>
            <w:tcW w:w="460" w:type="dxa"/>
            <w:vAlign w:val="bottom"/>
            <w:tcBorders>
              <w:top w:val="single" w:sz="8" w:color="auto"/>
            </w:tcBorders>
            <w:shd w:val="clear" w:color="auto" w:fill="CCEEFF"/>
          </w:tcPr>
          <w:p>
            <w:pPr>
              <w:spacing w:after="0"/>
              <w:rPr>
                <w:sz w:val="11"/>
                <w:szCs w:val="11"/>
                <w:color w:val="auto"/>
              </w:rPr>
            </w:pPr>
          </w:p>
        </w:tc>
        <w:tc>
          <w:tcPr>
            <w:tcW w:w="34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rPr>
                <w:sz w:val="11"/>
                <w:szCs w:val="11"/>
                <w:color w:val="auto"/>
              </w:rPr>
            </w:pPr>
          </w:p>
        </w:tc>
        <w:tc>
          <w:tcPr>
            <w:tcW w:w="600" w:type="dxa"/>
            <w:vAlign w:val="bottom"/>
            <w:tcBorders>
              <w:top w:val="single" w:sz="8" w:color="auto"/>
            </w:tcBorders>
            <w:shd w:val="clear" w:color="auto" w:fill="CCEEFF"/>
          </w:tcPr>
          <w:p>
            <w:pPr>
              <w:spacing w:after="0"/>
              <w:rPr>
                <w:sz w:val="11"/>
                <w:szCs w:val="11"/>
                <w:color w:val="auto"/>
              </w:rPr>
            </w:pPr>
          </w:p>
        </w:tc>
        <w:tc>
          <w:tcPr>
            <w:tcW w:w="22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600" w:type="dxa"/>
            <w:vAlign w:val="bottom"/>
            <w:tcBorders>
              <w:top w:val="single" w:sz="8" w:color="auto"/>
            </w:tcBorders>
            <w:shd w:val="clear" w:color="auto" w:fill="CCEEFF"/>
          </w:tcPr>
          <w:p>
            <w:pPr>
              <w:spacing w:after="0"/>
              <w:rPr>
                <w:sz w:val="11"/>
                <w:szCs w:val="11"/>
                <w:color w:val="auto"/>
              </w:rPr>
            </w:pPr>
          </w:p>
        </w:tc>
        <w:tc>
          <w:tcPr>
            <w:tcW w:w="340" w:type="dxa"/>
            <w:vAlign w:val="bottom"/>
            <w:tcBorders>
              <w:top w:val="single" w:sz="8" w:color="CCEEFF"/>
            </w:tcBorders>
            <w:shd w:val="clear" w:color="auto" w:fill="CCEEFF"/>
          </w:tcPr>
          <w:p>
            <w:pPr>
              <w:spacing w:after="0"/>
              <w:rPr>
                <w:sz w:val="11"/>
                <w:szCs w:val="11"/>
                <w:color w:val="auto"/>
              </w:rPr>
            </w:pPr>
          </w:p>
        </w:tc>
        <w:tc>
          <w:tcPr>
            <w:tcW w:w="780" w:type="dxa"/>
            <w:vAlign w:val="bottom"/>
            <w:tcBorders>
              <w:top w:val="single" w:sz="8" w:color="auto"/>
            </w:tcBorders>
            <w:shd w:val="clear" w:color="auto" w:fill="CCEEFF"/>
          </w:tcPr>
          <w:p>
            <w:pPr>
              <w:spacing w:after="0"/>
              <w:rPr>
                <w:sz w:val="11"/>
                <w:szCs w:val="11"/>
                <w:color w:val="auto"/>
              </w:rPr>
            </w:pPr>
          </w:p>
        </w:tc>
        <w:tc>
          <w:tcPr>
            <w:tcW w:w="22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60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r>
      <w:tr>
        <w:trPr>
          <w:trHeight w:val="144"/>
        </w:trPr>
        <w:tc>
          <w:tcPr>
            <w:tcW w:w="312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Cash and Cash Equivalents</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960" w:type="dxa"/>
            <w:vAlign w:val="bottom"/>
            <w:gridSpan w:val="2"/>
          </w:tcPr>
          <w:p>
            <w:pPr>
              <w:jc w:val="right"/>
              <w:ind w:right="340"/>
              <w:spacing w:after="0"/>
              <w:rPr>
                <w:sz w:val="20"/>
                <w:szCs w:val="20"/>
                <w:color w:val="auto"/>
              </w:rPr>
            </w:pPr>
            <w:r>
              <w:rPr>
                <w:rFonts w:ascii="Times New Roman" w:cs="Times New Roman" w:eastAsia="Times New Roman" w:hAnsi="Times New Roman"/>
                <w:sz w:val="12"/>
                <w:szCs w:val="12"/>
                <w:color w:val="auto"/>
              </w:rPr>
              <w:t>611</w:t>
            </w:r>
          </w:p>
        </w:tc>
        <w:tc>
          <w:tcPr>
            <w:tcW w:w="120" w:type="dxa"/>
            <w:vAlign w:val="bottom"/>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gridSpan w:val="2"/>
          </w:tcPr>
          <w:p>
            <w:pPr>
              <w:jc w:val="right"/>
              <w:ind w:right="320"/>
              <w:spacing w:after="0"/>
              <w:rPr>
                <w:sz w:val="20"/>
                <w:szCs w:val="20"/>
                <w:color w:val="auto"/>
              </w:rPr>
            </w:pPr>
            <w:r>
              <w:rPr>
                <w:rFonts w:ascii="Times New Roman" w:cs="Times New Roman" w:eastAsia="Times New Roman" w:hAnsi="Times New Roman"/>
                <w:sz w:val="12"/>
                <w:szCs w:val="12"/>
                <w:color w:val="auto"/>
              </w:rPr>
              <w:t>4,264</w:t>
            </w:r>
          </w:p>
        </w:tc>
        <w:tc>
          <w:tcPr>
            <w:tcW w:w="200" w:type="dxa"/>
            <w:vAlign w:val="bottom"/>
          </w:tcPr>
          <w:p>
            <w:pPr>
              <w:spacing w:after="0"/>
              <w:rPr>
                <w:sz w:val="20"/>
                <w:szCs w:val="20"/>
                <w:color w:val="auto"/>
              </w:rPr>
            </w:pPr>
            <w:r>
              <w:rPr>
                <w:rFonts w:ascii="Times New Roman" w:cs="Times New Roman" w:eastAsia="Times New Roman" w:hAnsi="Times New Roman"/>
                <w:sz w:val="12"/>
                <w:szCs w:val="12"/>
                <w:color w:val="auto"/>
              </w:rPr>
              <w:t>$</w:t>
            </w:r>
          </w:p>
        </w:tc>
        <w:tc>
          <w:tcPr>
            <w:tcW w:w="800" w:type="dxa"/>
            <w:vAlign w:val="bottom"/>
            <w:gridSpan w:val="2"/>
          </w:tcPr>
          <w:p>
            <w:pPr>
              <w:jc w:val="right"/>
              <w:ind w:right="34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w:t>
            </w:r>
          </w:p>
        </w:tc>
        <w:tc>
          <w:tcPr>
            <w:tcW w:w="940" w:type="dxa"/>
            <w:vAlign w:val="bottom"/>
            <w:gridSpan w:val="2"/>
          </w:tcPr>
          <w:p>
            <w:pPr>
              <w:jc w:val="right"/>
              <w:ind w:right="340"/>
              <w:spacing w:after="0"/>
              <w:rPr>
                <w:sz w:val="20"/>
                <w:szCs w:val="20"/>
                <w:color w:val="auto"/>
              </w:rPr>
            </w:pPr>
            <w:r>
              <w:rPr>
                <w:rFonts w:ascii="Times New Roman" w:cs="Times New Roman" w:eastAsia="Times New Roman" w:hAnsi="Times New Roman"/>
                <w:sz w:val="12"/>
                <w:szCs w:val="12"/>
                <w:color w:val="auto"/>
              </w:rPr>
              <w:t>-</w:t>
            </w: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4,875</w:t>
            </w:r>
          </w:p>
        </w:tc>
      </w:tr>
      <w:tr>
        <w:trPr>
          <w:trHeight w:val="144"/>
        </w:trPr>
        <w:tc>
          <w:tcPr>
            <w:tcW w:w="31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Accounts Receivables</w:t>
            </w:r>
          </w:p>
        </w:tc>
        <w:tc>
          <w:tcPr>
            <w:tcW w:w="13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2"/>
                <w:szCs w:val="12"/>
                <w:color w:val="auto"/>
              </w:rPr>
              <w:t>528</w:t>
            </w:r>
          </w:p>
        </w:tc>
        <w:tc>
          <w:tcPr>
            <w:tcW w:w="12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2"/>
                <w:szCs w:val="12"/>
                <w:color w:val="auto"/>
              </w:rPr>
              <w:t>37</w:t>
            </w:r>
          </w:p>
        </w:tc>
        <w:tc>
          <w:tcPr>
            <w:tcW w:w="2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2"/>
                <w:szCs w:val="12"/>
                <w:color w:val="auto"/>
              </w:rPr>
              <w:t>-</w:t>
            </w:r>
          </w:p>
        </w:tc>
        <w:tc>
          <w:tcPr>
            <w:tcW w:w="7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565</w:t>
            </w:r>
          </w:p>
        </w:tc>
      </w:tr>
      <w:tr>
        <w:trPr>
          <w:trHeight w:val="153"/>
        </w:trPr>
        <w:tc>
          <w:tcPr>
            <w:tcW w:w="312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Prepaid expenses and other current assets</w:t>
            </w:r>
          </w:p>
        </w:tc>
        <w:tc>
          <w:tcPr>
            <w:tcW w:w="1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60" w:type="dxa"/>
            <w:vAlign w:val="bottom"/>
            <w:gridSpan w:val="2"/>
          </w:tcPr>
          <w:p>
            <w:pPr>
              <w:jc w:val="right"/>
              <w:ind w:right="340"/>
              <w:spacing w:after="0"/>
              <w:rPr>
                <w:sz w:val="20"/>
                <w:szCs w:val="20"/>
                <w:color w:val="auto"/>
              </w:rPr>
            </w:pPr>
            <w:r>
              <w:rPr>
                <w:rFonts w:ascii="Times New Roman" w:cs="Times New Roman" w:eastAsia="Times New Roman" w:hAnsi="Times New Roman"/>
                <w:sz w:val="12"/>
                <w:szCs w:val="12"/>
                <w:color w:val="auto"/>
              </w:rPr>
              <w:t>532</w:t>
            </w:r>
          </w:p>
        </w:tc>
        <w:tc>
          <w:tcPr>
            <w:tcW w:w="120" w:type="dxa"/>
            <w:vAlign w:val="bottom"/>
          </w:tcPr>
          <w:p>
            <w:pPr>
              <w:spacing w:after="0"/>
              <w:rPr>
                <w:sz w:val="13"/>
                <w:szCs w:val="13"/>
                <w:color w:val="auto"/>
              </w:rPr>
            </w:pPr>
          </w:p>
        </w:tc>
        <w:tc>
          <w:tcPr>
            <w:tcW w:w="900" w:type="dxa"/>
            <w:vAlign w:val="bottom"/>
            <w:gridSpan w:val="2"/>
          </w:tcPr>
          <w:p>
            <w:pPr>
              <w:jc w:val="right"/>
              <w:ind w:right="320"/>
              <w:spacing w:after="0"/>
              <w:rPr>
                <w:sz w:val="20"/>
                <w:szCs w:val="20"/>
                <w:color w:val="auto"/>
              </w:rPr>
            </w:pPr>
            <w:r>
              <w:rPr>
                <w:rFonts w:ascii="Times New Roman" w:cs="Times New Roman" w:eastAsia="Times New Roman" w:hAnsi="Times New Roman"/>
                <w:sz w:val="12"/>
                <w:szCs w:val="12"/>
                <w:color w:val="auto"/>
              </w:rPr>
              <w:t>754</w:t>
            </w:r>
          </w:p>
        </w:tc>
        <w:tc>
          <w:tcPr>
            <w:tcW w:w="200" w:type="dxa"/>
            <w:vAlign w:val="bottom"/>
          </w:tcPr>
          <w:p>
            <w:pPr>
              <w:spacing w:after="0"/>
              <w:rPr>
                <w:sz w:val="13"/>
                <w:szCs w:val="13"/>
                <w:color w:val="auto"/>
              </w:rPr>
            </w:pPr>
          </w:p>
        </w:tc>
        <w:tc>
          <w:tcPr>
            <w:tcW w:w="800" w:type="dxa"/>
            <w:vAlign w:val="bottom"/>
            <w:gridSpan w:val="2"/>
          </w:tcPr>
          <w:p>
            <w:pPr>
              <w:jc w:val="right"/>
              <w:ind w:right="34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gridSpan w:val="2"/>
          </w:tcPr>
          <w:p>
            <w:pPr>
              <w:jc w:val="right"/>
              <w:ind w:right="340"/>
              <w:spacing w:after="0"/>
              <w:rPr>
                <w:sz w:val="20"/>
                <w:szCs w:val="20"/>
                <w:color w:val="auto"/>
              </w:rPr>
            </w:pPr>
            <w:r>
              <w:rPr>
                <w:rFonts w:ascii="Times New Roman" w:cs="Times New Roman" w:eastAsia="Times New Roman" w:hAnsi="Times New Roman"/>
                <w:sz w:val="12"/>
                <w:szCs w:val="12"/>
                <w:color w:val="auto"/>
              </w:rPr>
              <w:t>-</w:t>
            </w:r>
          </w:p>
        </w:tc>
        <w:tc>
          <w:tcPr>
            <w:tcW w:w="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1,286</w:t>
            </w:r>
          </w:p>
        </w:tc>
      </w:tr>
      <w:tr>
        <w:trPr>
          <w:trHeight w:val="133"/>
        </w:trPr>
        <w:tc>
          <w:tcPr>
            <w:tcW w:w="3120" w:type="dxa"/>
            <w:vAlign w:val="bottom"/>
            <w:tcBorders>
              <w:top w:val="single" w:sz="8" w:color="CCEEFF"/>
            </w:tcBorders>
            <w:shd w:val="clear" w:color="auto" w:fill="CCEEFF"/>
          </w:tcPr>
          <w:p>
            <w:pPr>
              <w:spacing w:after="0" w:line="133" w:lineRule="exact"/>
              <w:rPr>
                <w:sz w:val="20"/>
                <w:szCs w:val="20"/>
                <w:color w:val="auto"/>
              </w:rPr>
            </w:pPr>
            <w:r>
              <w:rPr>
                <w:rFonts w:ascii="Times New Roman" w:cs="Times New Roman" w:eastAsia="Times New Roman" w:hAnsi="Times New Roman"/>
                <w:sz w:val="12"/>
                <w:szCs w:val="12"/>
                <w:b w:val="1"/>
                <w:bCs w:val="1"/>
                <w:color w:val="auto"/>
              </w:rPr>
              <w:t>Current Assets</w:t>
            </w:r>
          </w:p>
        </w:tc>
        <w:tc>
          <w:tcPr>
            <w:tcW w:w="130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bottom w:val="single" w:sz="8" w:color="auto"/>
            </w:tcBorders>
            <w:shd w:val="clear" w:color="auto" w:fill="CCEEFF"/>
          </w:tcPr>
          <w:p>
            <w:pPr>
              <w:spacing w:after="0"/>
              <w:rPr>
                <w:sz w:val="11"/>
                <w:szCs w:val="11"/>
                <w:color w:val="auto"/>
              </w:rPr>
            </w:pPr>
          </w:p>
        </w:tc>
        <w:tc>
          <w:tcPr>
            <w:tcW w:w="62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1,671</w:t>
            </w:r>
          </w:p>
        </w:tc>
        <w:tc>
          <w:tcPr>
            <w:tcW w:w="34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bottom w:val="single" w:sz="8" w:color="auto"/>
            </w:tcBorders>
            <w:shd w:val="clear" w:color="auto" w:fill="CCEEFF"/>
          </w:tcPr>
          <w:p>
            <w:pPr>
              <w:spacing w:after="0"/>
              <w:rPr>
                <w:sz w:val="11"/>
                <w:szCs w:val="11"/>
                <w:color w:val="auto"/>
              </w:rPr>
            </w:pPr>
          </w:p>
        </w:tc>
        <w:tc>
          <w:tcPr>
            <w:tcW w:w="56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5,055</w:t>
            </w:r>
          </w:p>
        </w:tc>
        <w:tc>
          <w:tcPr>
            <w:tcW w:w="34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auto"/>
              <w:bottom w:val="single" w:sz="8" w:color="auto"/>
            </w:tcBorders>
            <w:shd w:val="clear" w:color="auto" w:fill="CCEEFF"/>
          </w:tcPr>
          <w:p>
            <w:pPr>
              <w:spacing w:after="0"/>
              <w:rPr>
                <w:sz w:val="11"/>
                <w:szCs w:val="11"/>
                <w:color w:val="auto"/>
              </w:rPr>
            </w:pPr>
          </w:p>
        </w:tc>
        <w:tc>
          <w:tcPr>
            <w:tcW w:w="46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w:t>
            </w:r>
          </w:p>
        </w:tc>
        <w:tc>
          <w:tcPr>
            <w:tcW w:w="34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CCEEFF"/>
            </w:tcBorders>
            <w:shd w:val="clear" w:color="auto" w:fill="CCEEFF"/>
          </w:tcPr>
          <w:p>
            <w:pPr>
              <w:spacing w:after="0"/>
              <w:rPr>
                <w:sz w:val="11"/>
                <w:szCs w:val="11"/>
                <w:color w:val="auto"/>
              </w:rPr>
            </w:pPr>
          </w:p>
        </w:tc>
        <w:tc>
          <w:tcPr>
            <w:tcW w:w="600" w:type="dxa"/>
            <w:vAlign w:val="bottom"/>
            <w:tcBorders>
              <w:top w:val="single" w:sz="8" w:color="CCEEFF"/>
            </w:tcBorders>
            <w:shd w:val="clear" w:color="auto" w:fill="CCEEFF"/>
          </w:tcPr>
          <w:p>
            <w:pPr>
              <w:spacing w:after="0"/>
              <w:rPr>
                <w:sz w:val="11"/>
                <w:szCs w:val="11"/>
                <w:color w:val="auto"/>
              </w:rPr>
            </w:pPr>
          </w:p>
        </w:tc>
        <w:tc>
          <w:tcPr>
            <w:tcW w:w="22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bottom w:val="single" w:sz="8" w:color="auto"/>
            </w:tcBorders>
            <w:shd w:val="clear" w:color="auto" w:fill="CCEEFF"/>
          </w:tcPr>
          <w:p>
            <w:pPr>
              <w:spacing w:after="0"/>
              <w:rPr>
                <w:sz w:val="11"/>
                <w:szCs w:val="11"/>
                <w:color w:val="auto"/>
              </w:rPr>
            </w:pPr>
          </w:p>
        </w:tc>
        <w:tc>
          <w:tcPr>
            <w:tcW w:w="60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w:t>
            </w:r>
          </w:p>
        </w:tc>
        <w:tc>
          <w:tcPr>
            <w:tcW w:w="340" w:type="dxa"/>
            <w:vAlign w:val="bottom"/>
            <w:tcBorders>
              <w:top w:val="single" w:sz="8" w:color="CCEEFF"/>
            </w:tcBorders>
            <w:shd w:val="clear" w:color="auto" w:fill="CCEEFF"/>
          </w:tcPr>
          <w:p>
            <w:pPr>
              <w:spacing w:after="0"/>
              <w:rPr>
                <w:sz w:val="11"/>
                <w:szCs w:val="11"/>
                <w:color w:val="auto"/>
              </w:rPr>
            </w:pPr>
          </w:p>
        </w:tc>
        <w:tc>
          <w:tcPr>
            <w:tcW w:w="780" w:type="dxa"/>
            <w:vAlign w:val="bottom"/>
            <w:tcBorders>
              <w:top w:val="single" w:sz="8" w:color="CCEEFF"/>
            </w:tcBorders>
            <w:shd w:val="clear" w:color="auto" w:fill="CCEEFF"/>
          </w:tcPr>
          <w:p>
            <w:pPr>
              <w:spacing w:after="0"/>
              <w:rPr>
                <w:sz w:val="11"/>
                <w:szCs w:val="11"/>
                <w:color w:val="auto"/>
              </w:rPr>
            </w:pPr>
          </w:p>
        </w:tc>
        <w:tc>
          <w:tcPr>
            <w:tcW w:w="22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bottom w:val="single" w:sz="8" w:color="auto"/>
            </w:tcBorders>
            <w:shd w:val="clear" w:color="auto" w:fill="CCEEFF"/>
          </w:tcPr>
          <w:p>
            <w:pPr>
              <w:spacing w:after="0"/>
              <w:rPr>
                <w:sz w:val="11"/>
                <w:szCs w:val="11"/>
                <w:color w:val="auto"/>
              </w:rPr>
            </w:pPr>
          </w:p>
        </w:tc>
        <w:tc>
          <w:tcPr>
            <w:tcW w:w="60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6,726</w:t>
            </w:r>
          </w:p>
        </w:tc>
        <w:tc>
          <w:tcPr>
            <w:tcW w:w="120" w:type="dxa"/>
            <w:vAlign w:val="bottom"/>
            <w:tcBorders>
              <w:top w:val="single" w:sz="8" w:color="CCEEFF"/>
            </w:tcBorders>
            <w:shd w:val="clear" w:color="auto" w:fill="CCEEFF"/>
          </w:tcPr>
          <w:p>
            <w:pPr>
              <w:spacing w:after="0"/>
              <w:rPr>
                <w:sz w:val="11"/>
                <w:szCs w:val="11"/>
                <w:color w:val="auto"/>
              </w:rPr>
            </w:pPr>
          </w:p>
        </w:tc>
      </w:tr>
      <w:tr>
        <w:trPr>
          <w:trHeight w:val="133"/>
        </w:trPr>
        <w:tc>
          <w:tcPr>
            <w:tcW w:w="312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44"/>
        </w:trPr>
        <w:tc>
          <w:tcPr>
            <w:tcW w:w="31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PP&amp;E</w:t>
            </w:r>
          </w:p>
        </w:tc>
        <w:tc>
          <w:tcPr>
            <w:tcW w:w="13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2"/>
                <w:szCs w:val="12"/>
                <w:color w:val="auto"/>
              </w:rPr>
              <w:t>4</w:t>
            </w:r>
          </w:p>
        </w:tc>
        <w:tc>
          <w:tcPr>
            <w:tcW w:w="12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2"/>
                <w:szCs w:val="12"/>
                <w:color w:val="auto"/>
              </w:rPr>
              <w:t>1</w:t>
            </w:r>
          </w:p>
        </w:tc>
        <w:tc>
          <w:tcPr>
            <w:tcW w:w="2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2"/>
                <w:szCs w:val="12"/>
                <w:color w:val="auto"/>
              </w:rPr>
              <w:t>-</w:t>
            </w:r>
          </w:p>
        </w:tc>
        <w:tc>
          <w:tcPr>
            <w:tcW w:w="7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5</w:t>
            </w:r>
          </w:p>
        </w:tc>
      </w:tr>
      <w:tr>
        <w:trPr>
          <w:trHeight w:val="144"/>
        </w:trPr>
        <w:tc>
          <w:tcPr>
            <w:tcW w:w="312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Operating Lease ROU</w:t>
            </w:r>
          </w:p>
        </w:tc>
        <w:tc>
          <w:tcPr>
            <w:tcW w:w="1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60" w:type="dxa"/>
            <w:vAlign w:val="bottom"/>
            <w:gridSpan w:val="2"/>
          </w:tcPr>
          <w:p>
            <w:pPr>
              <w:jc w:val="right"/>
              <w:ind w:right="34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2"/>
                <w:szCs w:val="12"/>
                <w:color w:val="auto"/>
              </w:rPr>
            </w:pPr>
          </w:p>
        </w:tc>
        <w:tc>
          <w:tcPr>
            <w:tcW w:w="900" w:type="dxa"/>
            <w:vAlign w:val="bottom"/>
            <w:gridSpan w:val="2"/>
          </w:tcPr>
          <w:p>
            <w:pPr>
              <w:jc w:val="right"/>
              <w:ind w:right="320"/>
              <w:spacing w:after="0"/>
              <w:rPr>
                <w:sz w:val="20"/>
                <w:szCs w:val="20"/>
                <w:color w:val="auto"/>
              </w:rPr>
            </w:pPr>
            <w:r>
              <w:rPr>
                <w:rFonts w:ascii="Times New Roman" w:cs="Times New Roman" w:eastAsia="Times New Roman" w:hAnsi="Times New Roman"/>
                <w:sz w:val="12"/>
                <w:szCs w:val="12"/>
                <w:color w:val="auto"/>
              </w:rPr>
              <w:t>2</w:t>
            </w:r>
          </w:p>
        </w:tc>
        <w:tc>
          <w:tcPr>
            <w:tcW w:w="200" w:type="dxa"/>
            <w:vAlign w:val="bottom"/>
          </w:tcPr>
          <w:p>
            <w:pPr>
              <w:spacing w:after="0"/>
              <w:rPr>
                <w:sz w:val="12"/>
                <w:szCs w:val="12"/>
                <w:color w:val="auto"/>
              </w:rPr>
            </w:pPr>
          </w:p>
        </w:tc>
        <w:tc>
          <w:tcPr>
            <w:tcW w:w="800" w:type="dxa"/>
            <w:vAlign w:val="bottom"/>
            <w:gridSpan w:val="2"/>
          </w:tcPr>
          <w:p>
            <w:pPr>
              <w:jc w:val="right"/>
              <w:ind w:right="34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tcPr>
          <w:p>
            <w:pPr>
              <w:jc w:val="right"/>
              <w:ind w:right="340"/>
              <w:spacing w:after="0"/>
              <w:rPr>
                <w:sz w:val="20"/>
                <w:szCs w:val="20"/>
                <w:color w:val="auto"/>
              </w:rPr>
            </w:pPr>
            <w:r>
              <w:rPr>
                <w:rFonts w:ascii="Times New Roman" w:cs="Times New Roman" w:eastAsia="Times New Roman" w:hAnsi="Times New Roman"/>
                <w:sz w:val="12"/>
                <w:szCs w:val="12"/>
                <w:color w:val="auto"/>
              </w:rPr>
              <w:t>-</w:t>
            </w: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2</w:t>
            </w:r>
          </w:p>
        </w:tc>
      </w:tr>
      <w:tr>
        <w:trPr>
          <w:trHeight w:val="144"/>
        </w:trPr>
        <w:tc>
          <w:tcPr>
            <w:tcW w:w="31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Investment in Open Reel</w:t>
            </w:r>
          </w:p>
        </w:tc>
        <w:tc>
          <w:tcPr>
            <w:tcW w:w="13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2"/>
                <w:szCs w:val="12"/>
                <w:color w:val="auto"/>
              </w:rPr>
              <w:t>19,600</w:t>
            </w:r>
          </w:p>
        </w:tc>
        <w:tc>
          <w:tcPr>
            <w:tcW w:w="1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center"/>
              <w:ind w:right="400"/>
              <w:spacing w:after="0"/>
              <w:rPr>
                <w:sz w:val="20"/>
                <w:szCs w:val="20"/>
                <w:color w:val="auto"/>
              </w:rPr>
            </w:pPr>
            <w:r>
              <w:rPr>
                <w:rFonts w:ascii="Times New Roman" w:cs="Times New Roman" w:eastAsia="Times New Roman" w:hAnsi="Times New Roman"/>
                <w:sz w:val="12"/>
                <w:szCs w:val="12"/>
                <w:color w:val="auto"/>
              </w:rPr>
              <w:t>(AA)</w:t>
            </w:r>
          </w:p>
        </w:tc>
        <w:tc>
          <w:tcPr>
            <w:tcW w:w="12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2"/>
                <w:szCs w:val="12"/>
                <w:color w:val="auto"/>
              </w:rPr>
              <w:t>(19,600)</w:t>
            </w:r>
          </w:p>
        </w:tc>
        <w:tc>
          <w:tcPr>
            <w:tcW w:w="1000" w:type="dxa"/>
            <w:vAlign w:val="bottom"/>
            <w:gridSpan w:val="2"/>
            <w:shd w:val="clear" w:color="auto" w:fill="CCEEFF"/>
          </w:tcPr>
          <w:p>
            <w:pPr>
              <w:jc w:val="center"/>
              <w:ind w:right="240"/>
              <w:spacing w:after="0"/>
              <w:rPr>
                <w:sz w:val="20"/>
                <w:szCs w:val="20"/>
                <w:color w:val="auto"/>
              </w:rPr>
            </w:pPr>
            <w:r>
              <w:rPr>
                <w:rFonts w:ascii="Times New Roman" w:cs="Times New Roman" w:eastAsia="Times New Roman" w:hAnsi="Times New Roman"/>
                <w:sz w:val="12"/>
                <w:szCs w:val="12"/>
                <w:color w:val="auto"/>
                <w:w w:val="99"/>
              </w:rPr>
              <w:t>(BB)</w:t>
            </w:r>
          </w:p>
        </w:tc>
        <w:tc>
          <w:tcPr>
            <w:tcW w:w="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r>
      <w:tr>
        <w:trPr>
          <w:trHeight w:val="144"/>
        </w:trPr>
        <w:tc>
          <w:tcPr>
            <w:tcW w:w="312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Technology</w:t>
            </w:r>
          </w:p>
        </w:tc>
        <w:tc>
          <w:tcPr>
            <w:tcW w:w="1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60" w:type="dxa"/>
            <w:vAlign w:val="bottom"/>
            <w:gridSpan w:val="2"/>
          </w:tcPr>
          <w:p>
            <w:pPr>
              <w:jc w:val="right"/>
              <w:ind w:right="34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2"/>
                <w:szCs w:val="12"/>
                <w:color w:val="auto"/>
              </w:rPr>
            </w:pPr>
          </w:p>
        </w:tc>
        <w:tc>
          <w:tcPr>
            <w:tcW w:w="900" w:type="dxa"/>
            <w:vAlign w:val="bottom"/>
            <w:gridSpan w:val="2"/>
          </w:tcPr>
          <w:p>
            <w:pPr>
              <w:jc w:val="right"/>
              <w:ind w:right="32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2"/>
                <w:szCs w:val="12"/>
                <w:color w:val="auto"/>
              </w:rPr>
            </w:pPr>
          </w:p>
        </w:tc>
        <w:tc>
          <w:tcPr>
            <w:tcW w:w="800" w:type="dxa"/>
            <w:vAlign w:val="bottom"/>
            <w:gridSpan w:val="2"/>
          </w:tcPr>
          <w:p>
            <w:pPr>
              <w:jc w:val="right"/>
              <w:ind w:right="34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tcPr>
          <w:p>
            <w:pPr>
              <w:jc w:val="right"/>
              <w:ind w:right="340"/>
              <w:spacing w:after="0"/>
              <w:rPr>
                <w:sz w:val="20"/>
                <w:szCs w:val="20"/>
                <w:color w:val="auto"/>
              </w:rPr>
            </w:pPr>
            <w:r>
              <w:rPr>
                <w:rFonts w:ascii="Times New Roman" w:cs="Times New Roman" w:eastAsia="Times New Roman" w:hAnsi="Times New Roman"/>
                <w:sz w:val="12"/>
                <w:szCs w:val="12"/>
                <w:color w:val="auto"/>
              </w:rPr>
              <w:t>-</w:t>
            </w: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r>
      <w:tr>
        <w:trPr>
          <w:trHeight w:val="144"/>
        </w:trPr>
        <w:tc>
          <w:tcPr>
            <w:tcW w:w="31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Trade names and trademarks</w:t>
            </w:r>
          </w:p>
        </w:tc>
        <w:tc>
          <w:tcPr>
            <w:tcW w:w="13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2"/>
                <w:szCs w:val="12"/>
                <w:color w:val="auto"/>
              </w:rPr>
              <w:t>-</w:t>
            </w:r>
          </w:p>
        </w:tc>
        <w:tc>
          <w:tcPr>
            <w:tcW w:w="7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r>
      <w:tr>
        <w:trPr>
          <w:trHeight w:val="144"/>
        </w:trPr>
        <w:tc>
          <w:tcPr>
            <w:tcW w:w="312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Customer relationships</w:t>
            </w:r>
          </w:p>
        </w:tc>
        <w:tc>
          <w:tcPr>
            <w:tcW w:w="1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60" w:type="dxa"/>
            <w:vAlign w:val="bottom"/>
            <w:gridSpan w:val="2"/>
          </w:tcPr>
          <w:p>
            <w:pPr>
              <w:jc w:val="right"/>
              <w:ind w:right="34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2"/>
                <w:szCs w:val="12"/>
                <w:color w:val="auto"/>
              </w:rPr>
            </w:pPr>
          </w:p>
        </w:tc>
        <w:tc>
          <w:tcPr>
            <w:tcW w:w="900" w:type="dxa"/>
            <w:vAlign w:val="bottom"/>
            <w:gridSpan w:val="2"/>
          </w:tcPr>
          <w:p>
            <w:pPr>
              <w:jc w:val="right"/>
              <w:ind w:right="32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2"/>
                <w:szCs w:val="12"/>
                <w:color w:val="auto"/>
              </w:rPr>
            </w:pPr>
          </w:p>
        </w:tc>
        <w:tc>
          <w:tcPr>
            <w:tcW w:w="800" w:type="dxa"/>
            <w:vAlign w:val="bottom"/>
            <w:gridSpan w:val="2"/>
          </w:tcPr>
          <w:p>
            <w:pPr>
              <w:jc w:val="right"/>
              <w:ind w:right="34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tcPr>
          <w:p>
            <w:pPr>
              <w:jc w:val="right"/>
              <w:ind w:right="340"/>
              <w:spacing w:after="0"/>
              <w:rPr>
                <w:sz w:val="20"/>
                <w:szCs w:val="20"/>
                <w:color w:val="auto"/>
              </w:rPr>
            </w:pPr>
            <w:r>
              <w:rPr>
                <w:rFonts w:ascii="Times New Roman" w:cs="Times New Roman" w:eastAsia="Times New Roman" w:hAnsi="Times New Roman"/>
                <w:sz w:val="12"/>
                <w:szCs w:val="12"/>
                <w:color w:val="auto"/>
              </w:rPr>
              <w:t>-</w:t>
            </w: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r>
      <w:tr>
        <w:trPr>
          <w:trHeight w:val="144"/>
        </w:trPr>
        <w:tc>
          <w:tcPr>
            <w:tcW w:w="31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Goodwill</w:t>
            </w:r>
          </w:p>
        </w:tc>
        <w:tc>
          <w:tcPr>
            <w:tcW w:w="13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2"/>
                <w:szCs w:val="12"/>
                <w:color w:val="auto"/>
              </w:rPr>
              <w:t>2,172</w:t>
            </w:r>
          </w:p>
        </w:tc>
        <w:tc>
          <w:tcPr>
            <w:tcW w:w="2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2"/>
                <w:szCs w:val="12"/>
                <w:color w:val="auto"/>
              </w:rPr>
              <w:t>20,793</w:t>
            </w:r>
          </w:p>
        </w:tc>
        <w:tc>
          <w:tcPr>
            <w:tcW w:w="1000" w:type="dxa"/>
            <w:vAlign w:val="bottom"/>
            <w:gridSpan w:val="2"/>
            <w:shd w:val="clear" w:color="auto" w:fill="CCEEFF"/>
          </w:tcPr>
          <w:p>
            <w:pPr>
              <w:jc w:val="center"/>
              <w:ind w:right="240"/>
              <w:spacing w:after="0"/>
              <w:rPr>
                <w:sz w:val="20"/>
                <w:szCs w:val="20"/>
                <w:color w:val="auto"/>
              </w:rPr>
            </w:pPr>
            <w:r>
              <w:rPr>
                <w:rFonts w:ascii="Times New Roman" w:cs="Times New Roman" w:eastAsia="Times New Roman" w:hAnsi="Times New Roman"/>
                <w:sz w:val="12"/>
                <w:szCs w:val="12"/>
                <w:color w:val="auto"/>
                <w:w w:val="99"/>
              </w:rPr>
              <w:t>(BB)</w:t>
            </w:r>
          </w:p>
        </w:tc>
        <w:tc>
          <w:tcPr>
            <w:tcW w:w="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22,964</w:t>
            </w:r>
          </w:p>
        </w:tc>
      </w:tr>
      <w:tr>
        <w:trPr>
          <w:trHeight w:val="153"/>
        </w:trPr>
        <w:tc>
          <w:tcPr>
            <w:tcW w:w="312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Other Assets</w:t>
            </w:r>
          </w:p>
        </w:tc>
        <w:tc>
          <w:tcPr>
            <w:tcW w:w="1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60" w:type="dxa"/>
            <w:vAlign w:val="bottom"/>
            <w:gridSpan w:val="2"/>
          </w:tcPr>
          <w:p>
            <w:pPr>
              <w:jc w:val="right"/>
              <w:ind w:right="340"/>
              <w:spacing w:after="0"/>
              <w:rPr>
                <w:sz w:val="20"/>
                <w:szCs w:val="20"/>
                <w:color w:val="auto"/>
              </w:rPr>
            </w:pPr>
            <w:r>
              <w:rPr>
                <w:rFonts w:ascii="Times New Roman" w:cs="Times New Roman" w:eastAsia="Times New Roman" w:hAnsi="Times New Roman"/>
                <w:sz w:val="12"/>
                <w:szCs w:val="12"/>
                <w:color w:val="auto"/>
              </w:rPr>
              <w:t>849</w:t>
            </w:r>
          </w:p>
        </w:tc>
        <w:tc>
          <w:tcPr>
            <w:tcW w:w="120" w:type="dxa"/>
            <w:vAlign w:val="bottom"/>
          </w:tcPr>
          <w:p>
            <w:pPr>
              <w:spacing w:after="0"/>
              <w:rPr>
                <w:sz w:val="13"/>
                <w:szCs w:val="13"/>
                <w:color w:val="auto"/>
              </w:rPr>
            </w:pPr>
          </w:p>
        </w:tc>
        <w:tc>
          <w:tcPr>
            <w:tcW w:w="900" w:type="dxa"/>
            <w:vAlign w:val="bottom"/>
            <w:gridSpan w:val="2"/>
          </w:tcPr>
          <w:p>
            <w:pPr>
              <w:jc w:val="right"/>
              <w:ind w:right="320"/>
              <w:spacing w:after="0"/>
              <w:rPr>
                <w:sz w:val="20"/>
                <w:szCs w:val="20"/>
                <w:color w:val="auto"/>
              </w:rPr>
            </w:pPr>
            <w:r>
              <w:rPr>
                <w:rFonts w:ascii="Times New Roman" w:cs="Times New Roman" w:eastAsia="Times New Roman" w:hAnsi="Times New Roman"/>
                <w:sz w:val="12"/>
                <w:szCs w:val="12"/>
                <w:color w:val="auto"/>
              </w:rPr>
              <w:t>82</w:t>
            </w:r>
          </w:p>
        </w:tc>
        <w:tc>
          <w:tcPr>
            <w:tcW w:w="200" w:type="dxa"/>
            <w:vAlign w:val="bottom"/>
          </w:tcPr>
          <w:p>
            <w:pPr>
              <w:spacing w:after="0"/>
              <w:rPr>
                <w:sz w:val="13"/>
                <w:szCs w:val="13"/>
                <w:color w:val="auto"/>
              </w:rPr>
            </w:pPr>
          </w:p>
        </w:tc>
        <w:tc>
          <w:tcPr>
            <w:tcW w:w="800" w:type="dxa"/>
            <w:vAlign w:val="bottom"/>
            <w:gridSpan w:val="2"/>
          </w:tcPr>
          <w:p>
            <w:pPr>
              <w:jc w:val="right"/>
              <w:ind w:right="34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gridSpan w:val="2"/>
          </w:tcPr>
          <w:p>
            <w:pPr>
              <w:jc w:val="right"/>
              <w:ind w:right="340"/>
              <w:spacing w:after="0"/>
              <w:rPr>
                <w:sz w:val="20"/>
                <w:szCs w:val="20"/>
                <w:color w:val="auto"/>
              </w:rPr>
            </w:pPr>
            <w:r>
              <w:rPr>
                <w:rFonts w:ascii="Times New Roman" w:cs="Times New Roman" w:eastAsia="Times New Roman" w:hAnsi="Times New Roman"/>
                <w:sz w:val="12"/>
                <w:szCs w:val="12"/>
                <w:color w:val="auto"/>
              </w:rPr>
              <w:t>-</w:t>
            </w:r>
          </w:p>
        </w:tc>
        <w:tc>
          <w:tcPr>
            <w:tcW w:w="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931</w:t>
            </w:r>
          </w:p>
        </w:tc>
      </w:tr>
      <w:tr>
        <w:trPr>
          <w:trHeight w:val="133"/>
        </w:trPr>
        <w:tc>
          <w:tcPr>
            <w:tcW w:w="3120" w:type="dxa"/>
            <w:vAlign w:val="bottom"/>
            <w:tcBorders>
              <w:top w:val="single" w:sz="8" w:color="CCEEFF"/>
            </w:tcBorders>
            <w:shd w:val="clear" w:color="auto" w:fill="CCEEFF"/>
          </w:tcPr>
          <w:p>
            <w:pPr>
              <w:spacing w:after="0" w:line="133" w:lineRule="exact"/>
              <w:rPr>
                <w:sz w:val="20"/>
                <w:szCs w:val="20"/>
                <w:color w:val="auto"/>
              </w:rPr>
            </w:pPr>
            <w:r>
              <w:rPr>
                <w:rFonts w:ascii="Times New Roman" w:cs="Times New Roman" w:eastAsia="Times New Roman" w:hAnsi="Times New Roman"/>
                <w:sz w:val="12"/>
                <w:szCs w:val="12"/>
                <w:b w:val="1"/>
                <w:bCs w:val="1"/>
                <w:color w:val="auto"/>
              </w:rPr>
              <w:t>Long-Term Assets</w:t>
            </w:r>
          </w:p>
        </w:tc>
        <w:tc>
          <w:tcPr>
            <w:tcW w:w="130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bottom w:val="single" w:sz="8" w:color="auto"/>
            </w:tcBorders>
            <w:shd w:val="clear" w:color="auto" w:fill="CCEEFF"/>
          </w:tcPr>
          <w:p>
            <w:pPr>
              <w:spacing w:after="0"/>
              <w:rPr>
                <w:sz w:val="11"/>
                <w:szCs w:val="11"/>
                <w:color w:val="auto"/>
              </w:rPr>
            </w:pPr>
          </w:p>
        </w:tc>
        <w:tc>
          <w:tcPr>
            <w:tcW w:w="62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853</w:t>
            </w:r>
          </w:p>
        </w:tc>
        <w:tc>
          <w:tcPr>
            <w:tcW w:w="34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bottom w:val="single" w:sz="8" w:color="auto"/>
            </w:tcBorders>
            <w:shd w:val="clear" w:color="auto" w:fill="CCEEFF"/>
          </w:tcPr>
          <w:p>
            <w:pPr>
              <w:spacing w:after="0"/>
              <w:rPr>
                <w:sz w:val="11"/>
                <w:szCs w:val="11"/>
                <w:color w:val="auto"/>
              </w:rPr>
            </w:pPr>
          </w:p>
        </w:tc>
        <w:tc>
          <w:tcPr>
            <w:tcW w:w="56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2,257</w:t>
            </w:r>
          </w:p>
        </w:tc>
        <w:tc>
          <w:tcPr>
            <w:tcW w:w="34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auto"/>
              <w:bottom w:val="single" w:sz="8" w:color="auto"/>
            </w:tcBorders>
            <w:shd w:val="clear" w:color="auto" w:fill="CCEEFF"/>
          </w:tcPr>
          <w:p>
            <w:pPr>
              <w:spacing w:after="0"/>
              <w:rPr>
                <w:sz w:val="11"/>
                <w:szCs w:val="11"/>
                <w:color w:val="auto"/>
              </w:rPr>
            </w:pPr>
          </w:p>
        </w:tc>
        <w:tc>
          <w:tcPr>
            <w:tcW w:w="46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19,600</w:t>
            </w:r>
          </w:p>
        </w:tc>
        <w:tc>
          <w:tcPr>
            <w:tcW w:w="34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CCEEFF"/>
            </w:tcBorders>
            <w:shd w:val="clear" w:color="auto" w:fill="CCEEFF"/>
          </w:tcPr>
          <w:p>
            <w:pPr>
              <w:spacing w:after="0"/>
              <w:rPr>
                <w:sz w:val="11"/>
                <w:szCs w:val="11"/>
                <w:color w:val="auto"/>
              </w:rPr>
            </w:pPr>
          </w:p>
        </w:tc>
        <w:tc>
          <w:tcPr>
            <w:tcW w:w="600" w:type="dxa"/>
            <w:vAlign w:val="bottom"/>
            <w:tcBorders>
              <w:top w:val="single" w:sz="8" w:color="CCEEFF"/>
            </w:tcBorders>
            <w:shd w:val="clear" w:color="auto" w:fill="CCEEFF"/>
          </w:tcPr>
          <w:p>
            <w:pPr>
              <w:spacing w:after="0"/>
              <w:rPr>
                <w:sz w:val="11"/>
                <w:szCs w:val="11"/>
                <w:color w:val="auto"/>
              </w:rPr>
            </w:pPr>
          </w:p>
        </w:tc>
        <w:tc>
          <w:tcPr>
            <w:tcW w:w="22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bottom w:val="single" w:sz="8" w:color="auto"/>
            </w:tcBorders>
            <w:shd w:val="clear" w:color="auto" w:fill="CCEEFF"/>
          </w:tcPr>
          <w:p>
            <w:pPr>
              <w:spacing w:after="0"/>
              <w:rPr>
                <w:sz w:val="11"/>
                <w:szCs w:val="11"/>
                <w:color w:val="auto"/>
              </w:rPr>
            </w:pPr>
          </w:p>
        </w:tc>
        <w:tc>
          <w:tcPr>
            <w:tcW w:w="60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1,193</w:t>
            </w:r>
          </w:p>
        </w:tc>
        <w:tc>
          <w:tcPr>
            <w:tcW w:w="340" w:type="dxa"/>
            <w:vAlign w:val="bottom"/>
            <w:tcBorders>
              <w:top w:val="single" w:sz="8" w:color="CCEEFF"/>
            </w:tcBorders>
            <w:shd w:val="clear" w:color="auto" w:fill="CCEEFF"/>
          </w:tcPr>
          <w:p>
            <w:pPr>
              <w:spacing w:after="0"/>
              <w:rPr>
                <w:sz w:val="11"/>
                <w:szCs w:val="11"/>
                <w:color w:val="auto"/>
              </w:rPr>
            </w:pPr>
          </w:p>
        </w:tc>
        <w:tc>
          <w:tcPr>
            <w:tcW w:w="780" w:type="dxa"/>
            <w:vAlign w:val="bottom"/>
            <w:tcBorders>
              <w:top w:val="single" w:sz="8" w:color="CCEEFF"/>
            </w:tcBorders>
            <w:shd w:val="clear" w:color="auto" w:fill="CCEEFF"/>
          </w:tcPr>
          <w:p>
            <w:pPr>
              <w:spacing w:after="0"/>
              <w:rPr>
                <w:sz w:val="11"/>
                <w:szCs w:val="11"/>
                <w:color w:val="auto"/>
              </w:rPr>
            </w:pPr>
          </w:p>
        </w:tc>
        <w:tc>
          <w:tcPr>
            <w:tcW w:w="22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bottom w:val="single" w:sz="8" w:color="auto"/>
            </w:tcBorders>
            <w:shd w:val="clear" w:color="auto" w:fill="CCEEFF"/>
          </w:tcPr>
          <w:p>
            <w:pPr>
              <w:spacing w:after="0"/>
              <w:rPr>
                <w:sz w:val="11"/>
                <w:szCs w:val="11"/>
                <w:color w:val="auto"/>
              </w:rPr>
            </w:pPr>
          </w:p>
        </w:tc>
        <w:tc>
          <w:tcPr>
            <w:tcW w:w="60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23,903</w:t>
            </w:r>
          </w:p>
        </w:tc>
        <w:tc>
          <w:tcPr>
            <w:tcW w:w="120" w:type="dxa"/>
            <w:vAlign w:val="bottom"/>
            <w:tcBorders>
              <w:top w:val="single" w:sz="8" w:color="CCEEFF"/>
            </w:tcBorders>
            <w:shd w:val="clear" w:color="auto" w:fill="CCEEFF"/>
          </w:tcPr>
          <w:p>
            <w:pPr>
              <w:spacing w:after="0"/>
              <w:rPr>
                <w:sz w:val="11"/>
                <w:szCs w:val="11"/>
                <w:color w:val="auto"/>
              </w:rPr>
            </w:pPr>
          </w:p>
        </w:tc>
      </w:tr>
      <w:tr>
        <w:trPr>
          <w:trHeight w:val="133"/>
        </w:trPr>
        <w:tc>
          <w:tcPr>
            <w:tcW w:w="312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69"/>
        </w:trPr>
        <w:tc>
          <w:tcPr>
            <w:tcW w:w="31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Total Assets</w:t>
            </w:r>
          </w:p>
        </w:tc>
        <w:tc>
          <w:tcPr>
            <w:tcW w:w="13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2"/>
                <w:szCs w:val="12"/>
                <w:color w:val="auto"/>
              </w:rPr>
              <w:t>2,524</w:t>
            </w:r>
          </w:p>
        </w:tc>
        <w:tc>
          <w:tcPr>
            <w:tcW w:w="12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2"/>
                <w:szCs w:val="12"/>
                <w:color w:val="auto"/>
              </w:rPr>
              <w:t>7,312</w:t>
            </w:r>
          </w:p>
        </w:tc>
        <w:tc>
          <w:tcPr>
            <w:tcW w:w="2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2"/>
                <w:szCs w:val="12"/>
                <w:color w:val="auto"/>
              </w:rPr>
              <w:t>19,600</w:t>
            </w:r>
          </w:p>
        </w:tc>
        <w:tc>
          <w:tcPr>
            <w:tcW w:w="1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2"/>
                <w:szCs w:val="12"/>
                <w:color w:val="auto"/>
              </w:rPr>
              <w:t>1,193</w:t>
            </w:r>
          </w:p>
        </w:tc>
        <w:tc>
          <w:tcPr>
            <w:tcW w:w="7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30,629</w:t>
            </w:r>
          </w:p>
        </w:tc>
      </w:tr>
      <w:tr>
        <w:trPr>
          <w:trHeight w:val="144"/>
        </w:trPr>
        <w:tc>
          <w:tcPr>
            <w:tcW w:w="3120" w:type="dxa"/>
            <w:vAlign w:val="bottom"/>
            <w:tcBorders>
              <w:top w:val="single" w:sz="8" w:color="CCEEFF"/>
            </w:tcBorders>
          </w:tcPr>
          <w:p>
            <w:pPr>
              <w:spacing w:after="0"/>
              <w:rPr>
                <w:sz w:val="12"/>
                <w:szCs w:val="12"/>
                <w:color w:val="auto"/>
              </w:rPr>
            </w:pPr>
          </w:p>
        </w:tc>
        <w:tc>
          <w:tcPr>
            <w:tcW w:w="1300" w:type="dxa"/>
            <w:vAlign w:val="bottom"/>
            <w:tcBorders>
              <w:top w:val="single" w:sz="8" w:color="CCEEFF"/>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340" w:type="dxa"/>
            <w:vAlign w:val="bottom"/>
            <w:tcBorders>
              <w:top w:val="single" w:sz="8" w:color="CCEEFF"/>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340" w:type="dxa"/>
            <w:vAlign w:val="bottom"/>
            <w:tcBorders>
              <w:top w:val="single" w:sz="8" w:color="CCEEFF"/>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340" w:type="dxa"/>
            <w:vAlign w:val="bottom"/>
            <w:tcBorders>
              <w:top w:val="single" w:sz="8" w:color="CCEEFF"/>
            </w:tcBorders>
          </w:tcPr>
          <w:p>
            <w:pPr>
              <w:spacing w:after="0"/>
              <w:rPr>
                <w:sz w:val="12"/>
                <w:szCs w:val="12"/>
                <w:color w:val="auto"/>
              </w:rPr>
            </w:pPr>
          </w:p>
        </w:tc>
        <w:tc>
          <w:tcPr>
            <w:tcW w:w="180" w:type="dxa"/>
            <w:vAlign w:val="bottom"/>
            <w:tcBorders>
              <w:top w:val="single" w:sz="8" w:color="CCEEFF"/>
            </w:tcBorders>
          </w:tcPr>
          <w:p>
            <w:pPr>
              <w:spacing w:after="0"/>
              <w:rPr>
                <w:sz w:val="12"/>
                <w:szCs w:val="12"/>
                <w:color w:val="auto"/>
              </w:rPr>
            </w:pPr>
          </w:p>
        </w:tc>
        <w:tc>
          <w:tcPr>
            <w:tcW w:w="600" w:type="dxa"/>
            <w:vAlign w:val="bottom"/>
            <w:tcBorders>
              <w:top w:val="single" w:sz="8" w:color="CCEEFF"/>
            </w:tcBorders>
          </w:tcPr>
          <w:p>
            <w:pPr>
              <w:spacing w:after="0"/>
              <w:rPr>
                <w:sz w:val="12"/>
                <w:szCs w:val="12"/>
                <w:color w:val="auto"/>
              </w:rPr>
            </w:pPr>
          </w:p>
        </w:tc>
        <w:tc>
          <w:tcPr>
            <w:tcW w:w="220" w:type="dxa"/>
            <w:vAlign w:val="bottom"/>
            <w:tcBorders>
              <w:top w:val="single" w:sz="8" w:color="CCEEFF"/>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340" w:type="dxa"/>
            <w:vAlign w:val="bottom"/>
            <w:tcBorders>
              <w:top w:val="single" w:sz="8" w:color="CCEEFF"/>
            </w:tcBorders>
          </w:tcPr>
          <w:p>
            <w:pPr>
              <w:spacing w:after="0"/>
              <w:rPr>
                <w:sz w:val="12"/>
                <w:szCs w:val="12"/>
                <w:color w:val="auto"/>
              </w:rPr>
            </w:pPr>
          </w:p>
        </w:tc>
        <w:tc>
          <w:tcPr>
            <w:tcW w:w="780" w:type="dxa"/>
            <w:vAlign w:val="bottom"/>
            <w:tcBorders>
              <w:top w:val="single" w:sz="8" w:color="CCEEFF"/>
            </w:tcBorders>
          </w:tcPr>
          <w:p>
            <w:pPr>
              <w:spacing w:after="0"/>
              <w:rPr>
                <w:sz w:val="12"/>
                <w:szCs w:val="12"/>
                <w:color w:val="auto"/>
              </w:rPr>
            </w:pPr>
          </w:p>
        </w:tc>
        <w:tc>
          <w:tcPr>
            <w:tcW w:w="220" w:type="dxa"/>
            <w:vAlign w:val="bottom"/>
            <w:tcBorders>
              <w:top w:val="single" w:sz="8" w:color="CCEEFF"/>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r>
      <w:tr>
        <w:trPr>
          <w:trHeight w:val="144"/>
        </w:trPr>
        <w:tc>
          <w:tcPr>
            <w:tcW w:w="31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Liabilities</w:t>
            </w:r>
          </w:p>
        </w:tc>
        <w:tc>
          <w:tcPr>
            <w:tcW w:w="13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r>
      <w:tr>
        <w:trPr>
          <w:trHeight w:val="144"/>
        </w:trPr>
        <w:tc>
          <w:tcPr>
            <w:tcW w:w="312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Accounts Payable</w:t>
            </w:r>
          </w:p>
        </w:tc>
        <w:tc>
          <w:tcPr>
            <w:tcW w:w="1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60" w:type="dxa"/>
            <w:vAlign w:val="bottom"/>
            <w:gridSpan w:val="2"/>
          </w:tcPr>
          <w:p>
            <w:pPr>
              <w:jc w:val="right"/>
              <w:ind w:right="340"/>
              <w:spacing w:after="0"/>
              <w:rPr>
                <w:sz w:val="20"/>
                <w:szCs w:val="20"/>
                <w:color w:val="auto"/>
              </w:rPr>
            </w:pPr>
            <w:r>
              <w:rPr>
                <w:rFonts w:ascii="Times New Roman" w:cs="Times New Roman" w:eastAsia="Times New Roman" w:hAnsi="Times New Roman"/>
                <w:sz w:val="12"/>
                <w:szCs w:val="12"/>
                <w:color w:val="auto"/>
              </w:rPr>
              <w:t>182</w:t>
            </w:r>
          </w:p>
        </w:tc>
        <w:tc>
          <w:tcPr>
            <w:tcW w:w="120" w:type="dxa"/>
            <w:vAlign w:val="bottom"/>
          </w:tcPr>
          <w:p>
            <w:pPr>
              <w:spacing w:after="0"/>
              <w:rPr>
                <w:sz w:val="12"/>
                <w:szCs w:val="12"/>
                <w:color w:val="auto"/>
              </w:rPr>
            </w:pPr>
          </w:p>
        </w:tc>
        <w:tc>
          <w:tcPr>
            <w:tcW w:w="900" w:type="dxa"/>
            <w:vAlign w:val="bottom"/>
            <w:gridSpan w:val="2"/>
          </w:tcPr>
          <w:p>
            <w:pPr>
              <w:jc w:val="right"/>
              <w:ind w:right="320"/>
              <w:spacing w:after="0"/>
              <w:rPr>
                <w:sz w:val="20"/>
                <w:szCs w:val="20"/>
                <w:color w:val="auto"/>
              </w:rPr>
            </w:pPr>
            <w:r>
              <w:rPr>
                <w:rFonts w:ascii="Times New Roman" w:cs="Times New Roman" w:eastAsia="Times New Roman" w:hAnsi="Times New Roman"/>
                <w:sz w:val="12"/>
                <w:szCs w:val="12"/>
                <w:color w:val="auto"/>
              </w:rPr>
              <w:t>10,016</w:t>
            </w:r>
          </w:p>
        </w:tc>
        <w:tc>
          <w:tcPr>
            <w:tcW w:w="200" w:type="dxa"/>
            <w:vAlign w:val="bottom"/>
          </w:tcPr>
          <w:p>
            <w:pPr>
              <w:spacing w:after="0"/>
              <w:rPr>
                <w:sz w:val="12"/>
                <w:szCs w:val="12"/>
                <w:color w:val="auto"/>
              </w:rPr>
            </w:pPr>
          </w:p>
        </w:tc>
        <w:tc>
          <w:tcPr>
            <w:tcW w:w="800" w:type="dxa"/>
            <w:vAlign w:val="bottom"/>
            <w:gridSpan w:val="2"/>
          </w:tcPr>
          <w:p>
            <w:pPr>
              <w:jc w:val="right"/>
              <w:ind w:right="34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tcPr>
          <w:p>
            <w:pPr>
              <w:jc w:val="right"/>
              <w:ind w:right="340"/>
              <w:spacing w:after="0"/>
              <w:rPr>
                <w:sz w:val="20"/>
                <w:szCs w:val="20"/>
                <w:color w:val="auto"/>
              </w:rPr>
            </w:pPr>
            <w:r>
              <w:rPr>
                <w:rFonts w:ascii="Times New Roman" w:cs="Times New Roman" w:eastAsia="Times New Roman" w:hAnsi="Times New Roman"/>
                <w:sz w:val="12"/>
                <w:szCs w:val="12"/>
                <w:color w:val="auto"/>
              </w:rPr>
              <w:t>-</w:t>
            </w: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10,198</w:t>
            </w:r>
          </w:p>
        </w:tc>
      </w:tr>
      <w:tr>
        <w:trPr>
          <w:trHeight w:val="144"/>
        </w:trPr>
        <w:tc>
          <w:tcPr>
            <w:tcW w:w="31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Accrued expenses and other current liabilities</w:t>
            </w:r>
          </w:p>
        </w:tc>
        <w:tc>
          <w:tcPr>
            <w:tcW w:w="13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2"/>
                <w:szCs w:val="12"/>
                <w:color w:val="auto"/>
              </w:rPr>
              <w:t>312</w:t>
            </w:r>
          </w:p>
        </w:tc>
        <w:tc>
          <w:tcPr>
            <w:tcW w:w="12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2"/>
                <w:szCs w:val="12"/>
                <w:color w:val="auto"/>
              </w:rPr>
              <w:t>7,804</w:t>
            </w:r>
          </w:p>
        </w:tc>
        <w:tc>
          <w:tcPr>
            <w:tcW w:w="2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2"/>
                <w:szCs w:val="12"/>
                <w:color w:val="auto"/>
              </w:rPr>
              <w:t>-</w:t>
            </w:r>
          </w:p>
        </w:tc>
        <w:tc>
          <w:tcPr>
            <w:tcW w:w="7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8,116</w:t>
            </w:r>
          </w:p>
        </w:tc>
      </w:tr>
      <w:tr>
        <w:trPr>
          <w:trHeight w:val="144"/>
        </w:trPr>
        <w:tc>
          <w:tcPr>
            <w:tcW w:w="312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Deferred Revenue</w:t>
            </w:r>
          </w:p>
        </w:tc>
        <w:tc>
          <w:tcPr>
            <w:tcW w:w="1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60" w:type="dxa"/>
            <w:vAlign w:val="bottom"/>
            <w:gridSpan w:val="2"/>
          </w:tcPr>
          <w:p>
            <w:pPr>
              <w:jc w:val="right"/>
              <w:ind w:right="340"/>
              <w:spacing w:after="0"/>
              <w:rPr>
                <w:sz w:val="20"/>
                <w:szCs w:val="20"/>
                <w:color w:val="auto"/>
              </w:rPr>
            </w:pPr>
            <w:r>
              <w:rPr>
                <w:rFonts w:ascii="Times New Roman" w:cs="Times New Roman" w:eastAsia="Times New Roman" w:hAnsi="Times New Roman"/>
                <w:sz w:val="12"/>
                <w:szCs w:val="12"/>
                <w:color w:val="auto"/>
              </w:rPr>
              <w:t>2,725</w:t>
            </w:r>
          </w:p>
        </w:tc>
        <w:tc>
          <w:tcPr>
            <w:tcW w:w="120" w:type="dxa"/>
            <w:vAlign w:val="bottom"/>
          </w:tcPr>
          <w:p>
            <w:pPr>
              <w:spacing w:after="0"/>
              <w:rPr>
                <w:sz w:val="12"/>
                <w:szCs w:val="12"/>
                <w:color w:val="auto"/>
              </w:rPr>
            </w:pPr>
          </w:p>
        </w:tc>
        <w:tc>
          <w:tcPr>
            <w:tcW w:w="900" w:type="dxa"/>
            <w:vAlign w:val="bottom"/>
            <w:gridSpan w:val="2"/>
          </w:tcPr>
          <w:p>
            <w:pPr>
              <w:jc w:val="right"/>
              <w:ind w:right="320"/>
              <w:spacing w:after="0"/>
              <w:rPr>
                <w:sz w:val="20"/>
                <w:szCs w:val="20"/>
                <w:color w:val="auto"/>
              </w:rPr>
            </w:pPr>
            <w:r>
              <w:rPr>
                <w:rFonts w:ascii="Times New Roman" w:cs="Times New Roman" w:eastAsia="Times New Roman" w:hAnsi="Times New Roman"/>
                <w:sz w:val="12"/>
                <w:szCs w:val="12"/>
                <w:color w:val="auto"/>
              </w:rPr>
              <w:t>1,221</w:t>
            </w:r>
          </w:p>
        </w:tc>
        <w:tc>
          <w:tcPr>
            <w:tcW w:w="200" w:type="dxa"/>
            <w:vAlign w:val="bottom"/>
          </w:tcPr>
          <w:p>
            <w:pPr>
              <w:spacing w:after="0"/>
              <w:rPr>
                <w:sz w:val="12"/>
                <w:szCs w:val="12"/>
                <w:color w:val="auto"/>
              </w:rPr>
            </w:pPr>
          </w:p>
        </w:tc>
        <w:tc>
          <w:tcPr>
            <w:tcW w:w="800" w:type="dxa"/>
            <w:vAlign w:val="bottom"/>
            <w:gridSpan w:val="2"/>
          </w:tcPr>
          <w:p>
            <w:pPr>
              <w:jc w:val="right"/>
              <w:ind w:right="34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tcPr>
          <w:p>
            <w:pPr>
              <w:jc w:val="right"/>
              <w:ind w:right="340"/>
              <w:spacing w:after="0"/>
              <w:rPr>
                <w:sz w:val="20"/>
                <w:szCs w:val="20"/>
                <w:color w:val="auto"/>
              </w:rPr>
            </w:pPr>
            <w:r>
              <w:rPr>
                <w:rFonts w:ascii="Times New Roman" w:cs="Times New Roman" w:eastAsia="Times New Roman" w:hAnsi="Times New Roman"/>
                <w:sz w:val="12"/>
                <w:szCs w:val="12"/>
                <w:color w:val="auto"/>
              </w:rPr>
              <w:t>-</w:t>
            </w: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3,946</w:t>
            </w:r>
          </w:p>
        </w:tc>
      </w:tr>
      <w:tr>
        <w:trPr>
          <w:trHeight w:val="144"/>
        </w:trPr>
        <w:tc>
          <w:tcPr>
            <w:tcW w:w="31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Current Operating Lease Liabilities</w:t>
            </w:r>
          </w:p>
        </w:tc>
        <w:tc>
          <w:tcPr>
            <w:tcW w:w="13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2"/>
                <w:szCs w:val="12"/>
                <w:color w:val="auto"/>
              </w:rPr>
              <w:t>2</w:t>
            </w:r>
          </w:p>
        </w:tc>
        <w:tc>
          <w:tcPr>
            <w:tcW w:w="2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2"/>
                <w:szCs w:val="12"/>
                <w:color w:val="auto"/>
              </w:rPr>
              <w:t>-</w:t>
            </w:r>
          </w:p>
        </w:tc>
        <w:tc>
          <w:tcPr>
            <w:tcW w:w="7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2</w:t>
            </w:r>
          </w:p>
        </w:tc>
      </w:tr>
      <w:tr>
        <w:trPr>
          <w:trHeight w:val="144"/>
        </w:trPr>
        <w:tc>
          <w:tcPr>
            <w:tcW w:w="312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Short-Term Debt</w:t>
            </w:r>
          </w:p>
        </w:tc>
        <w:tc>
          <w:tcPr>
            <w:tcW w:w="1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60" w:type="dxa"/>
            <w:vAlign w:val="bottom"/>
            <w:gridSpan w:val="2"/>
          </w:tcPr>
          <w:p>
            <w:pPr>
              <w:jc w:val="right"/>
              <w:ind w:right="34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2"/>
                <w:szCs w:val="12"/>
                <w:color w:val="auto"/>
              </w:rPr>
            </w:pPr>
          </w:p>
        </w:tc>
        <w:tc>
          <w:tcPr>
            <w:tcW w:w="900" w:type="dxa"/>
            <w:vAlign w:val="bottom"/>
            <w:gridSpan w:val="2"/>
          </w:tcPr>
          <w:p>
            <w:pPr>
              <w:jc w:val="right"/>
              <w:ind w:right="32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2"/>
                <w:szCs w:val="12"/>
                <w:color w:val="auto"/>
              </w:rPr>
            </w:pPr>
          </w:p>
        </w:tc>
        <w:tc>
          <w:tcPr>
            <w:tcW w:w="800" w:type="dxa"/>
            <w:vAlign w:val="bottom"/>
            <w:gridSpan w:val="2"/>
          </w:tcPr>
          <w:p>
            <w:pPr>
              <w:jc w:val="right"/>
              <w:ind w:right="34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tcPr>
          <w:p>
            <w:pPr>
              <w:jc w:val="right"/>
              <w:ind w:right="340"/>
              <w:spacing w:after="0"/>
              <w:rPr>
                <w:sz w:val="20"/>
                <w:szCs w:val="20"/>
                <w:color w:val="auto"/>
              </w:rPr>
            </w:pPr>
            <w:r>
              <w:rPr>
                <w:rFonts w:ascii="Times New Roman" w:cs="Times New Roman" w:eastAsia="Times New Roman" w:hAnsi="Times New Roman"/>
                <w:sz w:val="12"/>
                <w:szCs w:val="12"/>
                <w:color w:val="auto"/>
              </w:rPr>
              <w:t>-</w:t>
            </w: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r>
      <w:tr>
        <w:trPr>
          <w:trHeight w:val="144"/>
        </w:trPr>
        <w:tc>
          <w:tcPr>
            <w:tcW w:w="31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Notes payable</w:t>
            </w:r>
          </w:p>
        </w:tc>
        <w:tc>
          <w:tcPr>
            <w:tcW w:w="13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2"/>
                <w:szCs w:val="12"/>
                <w:color w:val="auto"/>
              </w:rPr>
              <w:t>431</w:t>
            </w:r>
          </w:p>
        </w:tc>
        <w:tc>
          <w:tcPr>
            <w:tcW w:w="12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2"/>
                <w:szCs w:val="12"/>
                <w:color w:val="auto"/>
              </w:rPr>
              <w:t>1,418</w:t>
            </w:r>
          </w:p>
        </w:tc>
        <w:tc>
          <w:tcPr>
            <w:tcW w:w="2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2"/>
                <w:szCs w:val="12"/>
                <w:color w:val="auto"/>
              </w:rPr>
              <w:t>-</w:t>
            </w:r>
          </w:p>
        </w:tc>
        <w:tc>
          <w:tcPr>
            <w:tcW w:w="7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1,849</w:t>
            </w:r>
          </w:p>
        </w:tc>
      </w:tr>
      <w:tr>
        <w:trPr>
          <w:trHeight w:val="144"/>
        </w:trPr>
        <w:tc>
          <w:tcPr>
            <w:tcW w:w="312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Convertible notes payable</w:t>
            </w:r>
          </w:p>
        </w:tc>
        <w:tc>
          <w:tcPr>
            <w:tcW w:w="1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60" w:type="dxa"/>
            <w:vAlign w:val="bottom"/>
            <w:gridSpan w:val="2"/>
          </w:tcPr>
          <w:p>
            <w:pPr>
              <w:jc w:val="right"/>
              <w:ind w:right="34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2"/>
                <w:szCs w:val="12"/>
                <w:color w:val="auto"/>
              </w:rPr>
            </w:pPr>
          </w:p>
        </w:tc>
        <w:tc>
          <w:tcPr>
            <w:tcW w:w="900" w:type="dxa"/>
            <w:vAlign w:val="bottom"/>
            <w:gridSpan w:val="2"/>
          </w:tcPr>
          <w:p>
            <w:pPr>
              <w:jc w:val="right"/>
              <w:ind w:right="320"/>
              <w:spacing w:after="0"/>
              <w:rPr>
                <w:sz w:val="20"/>
                <w:szCs w:val="20"/>
                <w:color w:val="auto"/>
              </w:rPr>
            </w:pPr>
            <w:r>
              <w:rPr>
                <w:rFonts w:ascii="Times New Roman" w:cs="Times New Roman" w:eastAsia="Times New Roman" w:hAnsi="Times New Roman"/>
                <w:sz w:val="12"/>
                <w:szCs w:val="12"/>
                <w:color w:val="auto"/>
              </w:rPr>
              <w:t>9,255</w:t>
            </w:r>
          </w:p>
        </w:tc>
        <w:tc>
          <w:tcPr>
            <w:tcW w:w="200" w:type="dxa"/>
            <w:vAlign w:val="bottom"/>
          </w:tcPr>
          <w:p>
            <w:pPr>
              <w:spacing w:after="0"/>
              <w:rPr>
                <w:sz w:val="12"/>
                <w:szCs w:val="12"/>
                <w:color w:val="auto"/>
              </w:rPr>
            </w:pPr>
          </w:p>
        </w:tc>
        <w:tc>
          <w:tcPr>
            <w:tcW w:w="800" w:type="dxa"/>
            <w:vAlign w:val="bottom"/>
            <w:gridSpan w:val="2"/>
          </w:tcPr>
          <w:p>
            <w:pPr>
              <w:jc w:val="right"/>
              <w:ind w:right="34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tcPr>
          <w:p>
            <w:pPr>
              <w:jc w:val="right"/>
              <w:ind w:right="340"/>
              <w:spacing w:after="0"/>
              <w:rPr>
                <w:sz w:val="20"/>
                <w:szCs w:val="20"/>
                <w:color w:val="auto"/>
              </w:rPr>
            </w:pPr>
            <w:r>
              <w:rPr>
                <w:rFonts w:ascii="Times New Roman" w:cs="Times New Roman" w:eastAsia="Times New Roman" w:hAnsi="Times New Roman"/>
                <w:sz w:val="12"/>
                <w:szCs w:val="12"/>
                <w:color w:val="auto"/>
              </w:rPr>
              <w:t>-</w:t>
            </w: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9,255</w:t>
            </w:r>
          </w:p>
        </w:tc>
      </w:tr>
      <w:tr>
        <w:trPr>
          <w:trHeight w:val="144"/>
        </w:trPr>
        <w:tc>
          <w:tcPr>
            <w:tcW w:w="31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Warrant liability</w:t>
            </w:r>
          </w:p>
        </w:tc>
        <w:tc>
          <w:tcPr>
            <w:tcW w:w="13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2"/>
                <w:szCs w:val="12"/>
                <w:color w:val="auto"/>
              </w:rPr>
              <w:t>47</w:t>
            </w:r>
          </w:p>
        </w:tc>
        <w:tc>
          <w:tcPr>
            <w:tcW w:w="2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2"/>
                <w:szCs w:val="12"/>
                <w:color w:val="auto"/>
              </w:rPr>
              <w:t>-</w:t>
            </w:r>
          </w:p>
        </w:tc>
        <w:tc>
          <w:tcPr>
            <w:tcW w:w="7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47</w:t>
            </w:r>
          </w:p>
        </w:tc>
      </w:tr>
      <w:tr>
        <w:trPr>
          <w:trHeight w:val="144"/>
        </w:trPr>
        <w:tc>
          <w:tcPr>
            <w:tcW w:w="312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Warrant liability - related party</w:t>
            </w:r>
          </w:p>
        </w:tc>
        <w:tc>
          <w:tcPr>
            <w:tcW w:w="1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60" w:type="dxa"/>
            <w:vAlign w:val="bottom"/>
            <w:gridSpan w:val="2"/>
          </w:tcPr>
          <w:p>
            <w:pPr>
              <w:jc w:val="right"/>
              <w:ind w:right="34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2"/>
                <w:szCs w:val="12"/>
                <w:color w:val="auto"/>
              </w:rPr>
            </w:pPr>
          </w:p>
        </w:tc>
        <w:tc>
          <w:tcPr>
            <w:tcW w:w="900" w:type="dxa"/>
            <w:vAlign w:val="bottom"/>
            <w:gridSpan w:val="2"/>
          </w:tcPr>
          <w:p>
            <w:pPr>
              <w:jc w:val="right"/>
              <w:ind w:right="320"/>
              <w:spacing w:after="0"/>
              <w:rPr>
                <w:sz w:val="20"/>
                <w:szCs w:val="20"/>
                <w:color w:val="auto"/>
              </w:rPr>
            </w:pPr>
            <w:r>
              <w:rPr>
                <w:rFonts w:ascii="Times New Roman" w:cs="Times New Roman" w:eastAsia="Times New Roman" w:hAnsi="Times New Roman"/>
                <w:sz w:val="12"/>
                <w:szCs w:val="12"/>
                <w:color w:val="auto"/>
              </w:rPr>
              <w:t>115</w:t>
            </w:r>
          </w:p>
        </w:tc>
        <w:tc>
          <w:tcPr>
            <w:tcW w:w="200" w:type="dxa"/>
            <w:vAlign w:val="bottom"/>
          </w:tcPr>
          <w:p>
            <w:pPr>
              <w:spacing w:after="0"/>
              <w:rPr>
                <w:sz w:val="12"/>
                <w:szCs w:val="12"/>
                <w:color w:val="auto"/>
              </w:rPr>
            </w:pPr>
          </w:p>
        </w:tc>
        <w:tc>
          <w:tcPr>
            <w:tcW w:w="800" w:type="dxa"/>
            <w:vAlign w:val="bottom"/>
            <w:gridSpan w:val="2"/>
          </w:tcPr>
          <w:p>
            <w:pPr>
              <w:jc w:val="right"/>
              <w:ind w:right="34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tcPr>
          <w:p>
            <w:pPr>
              <w:jc w:val="right"/>
              <w:ind w:right="340"/>
              <w:spacing w:after="0"/>
              <w:rPr>
                <w:sz w:val="20"/>
                <w:szCs w:val="20"/>
                <w:color w:val="auto"/>
              </w:rPr>
            </w:pPr>
            <w:r>
              <w:rPr>
                <w:rFonts w:ascii="Times New Roman" w:cs="Times New Roman" w:eastAsia="Times New Roman" w:hAnsi="Times New Roman"/>
                <w:sz w:val="12"/>
                <w:szCs w:val="12"/>
                <w:color w:val="auto"/>
              </w:rPr>
              <w:t>-</w:t>
            </w: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115</w:t>
            </w:r>
          </w:p>
        </w:tc>
      </w:tr>
      <w:tr>
        <w:trPr>
          <w:trHeight w:val="144"/>
        </w:trPr>
        <w:tc>
          <w:tcPr>
            <w:tcW w:w="31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Earnout payable</w:t>
            </w:r>
          </w:p>
        </w:tc>
        <w:tc>
          <w:tcPr>
            <w:tcW w:w="13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2"/>
                <w:szCs w:val="12"/>
                <w:color w:val="auto"/>
              </w:rPr>
              <w:t>37</w:t>
            </w:r>
          </w:p>
        </w:tc>
        <w:tc>
          <w:tcPr>
            <w:tcW w:w="2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2"/>
                <w:szCs w:val="12"/>
                <w:color w:val="auto"/>
              </w:rPr>
              <w:t>-</w:t>
            </w:r>
          </w:p>
        </w:tc>
        <w:tc>
          <w:tcPr>
            <w:tcW w:w="7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37</w:t>
            </w:r>
          </w:p>
        </w:tc>
      </w:tr>
      <w:tr>
        <w:trPr>
          <w:trHeight w:val="153"/>
        </w:trPr>
        <w:tc>
          <w:tcPr>
            <w:tcW w:w="312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Due to related party</w:t>
            </w:r>
          </w:p>
        </w:tc>
        <w:tc>
          <w:tcPr>
            <w:tcW w:w="1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60" w:type="dxa"/>
            <w:vAlign w:val="bottom"/>
            <w:gridSpan w:val="2"/>
          </w:tcPr>
          <w:p>
            <w:pPr>
              <w:jc w:val="right"/>
              <w:ind w:right="34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3"/>
                <w:szCs w:val="13"/>
                <w:color w:val="auto"/>
              </w:rPr>
            </w:pPr>
          </w:p>
        </w:tc>
        <w:tc>
          <w:tcPr>
            <w:tcW w:w="900" w:type="dxa"/>
            <w:vAlign w:val="bottom"/>
            <w:gridSpan w:val="2"/>
          </w:tcPr>
          <w:p>
            <w:pPr>
              <w:jc w:val="right"/>
              <w:ind w:right="320"/>
              <w:spacing w:after="0"/>
              <w:rPr>
                <w:sz w:val="20"/>
                <w:szCs w:val="20"/>
                <w:color w:val="auto"/>
              </w:rPr>
            </w:pPr>
            <w:r>
              <w:rPr>
                <w:rFonts w:ascii="Times New Roman" w:cs="Times New Roman" w:eastAsia="Times New Roman" w:hAnsi="Times New Roman"/>
                <w:sz w:val="12"/>
                <w:szCs w:val="12"/>
                <w:color w:val="auto"/>
              </w:rPr>
              <w:t>167</w:t>
            </w:r>
          </w:p>
        </w:tc>
        <w:tc>
          <w:tcPr>
            <w:tcW w:w="200" w:type="dxa"/>
            <w:vAlign w:val="bottom"/>
          </w:tcPr>
          <w:p>
            <w:pPr>
              <w:spacing w:after="0"/>
              <w:rPr>
                <w:sz w:val="13"/>
                <w:szCs w:val="13"/>
                <w:color w:val="auto"/>
              </w:rPr>
            </w:pPr>
          </w:p>
        </w:tc>
        <w:tc>
          <w:tcPr>
            <w:tcW w:w="800" w:type="dxa"/>
            <w:vAlign w:val="bottom"/>
            <w:gridSpan w:val="2"/>
          </w:tcPr>
          <w:p>
            <w:pPr>
              <w:jc w:val="right"/>
              <w:ind w:right="34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gridSpan w:val="2"/>
          </w:tcPr>
          <w:p>
            <w:pPr>
              <w:jc w:val="right"/>
              <w:ind w:right="340"/>
              <w:spacing w:after="0"/>
              <w:rPr>
                <w:sz w:val="20"/>
                <w:szCs w:val="20"/>
                <w:color w:val="auto"/>
              </w:rPr>
            </w:pPr>
            <w:r>
              <w:rPr>
                <w:rFonts w:ascii="Times New Roman" w:cs="Times New Roman" w:eastAsia="Times New Roman" w:hAnsi="Times New Roman"/>
                <w:sz w:val="12"/>
                <w:szCs w:val="12"/>
                <w:color w:val="auto"/>
              </w:rPr>
              <w:t>-</w:t>
            </w:r>
          </w:p>
        </w:tc>
        <w:tc>
          <w:tcPr>
            <w:tcW w:w="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167</w:t>
            </w:r>
          </w:p>
        </w:tc>
      </w:tr>
      <w:tr>
        <w:trPr>
          <w:trHeight w:val="133"/>
        </w:trPr>
        <w:tc>
          <w:tcPr>
            <w:tcW w:w="3120" w:type="dxa"/>
            <w:vAlign w:val="bottom"/>
            <w:tcBorders>
              <w:top w:val="single" w:sz="8" w:color="CCEEFF"/>
            </w:tcBorders>
            <w:shd w:val="clear" w:color="auto" w:fill="CCEEFF"/>
          </w:tcPr>
          <w:p>
            <w:pPr>
              <w:spacing w:after="0" w:line="133" w:lineRule="exact"/>
              <w:rPr>
                <w:sz w:val="20"/>
                <w:szCs w:val="20"/>
                <w:color w:val="auto"/>
              </w:rPr>
            </w:pPr>
            <w:r>
              <w:rPr>
                <w:rFonts w:ascii="Times New Roman" w:cs="Times New Roman" w:eastAsia="Times New Roman" w:hAnsi="Times New Roman"/>
                <w:sz w:val="12"/>
                <w:szCs w:val="12"/>
                <w:b w:val="1"/>
                <w:bCs w:val="1"/>
                <w:color w:val="auto"/>
              </w:rPr>
              <w:t>Current Liabilities</w:t>
            </w:r>
          </w:p>
        </w:tc>
        <w:tc>
          <w:tcPr>
            <w:tcW w:w="130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bottom w:val="single" w:sz="8" w:color="auto"/>
            </w:tcBorders>
            <w:shd w:val="clear" w:color="auto" w:fill="CCEEFF"/>
          </w:tcPr>
          <w:p>
            <w:pPr>
              <w:spacing w:after="0"/>
              <w:rPr>
                <w:sz w:val="11"/>
                <w:szCs w:val="11"/>
                <w:color w:val="auto"/>
              </w:rPr>
            </w:pPr>
          </w:p>
        </w:tc>
        <w:tc>
          <w:tcPr>
            <w:tcW w:w="62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3,650</w:t>
            </w:r>
          </w:p>
        </w:tc>
        <w:tc>
          <w:tcPr>
            <w:tcW w:w="34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bottom w:val="single" w:sz="8" w:color="auto"/>
            </w:tcBorders>
            <w:shd w:val="clear" w:color="auto" w:fill="CCEEFF"/>
          </w:tcPr>
          <w:p>
            <w:pPr>
              <w:spacing w:after="0"/>
              <w:rPr>
                <w:sz w:val="11"/>
                <w:szCs w:val="11"/>
                <w:color w:val="auto"/>
              </w:rPr>
            </w:pPr>
          </w:p>
        </w:tc>
        <w:tc>
          <w:tcPr>
            <w:tcW w:w="56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30,083</w:t>
            </w:r>
          </w:p>
        </w:tc>
        <w:tc>
          <w:tcPr>
            <w:tcW w:w="34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auto"/>
              <w:bottom w:val="single" w:sz="8" w:color="auto"/>
            </w:tcBorders>
            <w:shd w:val="clear" w:color="auto" w:fill="CCEEFF"/>
          </w:tcPr>
          <w:p>
            <w:pPr>
              <w:spacing w:after="0"/>
              <w:rPr>
                <w:sz w:val="11"/>
                <w:szCs w:val="11"/>
                <w:color w:val="auto"/>
              </w:rPr>
            </w:pPr>
          </w:p>
        </w:tc>
        <w:tc>
          <w:tcPr>
            <w:tcW w:w="46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w:t>
            </w:r>
          </w:p>
        </w:tc>
        <w:tc>
          <w:tcPr>
            <w:tcW w:w="34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CCEEFF"/>
            </w:tcBorders>
            <w:shd w:val="clear" w:color="auto" w:fill="CCEEFF"/>
          </w:tcPr>
          <w:p>
            <w:pPr>
              <w:spacing w:after="0"/>
              <w:rPr>
                <w:sz w:val="11"/>
                <w:szCs w:val="11"/>
                <w:color w:val="auto"/>
              </w:rPr>
            </w:pPr>
          </w:p>
        </w:tc>
        <w:tc>
          <w:tcPr>
            <w:tcW w:w="600" w:type="dxa"/>
            <w:vAlign w:val="bottom"/>
            <w:tcBorders>
              <w:top w:val="single" w:sz="8" w:color="CCEEFF"/>
            </w:tcBorders>
            <w:shd w:val="clear" w:color="auto" w:fill="CCEEFF"/>
          </w:tcPr>
          <w:p>
            <w:pPr>
              <w:spacing w:after="0"/>
              <w:rPr>
                <w:sz w:val="11"/>
                <w:szCs w:val="11"/>
                <w:color w:val="auto"/>
              </w:rPr>
            </w:pPr>
          </w:p>
        </w:tc>
        <w:tc>
          <w:tcPr>
            <w:tcW w:w="22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bottom w:val="single" w:sz="8" w:color="auto"/>
            </w:tcBorders>
            <w:shd w:val="clear" w:color="auto" w:fill="CCEEFF"/>
          </w:tcPr>
          <w:p>
            <w:pPr>
              <w:spacing w:after="0"/>
              <w:rPr>
                <w:sz w:val="11"/>
                <w:szCs w:val="11"/>
                <w:color w:val="auto"/>
              </w:rPr>
            </w:pPr>
          </w:p>
        </w:tc>
        <w:tc>
          <w:tcPr>
            <w:tcW w:w="60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w:t>
            </w:r>
          </w:p>
        </w:tc>
        <w:tc>
          <w:tcPr>
            <w:tcW w:w="340" w:type="dxa"/>
            <w:vAlign w:val="bottom"/>
            <w:tcBorders>
              <w:top w:val="single" w:sz="8" w:color="CCEEFF"/>
            </w:tcBorders>
            <w:shd w:val="clear" w:color="auto" w:fill="CCEEFF"/>
          </w:tcPr>
          <w:p>
            <w:pPr>
              <w:spacing w:after="0"/>
              <w:rPr>
                <w:sz w:val="11"/>
                <w:szCs w:val="11"/>
                <w:color w:val="auto"/>
              </w:rPr>
            </w:pPr>
          </w:p>
        </w:tc>
        <w:tc>
          <w:tcPr>
            <w:tcW w:w="780" w:type="dxa"/>
            <w:vAlign w:val="bottom"/>
            <w:tcBorders>
              <w:top w:val="single" w:sz="8" w:color="CCEEFF"/>
            </w:tcBorders>
            <w:shd w:val="clear" w:color="auto" w:fill="CCEEFF"/>
          </w:tcPr>
          <w:p>
            <w:pPr>
              <w:spacing w:after="0"/>
              <w:rPr>
                <w:sz w:val="11"/>
                <w:szCs w:val="11"/>
                <w:color w:val="auto"/>
              </w:rPr>
            </w:pPr>
          </w:p>
        </w:tc>
        <w:tc>
          <w:tcPr>
            <w:tcW w:w="22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bottom w:val="single" w:sz="8" w:color="auto"/>
            </w:tcBorders>
            <w:shd w:val="clear" w:color="auto" w:fill="CCEEFF"/>
          </w:tcPr>
          <w:p>
            <w:pPr>
              <w:spacing w:after="0"/>
              <w:rPr>
                <w:sz w:val="11"/>
                <w:szCs w:val="11"/>
                <w:color w:val="auto"/>
              </w:rPr>
            </w:pPr>
          </w:p>
        </w:tc>
        <w:tc>
          <w:tcPr>
            <w:tcW w:w="60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33,733</w:t>
            </w:r>
          </w:p>
        </w:tc>
        <w:tc>
          <w:tcPr>
            <w:tcW w:w="120" w:type="dxa"/>
            <w:vAlign w:val="bottom"/>
            <w:tcBorders>
              <w:top w:val="single" w:sz="8" w:color="CCEEFF"/>
            </w:tcBorders>
            <w:shd w:val="clear" w:color="auto" w:fill="CCEEFF"/>
          </w:tcPr>
          <w:p>
            <w:pPr>
              <w:spacing w:after="0"/>
              <w:rPr>
                <w:sz w:val="11"/>
                <w:szCs w:val="11"/>
                <w:color w:val="auto"/>
              </w:rPr>
            </w:pPr>
          </w:p>
        </w:tc>
      </w:tr>
      <w:tr>
        <w:trPr>
          <w:trHeight w:val="133"/>
        </w:trPr>
        <w:tc>
          <w:tcPr>
            <w:tcW w:w="312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44"/>
        </w:trPr>
        <w:tc>
          <w:tcPr>
            <w:tcW w:w="31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Long-Term Debt</w:t>
            </w:r>
          </w:p>
        </w:tc>
        <w:tc>
          <w:tcPr>
            <w:tcW w:w="13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2"/>
                <w:szCs w:val="12"/>
                <w:color w:val="auto"/>
              </w:rPr>
              <w:t>-</w:t>
            </w:r>
          </w:p>
        </w:tc>
        <w:tc>
          <w:tcPr>
            <w:tcW w:w="7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r>
      <w:tr>
        <w:trPr>
          <w:trHeight w:val="144"/>
        </w:trPr>
        <w:tc>
          <w:tcPr>
            <w:tcW w:w="312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Operating Lease Liabilities Net of Current Portion</w:t>
            </w:r>
          </w:p>
        </w:tc>
        <w:tc>
          <w:tcPr>
            <w:tcW w:w="1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60" w:type="dxa"/>
            <w:vAlign w:val="bottom"/>
            <w:gridSpan w:val="2"/>
          </w:tcPr>
          <w:p>
            <w:pPr>
              <w:jc w:val="right"/>
              <w:ind w:right="34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2"/>
                <w:szCs w:val="12"/>
                <w:color w:val="auto"/>
              </w:rPr>
            </w:pPr>
          </w:p>
        </w:tc>
        <w:tc>
          <w:tcPr>
            <w:tcW w:w="900" w:type="dxa"/>
            <w:vAlign w:val="bottom"/>
            <w:gridSpan w:val="2"/>
          </w:tcPr>
          <w:p>
            <w:pPr>
              <w:jc w:val="right"/>
              <w:ind w:right="32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2"/>
                <w:szCs w:val="12"/>
                <w:color w:val="auto"/>
              </w:rPr>
            </w:pPr>
          </w:p>
        </w:tc>
        <w:tc>
          <w:tcPr>
            <w:tcW w:w="800" w:type="dxa"/>
            <w:vAlign w:val="bottom"/>
            <w:gridSpan w:val="2"/>
          </w:tcPr>
          <w:p>
            <w:pPr>
              <w:jc w:val="right"/>
              <w:ind w:right="34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tcPr>
          <w:p>
            <w:pPr>
              <w:jc w:val="right"/>
              <w:ind w:right="340"/>
              <w:spacing w:after="0"/>
              <w:rPr>
                <w:sz w:val="20"/>
                <w:szCs w:val="20"/>
                <w:color w:val="auto"/>
              </w:rPr>
            </w:pPr>
            <w:r>
              <w:rPr>
                <w:rFonts w:ascii="Times New Roman" w:cs="Times New Roman" w:eastAsia="Times New Roman" w:hAnsi="Times New Roman"/>
                <w:sz w:val="12"/>
                <w:szCs w:val="12"/>
                <w:color w:val="auto"/>
              </w:rPr>
              <w:t>-</w:t>
            </w: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r>
      <w:tr>
        <w:trPr>
          <w:trHeight w:val="144"/>
        </w:trPr>
        <w:tc>
          <w:tcPr>
            <w:tcW w:w="31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Long-Term Deferred Revenue</w:t>
            </w:r>
          </w:p>
        </w:tc>
        <w:tc>
          <w:tcPr>
            <w:tcW w:w="13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2"/>
                <w:szCs w:val="12"/>
                <w:color w:val="auto"/>
              </w:rPr>
              <w:t>107</w:t>
            </w:r>
          </w:p>
        </w:tc>
        <w:tc>
          <w:tcPr>
            <w:tcW w:w="12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2"/>
                <w:szCs w:val="12"/>
                <w:color w:val="auto"/>
              </w:rPr>
              <w:t>-</w:t>
            </w:r>
          </w:p>
        </w:tc>
        <w:tc>
          <w:tcPr>
            <w:tcW w:w="7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107</w:t>
            </w:r>
          </w:p>
        </w:tc>
      </w:tr>
      <w:tr>
        <w:trPr>
          <w:trHeight w:val="153"/>
        </w:trPr>
        <w:tc>
          <w:tcPr>
            <w:tcW w:w="312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Other Long-Term Liabilities</w:t>
            </w:r>
          </w:p>
        </w:tc>
        <w:tc>
          <w:tcPr>
            <w:tcW w:w="1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60" w:type="dxa"/>
            <w:vAlign w:val="bottom"/>
            <w:gridSpan w:val="2"/>
          </w:tcPr>
          <w:p>
            <w:pPr>
              <w:jc w:val="right"/>
              <w:ind w:right="340"/>
              <w:spacing w:after="0"/>
              <w:rPr>
                <w:sz w:val="20"/>
                <w:szCs w:val="20"/>
                <w:color w:val="auto"/>
              </w:rPr>
            </w:pPr>
            <w:r>
              <w:rPr>
                <w:rFonts w:ascii="Times New Roman" w:cs="Times New Roman" w:eastAsia="Times New Roman" w:hAnsi="Times New Roman"/>
                <w:sz w:val="12"/>
                <w:szCs w:val="12"/>
                <w:color w:val="auto"/>
              </w:rPr>
              <w:t>72</w:t>
            </w:r>
          </w:p>
        </w:tc>
        <w:tc>
          <w:tcPr>
            <w:tcW w:w="120" w:type="dxa"/>
            <w:vAlign w:val="bottom"/>
          </w:tcPr>
          <w:p>
            <w:pPr>
              <w:spacing w:after="0"/>
              <w:rPr>
                <w:sz w:val="13"/>
                <w:szCs w:val="13"/>
                <w:color w:val="auto"/>
              </w:rPr>
            </w:pPr>
          </w:p>
        </w:tc>
        <w:tc>
          <w:tcPr>
            <w:tcW w:w="900" w:type="dxa"/>
            <w:vAlign w:val="bottom"/>
            <w:gridSpan w:val="2"/>
          </w:tcPr>
          <w:p>
            <w:pPr>
              <w:jc w:val="right"/>
              <w:ind w:right="320"/>
              <w:spacing w:after="0"/>
              <w:rPr>
                <w:sz w:val="20"/>
                <w:szCs w:val="20"/>
                <w:color w:val="auto"/>
              </w:rPr>
            </w:pPr>
            <w:r>
              <w:rPr>
                <w:rFonts w:ascii="Times New Roman" w:cs="Times New Roman" w:eastAsia="Times New Roman" w:hAnsi="Times New Roman"/>
                <w:sz w:val="12"/>
                <w:szCs w:val="12"/>
                <w:color w:val="auto"/>
              </w:rPr>
              <w:t>75</w:t>
            </w:r>
          </w:p>
        </w:tc>
        <w:tc>
          <w:tcPr>
            <w:tcW w:w="200" w:type="dxa"/>
            <w:vAlign w:val="bottom"/>
          </w:tcPr>
          <w:p>
            <w:pPr>
              <w:spacing w:after="0"/>
              <w:rPr>
                <w:sz w:val="13"/>
                <w:szCs w:val="13"/>
                <w:color w:val="auto"/>
              </w:rPr>
            </w:pPr>
          </w:p>
        </w:tc>
        <w:tc>
          <w:tcPr>
            <w:tcW w:w="800" w:type="dxa"/>
            <w:vAlign w:val="bottom"/>
            <w:gridSpan w:val="2"/>
          </w:tcPr>
          <w:p>
            <w:pPr>
              <w:jc w:val="right"/>
              <w:ind w:right="34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gridSpan w:val="2"/>
          </w:tcPr>
          <w:p>
            <w:pPr>
              <w:jc w:val="right"/>
              <w:ind w:right="340"/>
              <w:spacing w:after="0"/>
              <w:rPr>
                <w:sz w:val="20"/>
                <w:szCs w:val="20"/>
                <w:color w:val="auto"/>
              </w:rPr>
            </w:pPr>
            <w:r>
              <w:rPr>
                <w:rFonts w:ascii="Times New Roman" w:cs="Times New Roman" w:eastAsia="Times New Roman" w:hAnsi="Times New Roman"/>
                <w:sz w:val="12"/>
                <w:szCs w:val="12"/>
                <w:color w:val="auto"/>
              </w:rPr>
              <w:t>-</w:t>
            </w:r>
          </w:p>
        </w:tc>
        <w:tc>
          <w:tcPr>
            <w:tcW w:w="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147</w:t>
            </w:r>
          </w:p>
        </w:tc>
      </w:tr>
      <w:tr>
        <w:trPr>
          <w:trHeight w:val="133"/>
        </w:trPr>
        <w:tc>
          <w:tcPr>
            <w:tcW w:w="3120" w:type="dxa"/>
            <w:vAlign w:val="bottom"/>
            <w:tcBorders>
              <w:top w:val="single" w:sz="8" w:color="CCEEFF"/>
            </w:tcBorders>
            <w:shd w:val="clear" w:color="auto" w:fill="CCEEFF"/>
          </w:tcPr>
          <w:p>
            <w:pPr>
              <w:spacing w:after="0" w:line="133" w:lineRule="exact"/>
              <w:rPr>
                <w:sz w:val="20"/>
                <w:szCs w:val="20"/>
                <w:color w:val="auto"/>
              </w:rPr>
            </w:pPr>
            <w:r>
              <w:rPr>
                <w:rFonts w:ascii="Times New Roman" w:cs="Times New Roman" w:eastAsia="Times New Roman" w:hAnsi="Times New Roman"/>
                <w:sz w:val="12"/>
                <w:szCs w:val="12"/>
                <w:b w:val="1"/>
                <w:bCs w:val="1"/>
                <w:color w:val="auto"/>
              </w:rPr>
              <w:t>Long-Term Liabilities</w:t>
            </w:r>
          </w:p>
        </w:tc>
        <w:tc>
          <w:tcPr>
            <w:tcW w:w="130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179</w:t>
            </w:r>
          </w:p>
        </w:tc>
        <w:tc>
          <w:tcPr>
            <w:tcW w:w="34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56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75</w:t>
            </w:r>
          </w:p>
        </w:tc>
        <w:tc>
          <w:tcPr>
            <w:tcW w:w="34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auto"/>
            </w:tcBorders>
            <w:shd w:val="clear" w:color="auto" w:fill="CCEEFF"/>
          </w:tcPr>
          <w:p>
            <w:pPr>
              <w:spacing w:after="0"/>
              <w:rPr>
                <w:sz w:val="11"/>
                <w:szCs w:val="11"/>
                <w:color w:val="auto"/>
              </w:rPr>
            </w:pPr>
          </w:p>
        </w:tc>
        <w:tc>
          <w:tcPr>
            <w:tcW w:w="46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w:t>
            </w:r>
          </w:p>
        </w:tc>
        <w:tc>
          <w:tcPr>
            <w:tcW w:w="34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CCEEFF"/>
            </w:tcBorders>
            <w:shd w:val="clear" w:color="auto" w:fill="CCEEFF"/>
          </w:tcPr>
          <w:p>
            <w:pPr>
              <w:spacing w:after="0"/>
              <w:rPr>
                <w:sz w:val="11"/>
                <w:szCs w:val="11"/>
                <w:color w:val="auto"/>
              </w:rPr>
            </w:pPr>
          </w:p>
        </w:tc>
        <w:tc>
          <w:tcPr>
            <w:tcW w:w="600" w:type="dxa"/>
            <w:vAlign w:val="bottom"/>
            <w:tcBorders>
              <w:top w:val="single" w:sz="8" w:color="CCEEFF"/>
            </w:tcBorders>
            <w:shd w:val="clear" w:color="auto" w:fill="CCEEFF"/>
          </w:tcPr>
          <w:p>
            <w:pPr>
              <w:spacing w:after="0"/>
              <w:rPr>
                <w:sz w:val="11"/>
                <w:szCs w:val="11"/>
                <w:color w:val="auto"/>
              </w:rPr>
            </w:pPr>
          </w:p>
        </w:tc>
        <w:tc>
          <w:tcPr>
            <w:tcW w:w="22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60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w:t>
            </w:r>
          </w:p>
        </w:tc>
        <w:tc>
          <w:tcPr>
            <w:tcW w:w="340" w:type="dxa"/>
            <w:vAlign w:val="bottom"/>
            <w:tcBorders>
              <w:top w:val="single" w:sz="8" w:color="CCEEFF"/>
            </w:tcBorders>
            <w:shd w:val="clear" w:color="auto" w:fill="CCEEFF"/>
          </w:tcPr>
          <w:p>
            <w:pPr>
              <w:spacing w:after="0"/>
              <w:rPr>
                <w:sz w:val="11"/>
                <w:szCs w:val="11"/>
                <w:color w:val="auto"/>
              </w:rPr>
            </w:pPr>
          </w:p>
        </w:tc>
        <w:tc>
          <w:tcPr>
            <w:tcW w:w="780" w:type="dxa"/>
            <w:vAlign w:val="bottom"/>
            <w:tcBorders>
              <w:top w:val="single" w:sz="8" w:color="CCEEFF"/>
            </w:tcBorders>
            <w:shd w:val="clear" w:color="auto" w:fill="CCEEFF"/>
          </w:tcPr>
          <w:p>
            <w:pPr>
              <w:spacing w:after="0"/>
              <w:rPr>
                <w:sz w:val="11"/>
                <w:szCs w:val="11"/>
                <w:color w:val="auto"/>
              </w:rPr>
            </w:pPr>
          </w:p>
        </w:tc>
        <w:tc>
          <w:tcPr>
            <w:tcW w:w="22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60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254</w:t>
            </w:r>
          </w:p>
        </w:tc>
        <w:tc>
          <w:tcPr>
            <w:tcW w:w="120" w:type="dxa"/>
            <w:vAlign w:val="bottom"/>
            <w:tcBorders>
              <w:top w:val="single" w:sz="8" w:color="CCEEFF"/>
            </w:tcBorders>
            <w:shd w:val="clear" w:color="auto" w:fill="CCEEFF"/>
          </w:tcPr>
          <w:p>
            <w:pPr>
              <w:spacing w:after="0"/>
              <w:rPr>
                <w:sz w:val="11"/>
                <w:szCs w:val="11"/>
                <w:color w:val="auto"/>
              </w:rPr>
            </w:pPr>
          </w:p>
        </w:tc>
      </w:tr>
      <w:tr>
        <w:trPr>
          <w:trHeight w:val="144"/>
        </w:trPr>
        <w:tc>
          <w:tcPr>
            <w:tcW w:w="31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53"/>
        </w:trPr>
        <w:tc>
          <w:tcPr>
            <w:tcW w:w="31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Total Liabilities</w:t>
            </w:r>
          </w:p>
        </w:tc>
        <w:tc>
          <w:tcPr>
            <w:tcW w:w="13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2"/>
                <w:szCs w:val="12"/>
                <w:color w:val="auto"/>
              </w:rPr>
              <w:t>3,829</w:t>
            </w:r>
          </w:p>
        </w:tc>
        <w:tc>
          <w:tcPr>
            <w:tcW w:w="12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2"/>
                <w:szCs w:val="12"/>
                <w:color w:val="auto"/>
              </w:rPr>
              <w:t>30,158</w:t>
            </w:r>
          </w:p>
        </w:tc>
        <w:tc>
          <w:tcPr>
            <w:tcW w:w="2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2"/>
                <w:szCs w:val="12"/>
                <w:color w:val="auto"/>
              </w:rPr>
              <w:t>-</w:t>
            </w:r>
          </w:p>
        </w:tc>
        <w:tc>
          <w:tcPr>
            <w:tcW w:w="7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33,987</w:t>
            </w:r>
          </w:p>
        </w:tc>
      </w:tr>
      <w:tr>
        <w:trPr>
          <w:trHeight w:val="133"/>
        </w:trPr>
        <w:tc>
          <w:tcPr>
            <w:tcW w:w="312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3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3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r>
      <w:tr>
        <w:trPr>
          <w:trHeight w:val="144"/>
        </w:trPr>
        <w:tc>
          <w:tcPr>
            <w:tcW w:w="31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Shareholders’ deficit:</w:t>
            </w:r>
          </w:p>
        </w:tc>
        <w:tc>
          <w:tcPr>
            <w:tcW w:w="13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r>
      <w:tr>
        <w:trPr>
          <w:trHeight w:val="144"/>
        </w:trPr>
        <w:tc>
          <w:tcPr>
            <w:tcW w:w="3120" w:type="dxa"/>
            <w:vAlign w:val="bottom"/>
          </w:tcPr>
          <w:p>
            <w:pPr>
              <w:spacing w:after="0"/>
              <w:rPr>
                <w:sz w:val="20"/>
                <w:szCs w:val="20"/>
                <w:color w:val="auto"/>
              </w:rPr>
            </w:pPr>
            <w:r>
              <w:rPr>
                <w:rFonts w:ascii="Times New Roman" w:cs="Times New Roman" w:eastAsia="Times New Roman" w:hAnsi="Times New Roman"/>
                <w:sz w:val="12"/>
                <w:szCs w:val="12"/>
                <w:color w:val="auto"/>
              </w:rPr>
              <w:t>Preferred Stock</w:t>
            </w:r>
          </w:p>
        </w:tc>
        <w:tc>
          <w:tcPr>
            <w:tcW w:w="1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60" w:type="dxa"/>
            <w:vAlign w:val="bottom"/>
            <w:gridSpan w:val="2"/>
          </w:tcPr>
          <w:p>
            <w:pPr>
              <w:jc w:val="right"/>
              <w:ind w:right="34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2"/>
                <w:szCs w:val="12"/>
                <w:color w:val="auto"/>
              </w:rPr>
            </w:pPr>
          </w:p>
        </w:tc>
        <w:tc>
          <w:tcPr>
            <w:tcW w:w="900" w:type="dxa"/>
            <w:vAlign w:val="bottom"/>
            <w:gridSpan w:val="2"/>
          </w:tcPr>
          <w:p>
            <w:pPr>
              <w:jc w:val="right"/>
              <w:ind w:right="32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2"/>
                <w:szCs w:val="12"/>
                <w:color w:val="auto"/>
              </w:rPr>
            </w:pPr>
          </w:p>
        </w:tc>
        <w:tc>
          <w:tcPr>
            <w:tcW w:w="800" w:type="dxa"/>
            <w:vAlign w:val="bottom"/>
            <w:gridSpan w:val="2"/>
          </w:tcPr>
          <w:p>
            <w:pPr>
              <w:jc w:val="right"/>
              <w:ind w:right="34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tcPr>
          <w:p>
            <w:pPr>
              <w:jc w:val="right"/>
              <w:ind w:right="340"/>
              <w:spacing w:after="0"/>
              <w:rPr>
                <w:sz w:val="20"/>
                <w:szCs w:val="20"/>
                <w:color w:val="auto"/>
              </w:rPr>
            </w:pPr>
            <w:r>
              <w:rPr>
                <w:rFonts w:ascii="Times New Roman" w:cs="Times New Roman" w:eastAsia="Times New Roman" w:hAnsi="Times New Roman"/>
                <w:sz w:val="12"/>
                <w:szCs w:val="12"/>
                <w:color w:val="auto"/>
              </w:rPr>
              <w:t>-</w:t>
            </w: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r>
      <w:tr>
        <w:trPr>
          <w:trHeight w:val="144"/>
        </w:trPr>
        <w:tc>
          <w:tcPr>
            <w:tcW w:w="31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Common Stock</w:t>
            </w:r>
          </w:p>
        </w:tc>
        <w:tc>
          <w:tcPr>
            <w:tcW w:w="13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2"/>
                <w:szCs w:val="12"/>
                <w:color w:val="auto"/>
              </w:rPr>
              <w:t>-</w:t>
            </w:r>
          </w:p>
        </w:tc>
        <w:tc>
          <w:tcPr>
            <w:tcW w:w="7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r>
      <w:tr>
        <w:trPr>
          <w:trHeight w:val="144"/>
        </w:trPr>
        <w:tc>
          <w:tcPr>
            <w:tcW w:w="3120" w:type="dxa"/>
            <w:vAlign w:val="bottom"/>
          </w:tcPr>
          <w:p>
            <w:pPr>
              <w:spacing w:after="0"/>
              <w:rPr>
                <w:sz w:val="20"/>
                <w:szCs w:val="20"/>
                <w:color w:val="auto"/>
              </w:rPr>
            </w:pPr>
            <w:r>
              <w:rPr>
                <w:rFonts w:ascii="Times New Roman" w:cs="Times New Roman" w:eastAsia="Times New Roman" w:hAnsi="Times New Roman"/>
                <w:sz w:val="12"/>
                <w:szCs w:val="12"/>
                <w:color w:val="auto"/>
              </w:rPr>
              <w:t>Additional Paid in capial</w:t>
            </w:r>
          </w:p>
        </w:tc>
        <w:tc>
          <w:tcPr>
            <w:tcW w:w="1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60" w:type="dxa"/>
            <w:vAlign w:val="bottom"/>
            <w:gridSpan w:val="2"/>
          </w:tcPr>
          <w:p>
            <w:pPr>
              <w:jc w:val="right"/>
              <w:ind w:right="340"/>
              <w:spacing w:after="0"/>
              <w:rPr>
                <w:sz w:val="20"/>
                <w:szCs w:val="20"/>
                <w:color w:val="auto"/>
              </w:rPr>
            </w:pPr>
            <w:r>
              <w:rPr>
                <w:rFonts w:ascii="Times New Roman" w:cs="Times New Roman" w:eastAsia="Times New Roman" w:hAnsi="Times New Roman"/>
                <w:sz w:val="12"/>
                <w:szCs w:val="12"/>
                <w:color w:val="auto"/>
              </w:rPr>
              <w:t>25,063</w:t>
            </w:r>
          </w:p>
        </w:tc>
        <w:tc>
          <w:tcPr>
            <w:tcW w:w="120" w:type="dxa"/>
            <w:vAlign w:val="bottom"/>
          </w:tcPr>
          <w:p>
            <w:pPr>
              <w:spacing w:after="0"/>
              <w:rPr>
                <w:sz w:val="12"/>
                <w:szCs w:val="12"/>
                <w:color w:val="auto"/>
              </w:rPr>
            </w:pPr>
          </w:p>
        </w:tc>
        <w:tc>
          <w:tcPr>
            <w:tcW w:w="900" w:type="dxa"/>
            <w:vAlign w:val="bottom"/>
            <w:gridSpan w:val="2"/>
          </w:tcPr>
          <w:p>
            <w:pPr>
              <w:jc w:val="right"/>
              <w:ind w:right="320"/>
              <w:spacing w:after="0"/>
              <w:rPr>
                <w:sz w:val="20"/>
                <w:szCs w:val="20"/>
                <w:color w:val="auto"/>
              </w:rPr>
            </w:pPr>
            <w:r>
              <w:rPr>
                <w:rFonts w:ascii="Times New Roman" w:cs="Times New Roman" w:eastAsia="Times New Roman" w:hAnsi="Times New Roman"/>
                <w:sz w:val="12"/>
                <w:szCs w:val="12"/>
                <w:color w:val="auto"/>
              </w:rPr>
              <w:t>47,580</w:t>
            </w:r>
          </w:p>
        </w:tc>
        <w:tc>
          <w:tcPr>
            <w:tcW w:w="200" w:type="dxa"/>
            <w:vAlign w:val="bottom"/>
          </w:tcPr>
          <w:p>
            <w:pPr>
              <w:spacing w:after="0"/>
              <w:rPr>
                <w:sz w:val="12"/>
                <w:szCs w:val="12"/>
                <w:color w:val="auto"/>
              </w:rPr>
            </w:pPr>
          </w:p>
        </w:tc>
        <w:tc>
          <w:tcPr>
            <w:tcW w:w="800" w:type="dxa"/>
            <w:vAlign w:val="bottom"/>
            <w:gridSpan w:val="2"/>
          </w:tcPr>
          <w:p>
            <w:pPr>
              <w:jc w:val="right"/>
              <w:ind w:right="340"/>
              <w:spacing w:after="0"/>
              <w:rPr>
                <w:sz w:val="20"/>
                <w:szCs w:val="20"/>
                <w:color w:val="auto"/>
              </w:rPr>
            </w:pPr>
            <w:r>
              <w:rPr>
                <w:rFonts w:ascii="Times New Roman" w:cs="Times New Roman" w:eastAsia="Times New Roman" w:hAnsi="Times New Roman"/>
                <w:sz w:val="12"/>
                <w:szCs w:val="12"/>
                <w:color w:val="auto"/>
              </w:rPr>
              <w:t>19,600</w:t>
            </w:r>
          </w:p>
        </w:tc>
        <w:tc>
          <w:tcPr>
            <w:tcW w:w="180" w:type="dxa"/>
            <w:vAlign w:val="bottom"/>
          </w:tcPr>
          <w:p>
            <w:pPr>
              <w:spacing w:after="0"/>
              <w:rPr>
                <w:sz w:val="12"/>
                <w:szCs w:val="12"/>
                <w:color w:val="auto"/>
              </w:rPr>
            </w:pPr>
          </w:p>
        </w:tc>
        <w:tc>
          <w:tcPr>
            <w:tcW w:w="820" w:type="dxa"/>
            <w:vAlign w:val="bottom"/>
            <w:gridSpan w:val="2"/>
          </w:tcPr>
          <w:p>
            <w:pPr>
              <w:jc w:val="center"/>
              <w:ind w:right="400"/>
              <w:spacing w:after="0"/>
              <w:rPr>
                <w:sz w:val="20"/>
                <w:szCs w:val="20"/>
                <w:color w:val="auto"/>
              </w:rPr>
            </w:pPr>
            <w:r>
              <w:rPr>
                <w:rFonts w:ascii="Times New Roman" w:cs="Times New Roman" w:eastAsia="Times New Roman" w:hAnsi="Times New Roman"/>
                <w:sz w:val="12"/>
                <w:szCs w:val="12"/>
                <w:color w:val="auto"/>
              </w:rPr>
              <w:t>(AA)</w:t>
            </w:r>
          </w:p>
        </w:tc>
        <w:tc>
          <w:tcPr>
            <w:tcW w:w="120" w:type="dxa"/>
            <w:vAlign w:val="bottom"/>
          </w:tcPr>
          <w:p>
            <w:pPr>
              <w:spacing w:after="0"/>
              <w:rPr>
                <w:sz w:val="12"/>
                <w:szCs w:val="12"/>
                <w:color w:val="auto"/>
              </w:rPr>
            </w:pPr>
          </w:p>
        </w:tc>
        <w:tc>
          <w:tcPr>
            <w:tcW w:w="940" w:type="dxa"/>
            <w:vAlign w:val="bottom"/>
            <w:gridSpan w:val="2"/>
          </w:tcPr>
          <w:p>
            <w:pPr>
              <w:jc w:val="right"/>
              <w:ind w:right="300"/>
              <w:spacing w:after="0"/>
              <w:rPr>
                <w:sz w:val="20"/>
                <w:szCs w:val="20"/>
                <w:color w:val="auto"/>
              </w:rPr>
            </w:pPr>
            <w:r>
              <w:rPr>
                <w:rFonts w:ascii="Times New Roman" w:cs="Times New Roman" w:eastAsia="Times New Roman" w:hAnsi="Times New Roman"/>
                <w:sz w:val="12"/>
                <w:szCs w:val="12"/>
                <w:color w:val="auto"/>
              </w:rPr>
              <w:t>(15,590)</w:t>
            </w:r>
          </w:p>
        </w:tc>
        <w:tc>
          <w:tcPr>
            <w:tcW w:w="1000" w:type="dxa"/>
            <w:vAlign w:val="bottom"/>
            <w:gridSpan w:val="2"/>
          </w:tcPr>
          <w:p>
            <w:pPr>
              <w:jc w:val="center"/>
              <w:ind w:right="240"/>
              <w:spacing w:after="0"/>
              <w:rPr>
                <w:sz w:val="20"/>
                <w:szCs w:val="20"/>
                <w:color w:val="auto"/>
              </w:rPr>
            </w:pPr>
            <w:r>
              <w:rPr>
                <w:rFonts w:ascii="Times New Roman" w:cs="Times New Roman" w:eastAsia="Times New Roman" w:hAnsi="Times New Roman"/>
                <w:sz w:val="12"/>
                <w:szCs w:val="12"/>
                <w:color w:val="auto"/>
                <w:w w:val="99"/>
              </w:rPr>
              <w:t>(BB)</w:t>
            </w:r>
          </w:p>
        </w:tc>
        <w:tc>
          <w:tcPr>
            <w:tcW w:w="60" w:type="dxa"/>
            <w:vAlign w:val="bottom"/>
          </w:tcPr>
          <w:p>
            <w:pPr>
              <w:spacing w:after="0"/>
              <w:rPr>
                <w:sz w:val="12"/>
                <w:szCs w:val="12"/>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77,107</w:t>
            </w:r>
          </w:p>
        </w:tc>
      </w:tr>
      <w:tr>
        <w:trPr>
          <w:trHeight w:val="153"/>
        </w:trPr>
        <w:tc>
          <w:tcPr>
            <w:tcW w:w="31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Accumulated deficit</w:t>
            </w:r>
          </w:p>
        </w:tc>
        <w:tc>
          <w:tcPr>
            <w:tcW w:w="13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2"/>
                <w:szCs w:val="12"/>
                <w:color w:val="auto"/>
              </w:rPr>
              <w:t>(26,368)</w:t>
            </w:r>
          </w:p>
        </w:tc>
        <w:tc>
          <w:tcPr>
            <w:tcW w:w="12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2"/>
                <w:szCs w:val="12"/>
                <w:color w:val="auto"/>
              </w:rPr>
              <w:t>(70,426)</w:t>
            </w:r>
          </w:p>
        </w:tc>
        <w:tc>
          <w:tcPr>
            <w:tcW w:w="2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2"/>
                <w:szCs w:val="12"/>
                <w:color w:val="auto"/>
              </w:rPr>
              <w:t>16,784</w:t>
            </w:r>
          </w:p>
        </w:tc>
        <w:tc>
          <w:tcPr>
            <w:tcW w:w="1000" w:type="dxa"/>
            <w:vAlign w:val="bottom"/>
            <w:gridSpan w:val="2"/>
            <w:shd w:val="clear" w:color="auto" w:fill="CCEEFF"/>
          </w:tcPr>
          <w:p>
            <w:pPr>
              <w:jc w:val="center"/>
              <w:ind w:right="240"/>
              <w:spacing w:after="0"/>
              <w:rPr>
                <w:sz w:val="20"/>
                <w:szCs w:val="20"/>
                <w:color w:val="auto"/>
              </w:rPr>
            </w:pPr>
            <w:r>
              <w:rPr>
                <w:rFonts w:ascii="Times New Roman" w:cs="Times New Roman" w:eastAsia="Times New Roman" w:hAnsi="Times New Roman"/>
                <w:sz w:val="12"/>
                <w:szCs w:val="12"/>
                <w:color w:val="auto"/>
                <w:w w:val="99"/>
              </w:rPr>
              <w:t>(BB)</w:t>
            </w:r>
          </w:p>
        </w:tc>
        <w:tc>
          <w:tcPr>
            <w:tcW w:w="6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(80,465)</w:t>
            </w:r>
          </w:p>
        </w:tc>
      </w:tr>
      <w:tr>
        <w:trPr>
          <w:trHeight w:val="133"/>
        </w:trPr>
        <w:tc>
          <w:tcPr>
            <w:tcW w:w="3120" w:type="dxa"/>
            <w:vAlign w:val="bottom"/>
            <w:tcBorders>
              <w:bottom w:val="single" w:sz="8" w:color="CCEEFF"/>
            </w:tcBorders>
          </w:tcPr>
          <w:p>
            <w:pPr>
              <w:spacing w:after="0" w:line="133" w:lineRule="exact"/>
              <w:rPr>
                <w:sz w:val="20"/>
                <w:szCs w:val="20"/>
                <w:color w:val="auto"/>
              </w:rPr>
            </w:pPr>
            <w:r>
              <w:rPr>
                <w:rFonts w:ascii="Times New Roman" w:cs="Times New Roman" w:eastAsia="Times New Roman" w:hAnsi="Times New Roman"/>
                <w:sz w:val="12"/>
                <w:szCs w:val="12"/>
                <w:b w:val="1"/>
                <w:bCs w:val="1"/>
                <w:color w:val="auto"/>
              </w:rPr>
              <w:t>Total sharesholders’ deficit</w:t>
            </w:r>
          </w:p>
        </w:tc>
        <w:tc>
          <w:tcPr>
            <w:tcW w:w="1300" w:type="dxa"/>
            <w:vAlign w:val="bottom"/>
            <w:tcBorders>
              <w:bottom w:val="single" w:sz="8" w:color="CCEEFF"/>
            </w:tcBorders>
          </w:tcPr>
          <w:p>
            <w:pPr>
              <w:spacing w:after="0"/>
              <w:rPr>
                <w:sz w:val="11"/>
                <w:szCs w:val="11"/>
                <w:color w:val="auto"/>
              </w:rPr>
            </w:pPr>
          </w:p>
        </w:tc>
        <w:tc>
          <w:tcPr>
            <w:tcW w:w="60" w:type="dxa"/>
            <w:vAlign w:val="bottom"/>
            <w:tcBorders>
              <w:top w:val="single" w:sz="8" w:color="auto"/>
              <w:bottom w:val="single" w:sz="8" w:color="auto"/>
            </w:tcBorders>
          </w:tcPr>
          <w:p>
            <w:pPr>
              <w:spacing w:after="0"/>
              <w:rPr>
                <w:sz w:val="11"/>
                <w:szCs w:val="11"/>
                <w:color w:val="auto"/>
              </w:rPr>
            </w:pPr>
          </w:p>
        </w:tc>
        <w:tc>
          <w:tcPr>
            <w:tcW w:w="620" w:type="dxa"/>
            <w:vAlign w:val="bottom"/>
            <w:tcBorders>
              <w:top w:val="single" w:sz="8" w:color="auto"/>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(1,305)</w:t>
            </w:r>
          </w:p>
        </w:tc>
        <w:tc>
          <w:tcPr>
            <w:tcW w:w="340" w:type="dxa"/>
            <w:vAlign w:val="bottom"/>
            <w:tcBorders>
              <w:bottom w:val="single" w:sz="8" w:color="CCEEFF"/>
            </w:tcBorders>
          </w:tcPr>
          <w:p>
            <w:pPr>
              <w:spacing w:after="0"/>
              <w:rPr>
                <w:sz w:val="11"/>
                <w:szCs w:val="11"/>
                <w:color w:val="auto"/>
              </w:rPr>
            </w:pPr>
          </w:p>
        </w:tc>
        <w:tc>
          <w:tcPr>
            <w:tcW w:w="120" w:type="dxa"/>
            <w:vAlign w:val="bottom"/>
            <w:tcBorders>
              <w:top w:val="single" w:sz="8" w:color="auto"/>
              <w:bottom w:val="single" w:sz="8" w:color="auto"/>
            </w:tcBorders>
          </w:tcPr>
          <w:p>
            <w:pPr>
              <w:spacing w:after="0"/>
              <w:rPr>
                <w:sz w:val="11"/>
                <w:szCs w:val="11"/>
                <w:color w:val="auto"/>
              </w:rPr>
            </w:pPr>
          </w:p>
        </w:tc>
        <w:tc>
          <w:tcPr>
            <w:tcW w:w="560" w:type="dxa"/>
            <w:vAlign w:val="bottom"/>
            <w:tcBorders>
              <w:top w:val="single" w:sz="8" w:color="auto"/>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(22,846)</w:t>
            </w:r>
          </w:p>
        </w:tc>
        <w:tc>
          <w:tcPr>
            <w:tcW w:w="340" w:type="dxa"/>
            <w:vAlign w:val="bottom"/>
            <w:tcBorders>
              <w:bottom w:val="single" w:sz="8" w:color="CCEEFF"/>
            </w:tcBorders>
          </w:tcPr>
          <w:p>
            <w:pPr>
              <w:spacing w:after="0"/>
              <w:rPr>
                <w:sz w:val="11"/>
                <w:szCs w:val="11"/>
                <w:color w:val="auto"/>
              </w:rPr>
            </w:pPr>
          </w:p>
        </w:tc>
        <w:tc>
          <w:tcPr>
            <w:tcW w:w="200" w:type="dxa"/>
            <w:vAlign w:val="bottom"/>
            <w:tcBorders>
              <w:top w:val="single" w:sz="8" w:color="auto"/>
              <w:bottom w:val="single" w:sz="8" w:color="auto"/>
            </w:tcBorders>
          </w:tcPr>
          <w:p>
            <w:pPr>
              <w:spacing w:after="0"/>
              <w:rPr>
                <w:sz w:val="11"/>
                <w:szCs w:val="11"/>
                <w:color w:val="auto"/>
              </w:rPr>
            </w:pPr>
          </w:p>
        </w:tc>
        <w:tc>
          <w:tcPr>
            <w:tcW w:w="460" w:type="dxa"/>
            <w:vAlign w:val="bottom"/>
            <w:tcBorders>
              <w:top w:val="single" w:sz="8" w:color="auto"/>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19,600</w:t>
            </w:r>
          </w:p>
        </w:tc>
        <w:tc>
          <w:tcPr>
            <w:tcW w:w="340" w:type="dxa"/>
            <w:vAlign w:val="bottom"/>
            <w:tcBorders>
              <w:bottom w:val="single" w:sz="8" w:color="CCEEFF"/>
            </w:tcBorders>
          </w:tcPr>
          <w:p>
            <w:pPr>
              <w:spacing w:after="0"/>
              <w:rPr>
                <w:sz w:val="11"/>
                <w:szCs w:val="11"/>
                <w:color w:val="auto"/>
              </w:rPr>
            </w:pPr>
          </w:p>
        </w:tc>
        <w:tc>
          <w:tcPr>
            <w:tcW w:w="180" w:type="dxa"/>
            <w:vAlign w:val="bottom"/>
            <w:tcBorders>
              <w:bottom w:val="single" w:sz="8" w:color="CCEEFF"/>
            </w:tcBorders>
          </w:tcPr>
          <w:p>
            <w:pPr>
              <w:spacing w:after="0"/>
              <w:rPr>
                <w:sz w:val="11"/>
                <w:szCs w:val="11"/>
                <w:color w:val="auto"/>
              </w:rPr>
            </w:pPr>
          </w:p>
        </w:tc>
        <w:tc>
          <w:tcPr>
            <w:tcW w:w="600" w:type="dxa"/>
            <w:vAlign w:val="bottom"/>
            <w:tcBorders>
              <w:bottom w:val="single" w:sz="8" w:color="CCEEFF"/>
            </w:tcBorders>
          </w:tcPr>
          <w:p>
            <w:pPr>
              <w:spacing w:after="0"/>
              <w:rPr>
                <w:sz w:val="11"/>
                <w:szCs w:val="11"/>
                <w:color w:val="auto"/>
              </w:rPr>
            </w:pPr>
          </w:p>
        </w:tc>
        <w:tc>
          <w:tcPr>
            <w:tcW w:w="220" w:type="dxa"/>
            <w:vAlign w:val="bottom"/>
            <w:tcBorders>
              <w:bottom w:val="single" w:sz="8" w:color="CCEEFF"/>
            </w:tcBorders>
          </w:tcPr>
          <w:p>
            <w:pPr>
              <w:spacing w:after="0"/>
              <w:rPr>
                <w:sz w:val="11"/>
                <w:szCs w:val="11"/>
                <w:color w:val="auto"/>
              </w:rPr>
            </w:pPr>
          </w:p>
        </w:tc>
        <w:tc>
          <w:tcPr>
            <w:tcW w:w="120" w:type="dxa"/>
            <w:vAlign w:val="bottom"/>
            <w:tcBorders>
              <w:top w:val="single" w:sz="8" w:color="auto"/>
              <w:bottom w:val="single" w:sz="8" w:color="auto"/>
            </w:tcBorders>
          </w:tcPr>
          <w:p>
            <w:pPr>
              <w:spacing w:after="0"/>
              <w:rPr>
                <w:sz w:val="11"/>
                <w:szCs w:val="11"/>
                <w:color w:val="auto"/>
              </w:rPr>
            </w:pPr>
          </w:p>
        </w:tc>
        <w:tc>
          <w:tcPr>
            <w:tcW w:w="600" w:type="dxa"/>
            <w:vAlign w:val="bottom"/>
            <w:tcBorders>
              <w:top w:val="single" w:sz="8" w:color="auto"/>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1,193</w:t>
            </w:r>
          </w:p>
        </w:tc>
        <w:tc>
          <w:tcPr>
            <w:tcW w:w="340" w:type="dxa"/>
            <w:vAlign w:val="bottom"/>
            <w:tcBorders>
              <w:bottom w:val="single" w:sz="8" w:color="CCEEFF"/>
            </w:tcBorders>
          </w:tcPr>
          <w:p>
            <w:pPr>
              <w:spacing w:after="0"/>
              <w:rPr>
                <w:sz w:val="11"/>
                <w:szCs w:val="11"/>
                <w:color w:val="auto"/>
              </w:rPr>
            </w:pPr>
          </w:p>
        </w:tc>
        <w:tc>
          <w:tcPr>
            <w:tcW w:w="780" w:type="dxa"/>
            <w:vAlign w:val="bottom"/>
            <w:tcBorders>
              <w:bottom w:val="single" w:sz="8" w:color="CCEEFF"/>
            </w:tcBorders>
          </w:tcPr>
          <w:p>
            <w:pPr>
              <w:spacing w:after="0"/>
              <w:rPr>
                <w:sz w:val="11"/>
                <w:szCs w:val="11"/>
                <w:color w:val="auto"/>
              </w:rPr>
            </w:pPr>
          </w:p>
        </w:tc>
        <w:tc>
          <w:tcPr>
            <w:tcW w:w="220" w:type="dxa"/>
            <w:vAlign w:val="bottom"/>
            <w:tcBorders>
              <w:bottom w:val="single" w:sz="8" w:color="CCEEFF"/>
            </w:tcBorders>
          </w:tcPr>
          <w:p>
            <w:pPr>
              <w:spacing w:after="0"/>
              <w:rPr>
                <w:sz w:val="11"/>
                <w:szCs w:val="11"/>
                <w:color w:val="auto"/>
              </w:rPr>
            </w:pPr>
          </w:p>
        </w:tc>
        <w:tc>
          <w:tcPr>
            <w:tcW w:w="60" w:type="dxa"/>
            <w:vAlign w:val="bottom"/>
            <w:tcBorders>
              <w:top w:val="single" w:sz="8" w:color="auto"/>
              <w:bottom w:val="single" w:sz="8" w:color="auto"/>
            </w:tcBorders>
          </w:tcPr>
          <w:p>
            <w:pPr>
              <w:spacing w:after="0"/>
              <w:rPr>
                <w:sz w:val="11"/>
                <w:szCs w:val="11"/>
                <w:color w:val="auto"/>
              </w:rPr>
            </w:pPr>
          </w:p>
        </w:tc>
        <w:tc>
          <w:tcPr>
            <w:tcW w:w="600" w:type="dxa"/>
            <w:vAlign w:val="bottom"/>
            <w:tcBorders>
              <w:top w:val="single" w:sz="8" w:color="auto"/>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(3,358)</w:t>
            </w:r>
          </w:p>
        </w:tc>
        <w:tc>
          <w:tcPr>
            <w:tcW w:w="120" w:type="dxa"/>
            <w:vAlign w:val="bottom"/>
            <w:tcBorders>
              <w:bottom w:val="single" w:sz="8" w:color="CCEEFF"/>
            </w:tcBorders>
          </w:tcPr>
          <w:p>
            <w:pPr>
              <w:spacing w:after="0"/>
              <w:rPr>
                <w:sz w:val="11"/>
                <w:szCs w:val="11"/>
                <w:color w:val="auto"/>
              </w:rPr>
            </w:pPr>
          </w:p>
        </w:tc>
      </w:tr>
      <w:tr>
        <w:trPr>
          <w:trHeight w:val="133"/>
        </w:trPr>
        <w:tc>
          <w:tcPr>
            <w:tcW w:w="3120" w:type="dxa"/>
            <w:vAlign w:val="bottom"/>
            <w:shd w:val="clear" w:color="auto" w:fill="CCEEFF"/>
          </w:tcPr>
          <w:p>
            <w:pPr>
              <w:spacing w:after="0"/>
              <w:rPr>
                <w:sz w:val="11"/>
                <w:szCs w:val="11"/>
                <w:color w:val="auto"/>
              </w:rPr>
            </w:pPr>
          </w:p>
        </w:tc>
        <w:tc>
          <w:tcPr>
            <w:tcW w:w="13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r>
      <w:tr>
        <w:trPr>
          <w:trHeight w:val="162"/>
        </w:trPr>
        <w:tc>
          <w:tcPr>
            <w:tcW w:w="312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Total liabilities and sharesholders’ deficit</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960" w:type="dxa"/>
            <w:vAlign w:val="bottom"/>
            <w:gridSpan w:val="2"/>
          </w:tcPr>
          <w:p>
            <w:pPr>
              <w:jc w:val="right"/>
              <w:ind w:right="340"/>
              <w:spacing w:after="0"/>
              <w:rPr>
                <w:sz w:val="20"/>
                <w:szCs w:val="20"/>
                <w:color w:val="auto"/>
              </w:rPr>
            </w:pPr>
            <w:r>
              <w:rPr>
                <w:rFonts w:ascii="Times New Roman" w:cs="Times New Roman" w:eastAsia="Times New Roman" w:hAnsi="Times New Roman"/>
                <w:sz w:val="12"/>
                <w:szCs w:val="12"/>
                <w:color w:val="auto"/>
              </w:rPr>
              <w:t>2,524</w:t>
            </w:r>
          </w:p>
        </w:tc>
        <w:tc>
          <w:tcPr>
            <w:tcW w:w="120" w:type="dxa"/>
            <w:vAlign w:val="bottom"/>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gridSpan w:val="2"/>
          </w:tcPr>
          <w:p>
            <w:pPr>
              <w:jc w:val="right"/>
              <w:ind w:right="320"/>
              <w:spacing w:after="0"/>
              <w:rPr>
                <w:sz w:val="20"/>
                <w:szCs w:val="20"/>
                <w:color w:val="auto"/>
              </w:rPr>
            </w:pPr>
            <w:r>
              <w:rPr>
                <w:rFonts w:ascii="Times New Roman" w:cs="Times New Roman" w:eastAsia="Times New Roman" w:hAnsi="Times New Roman"/>
                <w:sz w:val="12"/>
                <w:szCs w:val="12"/>
                <w:color w:val="auto"/>
              </w:rPr>
              <w:t>7,312</w:t>
            </w:r>
          </w:p>
        </w:tc>
        <w:tc>
          <w:tcPr>
            <w:tcW w:w="200" w:type="dxa"/>
            <w:vAlign w:val="bottom"/>
          </w:tcPr>
          <w:p>
            <w:pPr>
              <w:spacing w:after="0"/>
              <w:rPr>
                <w:sz w:val="20"/>
                <w:szCs w:val="20"/>
                <w:color w:val="auto"/>
              </w:rPr>
            </w:pPr>
            <w:r>
              <w:rPr>
                <w:rFonts w:ascii="Times New Roman" w:cs="Times New Roman" w:eastAsia="Times New Roman" w:hAnsi="Times New Roman"/>
                <w:sz w:val="12"/>
                <w:szCs w:val="12"/>
                <w:color w:val="auto"/>
              </w:rPr>
              <w:t>$</w:t>
            </w:r>
          </w:p>
        </w:tc>
        <w:tc>
          <w:tcPr>
            <w:tcW w:w="800" w:type="dxa"/>
            <w:vAlign w:val="bottom"/>
            <w:gridSpan w:val="2"/>
          </w:tcPr>
          <w:p>
            <w:pPr>
              <w:jc w:val="right"/>
              <w:ind w:right="340"/>
              <w:spacing w:after="0"/>
              <w:rPr>
                <w:sz w:val="20"/>
                <w:szCs w:val="20"/>
                <w:color w:val="auto"/>
              </w:rPr>
            </w:pPr>
            <w:r>
              <w:rPr>
                <w:rFonts w:ascii="Times New Roman" w:cs="Times New Roman" w:eastAsia="Times New Roman" w:hAnsi="Times New Roman"/>
                <w:sz w:val="12"/>
                <w:szCs w:val="12"/>
                <w:color w:val="auto"/>
              </w:rPr>
              <w:t>19,600</w:t>
            </w: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w:t>
            </w:r>
          </w:p>
        </w:tc>
        <w:tc>
          <w:tcPr>
            <w:tcW w:w="940" w:type="dxa"/>
            <w:vAlign w:val="bottom"/>
            <w:gridSpan w:val="2"/>
          </w:tcPr>
          <w:p>
            <w:pPr>
              <w:jc w:val="right"/>
              <w:ind w:right="340"/>
              <w:spacing w:after="0"/>
              <w:rPr>
                <w:sz w:val="20"/>
                <w:szCs w:val="20"/>
                <w:color w:val="auto"/>
              </w:rPr>
            </w:pPr>
            <w:r>
              <w:rPr>
                <w:rFonts w:ascii="Times New Roman" w:cs="Times New Roman" w:eastAsia="Times New Roman" w:hAnsi="Times New Roman"/>
                <w:sz w:val="12"/>
                <w:szCs w:val="12"/>
                <w:color w:val="auto"/>
              </w:rPr>
              <w:t>1,193</w:t>
            </w: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30,629</w:t>
            </w:r>
          </w:p>
        </w:tc>
      </w:tr>
      <w:tr>
        <w:trPr>
          <w:trHeight w:val="27"/>
        </w:trPr>
        <w:tc>
          <w:tcPr>
            <w:tcW w:w="3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680" w:type="dxa"/>
            <w:vAlign w:val="bottom"/>
            <w:gridSpan w:val="2"/>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680" w:type="dxa"/>
            <w:vAlign w:val="bottom"/>
            <w:gridSpan w:val="2"/>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660" w:type="dxa"/>
            <w:vAlign w:val="bottom"/>
            <w:gridSpan w:val="2"/>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88"/>
        </w:trPr>
        <w:tc>
          <w:tcPr>
            <w:tcW w:w="3120" w:type="dxa"/>
            <w:vAlign w:val="bottom"/>
          </w:tcPr>
          <w:p>
            <w:pPr>
              <w:spacing w:after="0"/>
              <w:rPr>
                <w:sz w:val="24"/>
                <w:szCs w:val="24"/>
                <w:color w:val="auto"/>
              </w:rPr>
            </w:pPr>
          </w:p>
        </w:tc>
        <w:tc>
          <w:tcPr>
            <w:tcW w:w="4520" w:type="dxa"/>
            <w:vAlign w:val="bottom"/>
            <w:gridSpan w:val="11"/>
          </w:tcPr>
          <w:p>
            <w:pPr>
              <w:ind w:left="600"/>
              <w:spacing w:after="0"/>
              <w:rPr>
                <w:sz w:val="20"/>
                <w:szCs w:val="20"/>
                <w:color w:val="auto"/>
              </w:rPr>
            </w:pPr>
            <w:r>
              <w:rPr>
                <w:rFonts w:ascii="Times New Roman" w:cs="Times New Roman" w:eastAsia="Times New Roman" w:hAnsi="Times New Roman"/>
                <w:sz w:val="12"/>
                <w:szCs w:val="12"/>
                <w:color w:val="auto"/>
              </w:rPr>
              <w:t>See Notes to Unaudited Pro Forma Condensed Combined Financial Information</w:t>
            </w: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88"/>
        </w:trPr>
        <w:tc>
          <w:tcPr>
            <w:tcW w:w="312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r>
    </w:tbl>
    <w:p>
      <w:pPr>
        <w:sectPr>
          <w:pgSz w:w="11900" w:h="16838" w:orient="portrait"/>
          <w:cols w:equalWidth="0" w:num="1">
            <w:col w:w="11300"/>
          </w:cols>
          <w:pgMar w:left="300" w:top="503" w:right="299" w:bottom="1440" w:gutter="0" w:footer="0" w:header="0"/>
        </w:sectPr>
      </w:pPr>
    </w:p>
    <w:bookmarkStart w:id="49" w:name="page50"/>
    <w:bookmarkEnd w:id="49"/>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Operating income:</w:t>
      </w:r>
    </w:p>
    <w:p>
      <w:pPr>
        <w:spacing w:after="0" w:line="2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2"/>
          <w:szCs w:val="12"/>
          <w:color w:val="auto"/>
        </w:rPr>
        <w:t>Revenue</w:t>
      </w:r>
    </w:p>
    <w:p>
      <w:pPr>
        <w:spacing w:after="0" w:line="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1"/>
          <w:szCs w:val="11"/>
          <w:color w:val="auto"/>
        </w:rPr>
        <w:t>Cost of revenue</w:t>
      </w:r>
    </w:p>
    <w:p>
      <w:pPr>
        <w:spacing w:after="0" w:line="1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2"/>
          <w:szCs w:val="12"/>
          <w:color w:val="auto"/>
        </w:rPr>
        <w:t>Gross profit</w:t>
      </w:r>
    </w:p>
    <w:p>
      <w:pPr>
        <w:spacing w:after="0" w:line="20" w:lineRule="exact"/>
        <w:rPr>
          <w:sz w:val="20"/>
          <w:szCs w:val="20"/>
          <w:color w:val="auto"/>
        </w:rPr>
      </w:pPr>
      <w:r>
        <w:rPr>
          <w:sz w:val="20"/>
          <w:szCs w:val="20"/>
          <w:color w:val="auto"/>
        </w:rPr>
        <w:br w:type="column"/>
      </w:r>
    </w:p>
    <w:p>
      <w:pPr>
        <w:jc w:val="center"/>
        <w:ind w:right="3280"/>
        <w:spacing w:after="0"/>
        <w:rPr>
          <w:sz w:val="20"/>
          <w:szCs w:val="20"/>
          <w:color w:val="auto"/>
        </w:rPr>
      </w:pPr>
      <w:r>
        <w:rPr>
          <w:rFonts w:ascii="Times New Roman" w:cs="Times New Roman" w:eastAsia="Times New Roman" w:hAnsi="Times New Roman"/>
          <w:sz w:val="12"/>
          <w:szCs w:val="12"/>
          <w:b w:val="1"/>
          <w:bCs w:val="1"/>
          <w:color w:val="auto"/>
        </w:rPr>
        <w:t>BANZAI INTERNATIONAL INC.</w:t>
      </w:r>
    </w:p>
    <w:p>
      <w:pPr>
        <w:spacing w:after="0" w:line="21" w:lineRule="exact"/>
        <w:rPr>
          <w:sz w:val="20"/>
          <w:szCs w:val="20"/>
          <w:color w:val="auto"/>
        </w:rPr>
      </w:pPr>
    </w:p>
    <w:p>
      <w:pPr>
        <w:jc w:val="center"/>
        <w:ind w:right="3280"/>
        <w:spacing w:after="0"/>
        <w:rPr>
          <w:sz w:val="20"/>
          <w:szCs w:val="20"/>
          <w:color w:val="auto"/>
        </w:rPr>
      </w:pPr>
      <w:r>
        <w:rPr>
          <w:rFonts w:ascii="Times New Roman" w:cs="Times New Roman" w:eastAsia="Times New Roman" w:hAnsi="Times New Roman"/>
          <w:sz w:val="11"/>
          <w:szCs w:val="11"/>
          <w:b w:val="1"/>
          <w:bCs w:val="1"/>
          <w:color w:val="auto"/>
        </w:rPr>
        <w:t>UNAUDITED PRO FORMA CONDENSED COMBINED STATEMENT OF OPERATIONS</w:t>
      </w:r>
    </w:p>
    <w:p>
      <w:pPr>
        <w:spacing w:after="0" w:line="18"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2"/>
          <w:szCs w:val="12"/>
          <w:b w:val="1"/>
          <w:bCs w:val="1"/>
          <w:color w:val="auto"/>
        </w:rPr>
        <w:t>NINE MONTHS ENDED SEPTEMBER 30, 2024</w:t>
      </w:r>
    </w:p>
    <w:p>
      <w:pPr>
        <w:spacing w:after="0" w:line="6"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2"/>
          <w:szCs w:val="12"/>
          <w:b w:val="1"/>
          <w:bCs w:val="1"/>
          <w:color w:val="auto"/>
        </w:rPr>
        <w:t>(Amounts in millions, except per share amounts)</w:t>
      </w:r>
    </w:p>
    <w:p>
      <w:pPr>
        <w:spacing w:after="0" w:line="135" w:lineRule="exact"/>
        <w:rPr>
          <w:sz w:val="20"/>
          <w:szCs w:val="20"/>
          <w:color w:val="auto"/>
        </w:rPr>
      </w:pPr>
    </w:p>
    <w:tbl>
      <w:tblPr>
        <w:tblLayout w:type="fixed"/>
        <w:tblInd w:w="2160" w:type="dxa"/>
        <w:tblCellMar>
          <w:top w:w="0" w:type="dxa"/>
          <w:left w:w="0" w:type="dxa"/>
          <w:bottom w:w="0" w:type="dxa"/>
          <w:right w:w="0" w:type="dxa"/>
        </w:tblCellMar>
      </w:tblPr>
      <w:tr>
        <w:trPr>
          <w:trHeight w:val="144"/>
        </w:trPr>
        <w:tc>
          <w:tcPr>
            <w:tcW w:w="80" w:type="dxa"/>
            <w:vAlign w:val="bottom"/>
          </w:tcPr>
          <w:p>
            <w:pPr>
              <w:spacing w:after="0"/>
              <w:rPr>
                <w:sz w:val="12"/>
                <w:szCs w:val="12"/>
                <w:color w:val="auto"/>
              </w:rPr>
            </w:pPr>
          </w:p>
        </w:tc>
        <w:tc>
          <w:tcPr>
            <w:tcW w:w="960" w:type="dxa"/>
            <w:vAlign w:val="bottom"/>
            <w:gridSpan w:val="2"/>
          </w:tcPr>
          <w:p>
            <w:pPr>
              <w:jc w:val="center"/>
              <w:ind w:right="420"/>
              <w:spacing w:after="0"/>
              <w:rPr>
                <w:sz w:val="20"/>
                <w:szCs w:val="20"/>
                <w:color w:val="auto"/>
              </w:rPr>
            </w:pPr>
            <w:r>
              <w:rPr>
                <w:rFonts w:ascii="Times New Roman" w:cs="Times New Roman" w:eastAsia="Times New Roman" w:hAnsi="Times New Roman"/>
                <w:sz w:val="12"/>
                <w:szCs w:val="12"/>
                <w:b w:val="1"/>
                <w:bCs w:val="1"/>
                <w:color w:val="auto"/>
              </w:rPr>
              <w:t>Open Reel</w:t>
            </w:r>
          </w:p>
        </w:tc>
        <w:tc>
          <w:tcPr>
            <w:tcW w:w="120" w:type="dxa"/>
            <w:vAlign w:val="bottom"/>
          </w:tcPr>
          <w:p>
            <w:pPr>
              <w:spacing w:after="0"/>
              <w:rPr>
                <w:sz w:val="12"/>
                <w:szCs w:val="12"/>
                <w:color w:val="auto"/>
              </w:rPr>
            </w:pPr>
          </w:p>
        </w:tc>
        <w:tc>
          <w:tcPr>
            <w:tcW w:w="920" w:type="dxa"/>
            <w:vAlign w:val="bottom"/>
            <w:gridSpan w:val="2"/>
          </w:tcPr>
          <w:p>
            <w:pPr>
              <w:jc w:val="right"/>
              <w:ind w:right="520"/>
              <w:spacing w:after="0"/>
              <w:rPr>
                <w:sz w:val="20"/>
                <w:szCs w:val="20"/>
                <w:color w:val="auto"/>
              </w:rPr>
            </w:pPr>
            <w:r>
              <w:rPr>
                <w:rFonts w:ascii="Times New Roman" w:cs="Times New Roman" w:eastAsia="Times New Roman" w:hAnsi="Times New Roman"/>
                <w:sz w:val="12"/>
                <w:szCs w:val="12"/>
                <w:b w:val="1"/>
                <w:bCs w:val="1"/>
                <w:color w:val="auto"/>
              </w:rPr>
              <w:t>Banzai</w:t>
            </w:r>
          </w:p>
        </w:tc>
        <w:tc>
          <w:tcPr>
            <w:tcW w:w="7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gridSpan w:val="3"/>
          </w:tcPr>
          <w:p>
            <w:pPr>
              <w:jc w:val="center"/>
              <w:ind w:right="360"/>
              <w:spacing w:after="0"/>
              <w:rPr>
                <w:sz w:val="20"/>
                <w:szCs w:val="20"/>
                <w:color w:val="auto"/>
              </w:rPr>
            </w:pPr>
            <w:r>
              <w:rPr>
                <w:rFonts w:ascii="Times New Roman" w:cs="Times New Roman" w:eastAsia="Times New Roman" w:hAnsi="Times New Roman"/>
                <w:sz w:val="12"/>
                <w:szCs w:val="12"/>
                <w:b w:val="1"/>
                <w:bCs w:val="1"/>
                <w:color w:val="auto"/>
                <w:w w:val="99"/>
              </w:rPr>
              <w:t>Pro Forma</w:t>
            </w: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gridSpan w:val="3"/>
          </w:tcPr>
          <w:p>
            <w:pPr>
              <w:jc w:val="right"/>
              <w:ind w:right="60"/>
              <w:spacing w:after="0"/>
              <w:rPr>
                <w:sz w:val="20"/>
                <w:szCs w:val="20"/>
                <w:color w:val="auto"/>
              </w:rPr>
            </w:pPr>
            <w:r>
              <w:rPr>
                <w:rFonts w:ascii="Times New Roman" w:cs="Times New Roman" w:eastAsia="Times New Roman" w:hAnsi="Times New Roman"/>
                <w:sz w:val="12"/>
                <w:szCs w:val="12"/>
                <w:b w:val="1"/>
                <w:bCs w:val="1"/>
                <w:color w:val="auto"/>
              </w:rPr>
              <w:t>Pro Forma</w:t>
            </w:r>
          </w:p>
        </w:tc>
      </w:tr>
      <w:tr>
        <w:trPr>
          <w:trHeight w:val="159"/>
        </w:trPr>
        <w:tc>
          <w:tcPr>
            <w:tcW w:w="70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2"/>
                <w:szCs w:val="12"/>
                <w:b w:val="1"/>
                <w:bCs w:val="1"/>
                <w:color w:val="auto"/>
                <w:w w:val="98"/>
              </w:rPr>
              <w:t>(Historical)</w:t>
            </w:r>
          </w:p>
        </w:tc>
        <w:tc>
          <w:tcPr>
            <w:tcW w:w="340" w:type="dxa"/>
            <w:vAlign w:val="bottom"/>
          </w:tcPr>
          <w:p>
            <w:pPr>
              <w:spacing w:after="0"/>
              <w:rPr>
                <w:sz w:val="13"/>
                <w:szCs w:val="13"/>
                <w:color w:val="auto"/>
              </w:rPr>
            </w:pPr>
          </w:p>
        </w:tc>
        <w:tc>
          <w:tcPr>
            <w:tcW w:w="6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2"/>
                <w:szCs w:val="12"/>
                <w:b w:val="1"/>
                <w:bCs w:val="1"/>
                <w:color w:val="auto"/>
              </w:rPr>
              <w:t>(Historical)</w:t>
            </w:r>
          </w:p>
        </w:tc>
        <w:tc>
          <w:tcPr>
            <w:tcW w:w="360" w:type="dxa"/>
            <w:vAlign w:val="bottom"/>
          </w:tcPr>
          <w:p>
            <w:pPr>
              <w:spacing w:after="0"/>
              <w:rPr>
                <w:sz w:val="13"/>
                <w:szCs w:val="13"/>
                <w:color w:val="auto"/>
              </w:rPr>
            </w:pPr>
          </w:p>
        </w:tc>
        <w:tc>
          <w:tcPr>
            <w:tcW w:w="78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2"/>
                <w:szCs w:val="12"/>
                <w:b w:val="1"/>
                <w:bCs w:val="1"/>
                <w:color w:val="auto"/>
              </w:rPr>
              <w:t>Notes</w:t>
            </w:r>
          </w:p>
        </w:tc>
        <w:tc>
          <w:tcPr>
            <w:tcW w:w="240" w:type="dxa"/>
            <w:vAlign w:val="bottom"/>
          </w:tcPr>
          <w:p>
            <w:pPr>
              <w:spacing w:after="0"/>
              <w:rPr>
                <w:sz w:val="13"/>
                <w:szCs w:val="13"/>
                <w:color w:val="auto"/>
              </w:rPr>
            </w:pPr>
          </w:p>
        </w:tc>
        <w:tc>
          <w:tcPr>
            <w:tcW w:w="66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2"/>
                <w:szCs w:val="12"/>
                <w:b w:val="1"/>
                <w:bCs w:val="1"/>
                <w:color w:val="auto"/>
              </w:rPr>
              <w:t>Adjustment</w:t>
            </w:r>
          </w:p>
        </w:tc>
        <w:tc>
          <w:tcPr>
            <w:tcW w:w="340" w:type="dxa"/>
            <w:vAlign w:val="bottom"/>
          </w:tcPr>
          <w:p>
            <w:pPr>
              <w:spacing w:after="0"/>
              <w:rPr>
                <w:sz w:val="13"/>
                <w:szCs w:val="13"/>
                <w:color w:val="auto"/>
              </w:rPr>
            </w:pPr>
          </w:p>
        </w:tc>
        <w:tc>
          <w:tcPr>
            <w:tcW w:w="78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2"/>
                <w:szCs w:val="12"/>
                <w:b w:val="1"/>
                <w:bCs w:val="1"/>
                <w:color w:val="auto"/>
              </w:rPr>
              <w:t>Notes</w:t>
            </w:r>
          </w:p>
        </w:tc>
        <w:tc>
          <w:tcPr>
            <w:tcW w:w="22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w w:val="97"/>
              </w:rPr>
              <w:t>Combined</w:t>
            </w:r>
          </w:p>
        </w:tc>
        <w:tc>
          <w:tcPr>
            <w:tcW w:w="20" w:type="dxa"/>
            <w:vAlign w:val="bottom"/>
          </w:tcPr>
          <w:p>
            <w:pPr>
              <w:spacing w:after="0"/>
              <w:rPr>
                <w:sz w:val="13"/>
                <w:szCs w:val="13"/>
                <w:color w:val="auto"/>
              </w:rPr>
            </w:pPr>
          </w:p>
        </w:tc>
      </w:tr>
      <w:tr>
        <w:trPr>
          <w:trHeight w:val="275"/>
        </w:trPr>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gridSpan w:val="2"/>
          </w:tcPr>
          <w:p>
            <w:pPr>
              <w:jc w:val="right"/>
              <w:ind w:right="340"/>
              <w:spacing w:after="0"/>
              <w:rPr>
                <w:sz w:val="20"/>
                <w:szCs w:val="20"/>
                <w:color w:val="auto"/>
              </w:rPr>
            </w:pPr>
            <w:r>
              <w:rPr>
                <w:rFonts w:ascii="Times New Roman" w:cs="Times New Roman" w:eastAsia="Times New Roman" w:hAnsi="Times New Roman"/>
                <w:sz w:val="12"/>
                <w:szCs w:val="12"/>
                <w:color w:val="auto"/>
              </w:rPr>
              <w:t>4,770</w:t>
            </w:r>
          </w:p>
        </w:tc>
        <w:tc>
          <w:tcPr>
            <w:tcW w:w="12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gridSpan w:val="2"/>
          </w:tcPr>
          <w:p>
            <w:pPr>
              <w:jc w:val="right"/>
              <w:ind w:right="360"/>
              <w:spacing w:after="0"/>
              <w:rPr>
                <w:sz w:val="20"/>
                <w:szCs w:val="20"/>
                <w:color w:val="auto"/>
              </w:rPr>
            </w:pPr>
            <w:r>
              <w:rPr>
                <w:rFonts w:ascii="Times New Roman" w:cs="Times New Roman" w:eastAsia="Times New Roman" w:hAnsi="Times New Roman"/>
                <w:sz w:val="12"/>
                <w:szCs w:val="12"/>
                <w:color w:val="auto"/>
              </w:rPr>
              <w:t>11,721</w:t>
            </w:r>
          </w:p>
        </w:tc>
        <w:tc>
          <w:tcPr>
            <w:tcW w:w="7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300" w:type="dxa"/>
            <w:vAlign w:val="bottom"/>
          </w:tcPr>
          <w:p>
            <w:pPr>
              <w:jc w:val="right"/>
              <w:ind w:right="182"/>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gridSpan w:val="2"/>
          </w:tcPr>
          <w:p>
            <w:pPr>
              <w:ind w:left="240"/>
              <w:spacing w:after="0"/>
              <w:rPr>
                <w:sz w:val="20"/>
                <w:szCs w:val="20"/>
                <w:color w:val="auto"/>
              </w:rPr>
            </w:pPr>
            <w:r>
              <w:rPr>
                <w:rFonts w:ascii="Times New Roman" w:cs="Times New Roman" w:eastAsia="Times New Roman" w:hAnsi="Times New Roman"/>
                <w:sz w:val="12"/>
                <w:szCs w:val="12"/>
                <w:color w:val="auto"/>
              </w:rPr>
              <w:t>—</w:t>
            </w:r>
          </w:p>
        </w:tc>
        <w:tc>
          <w:tcPr>
            <w:tcW w:w="1060" w:type="dxa"/>
            <w:vAlign w:val="bottom"/>
            <w:gridSpan w:val="3"/>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2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15,722</w:t>
            </w:r>
          </w:p>
        </w:tc>
      </w:tr>
      <w:tr>
        <w:trPr>
          <w:trHeight w:val="155"/>
        </w:trPr>
        <w:tc>
          <w:tcPr>
            <w:tcW w:w="80" w:type="dxa"/>
            <w:vAlign w:val="bottom"/>
          </w:tcPr>
          <w:p>
            <w:pPr>
              <w:spacing w:after="0"/>
              <w:rPr>
                <w:sz w:val="13"/>
                <w:szCs w:val="13"/>
                <w:color w:val="auto"/>
              </w:rPr>
            </w:pPr>
          </w:p>
        </w:tc>
        <w:tc>
          <w:tcPr>
            <w:tcW w:w="960" w:type="dxa"/>
            <w:vAlign w:val="bottom"/>
            <w:gridSpan w:val="2"/>
          </w:tcPr>
          <w:p>
            <w:pPr>
              <w:jc w:val="right"/>
              <w:ind w:right="340"/>
              <w:spacing w:after="0"/>
              <w:rPr>
                <w:sz w:val="20"/>
                <w:szCs w:val="20"/>
                <w:color w:val="auto"/>
              </w:rPr>
            </w:pPr>
            <w:r>
              <w:rPr>
                <w:rFonts w:ascii="Times New Roman" w:cs="Times New Roman" w:eastAsia="Times New Roman" w:hAnsi="Times New Roman"/>
                <w:sz w:val="12"/>
                <w:szCs w:val="12"/>
                <w:color w:val="auto"/>
              </w:rPr>
              <w:t>581</w:t>
            </w:r>
          </w:p>
        </w:tc>
        <w:tc>
          <w:tcPr>
            <w:tcW w:w="120" w:type="dxa"/>
            <w:vAlign w:val="bottom"/>
          </w:tcPr>
          <w:p>
            <w:pPr>
              <w:spacing w:after="0"/>
              <w:rPr>
                <w:sz w:val="13"/>
                <w:szCs w:val="13"/>
                <w:color w:val="auto"/>
              </w:rPr>
            </w:pPr>
          </w:p>
        </w:tc>
        <w:tc>
          <w:tcPr>
            <w:tcW w:w="920" w:type="dxa"/>
            <w:vAlign w:val="bottom"/>
            <w:gridSpan w:val="2"/>
          </w:tcPr>
          <w:p>
            <w:pPr>
              <w:jc w:val="right"/>
              <w:ind w:right="360"/>
              <w:spacing w:after="0"/>
              <w:rPr>
                <w:sz w:val="20"/>
                <w:szCs w:val="20"/>
                <w:color w:val="auto"/>
              </w:rPr>
            </w:pPr>
            <w:r>
              <w:rPr>
                <w:rFonts w:ascii="Times New Roman" w:cs="Times New Roman" w:eastAsia="Times New Roman" w:hAnsi="Times New Roman"/>
                <w:sz w:val="12"/>
                <w:szCs w:val="12"/>
                <w:color w:val="auto"/>
              </w:rPr>
              <w:t>4</w:t>
            </w:r>
          </w:p>
        </w:tc>
        <w:tc>
          <w:tcPr>
            <w:tcW w:w="7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gridSpan w:val="2"/>
          </w:tcPr>
          <w:p>
            <w:pPr>
              <w:ind w:left="240"/>
              <w:spacing w:after="0"/>
              <w:rPr>
                <w:sz w:val="20"/>
                <w:szCs w:val="20"/>
                <w:color w:val="auto"/>
              </w:rPr>
            </w:pPr>
            <w:r>
              <w:rPr>
                <w:rFonts w:ascii="Times New Roman" w:cs="Times New Roman" w:eastAsia="Times New Roman" w:hAnsi="Times New Roman"/>
                <w:sz w:val="12"/>
                <w:szCs w:val="12"/>
                <w:color w:val="auto"/>
              </w:rPr>
              <w:t>—</w:t>
            </w:r>
          </w:p>
        </w:tc>
        <w:tc>
          <w:tcPr>
            <w:tcW w:w="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34</w:t>
            </w:r>
          </w:p>
        </w:tc>
        <w:tc>
          <w:tcPr>
            <w:tcW w:w="20" w:type="dxa"/>
            <w:vAlign w:val="bottom"/>
          </w:tcPr>
          <w:p>
            <w:pPr>
              <w:spacing w:after="0"/>
              <w:rPr>
                <w:sz w:val="13"/>
                <w:szCs w:val="13"/>
                <w:color w:val="auto"/>
              </w:rPr>
            </w:pPr>
          </w:p>
        </w:tc>
      </w:tr>
      <w:tr>
        <w:trPr>
          <w:trHeight w:val="133"/>
        </w:trPr>
        <w:tc>
          <w:tcPr>
            <w:tcW w:w="80" w:type="dxa"/>
            <w:vAlign w:val="bottom"/>
            <w:tcBorders>
              <w:top w:val="single" w:sz="8" w:color="auto"/>
              <w:bottom w:val="single" w:sz="8" w:color="auto"/>
            </w:tcBorders>
          </w:tcPr>
          <w:p>
            <w:pPr>
              <w:spacing w:after="0"/>
              <w:rPr>
                <w:sz w:val="11"/>
                <w:szCs w:val="11"/>
                <w:color w:val="auto"/>
              </w:rPr>
            </w:pPr>
          </w:p>
        </w:tc>
        <w:tc>
          <w:tcPr>
            <w:tcW w:w="620" w:type="dxa"/>
            <w:vAlign w:val="bottom"/>
            <w:tcBorders>
              <w:top w:val="single" w:sz="8" w:color="auto"/>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4,189</w:t>
            </w:r>
          </w:p>
        </w:tc>
        <w:tc>
          <w:tcPr>
            <w:tcW w:w="340" w:type="dxa"/>
            <w:vAlign w:val="bottom"/>
          </w:tcPr>
          <w:p>
            <w:pPr>
              <w:spacing w:after="0"/>
              <w:rPr>
                <w:sz w:val="11"/>
                <w:szCs w:val="11"/>
                <w:color w:val="auto"/>
              </w:rPr>
            </w:pPr>
          </w:p>
        </w:tc>
        <w:tc>
          <w:tcPr>
            <w:tcW w:w="120" w:type="dxa"/>
            <w:vAlign w:val="bottom"/>
            <w:tcBorders>
              <w:top w:val="single" w:sz="8" w:color="auto"/>
              <w:bottom w:val="single" w:sz="8" w:color="auto"/>
            </w:tcBorders>
          </w:tcPr>
          <w:p>
            <w:pPr>
              <w:spacing w:after="0"/>
              <w:rPr>
                <w:sz w:val="11"/>
                <w:szCs w:val="11"/>
                <w:color w:val="auto"/>
              </w:rPr>
            </w:pPr>
          </w:p>
        </w:tc>
        <w:tc>
          <w:tcPr>
            <w:tcW w:w="560" w:type="dxa"/>
            <w:vAlign w:val="bottom"/>
            <w:tcBorders>
              <w:top w:val="single" w:sz="8" w:color="auto"/>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11,718</w:t>
            </w:r>
          </w:p>
        </w:tc>
        <w:tc>
          <w:tcPr>
            <w:tcW w:w="3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Borders>
              <w:top w:val="single" w:sz="8" w:color="auto"/>
              <w:bottom w:val="single" w:sz="8" w:color="auto"/>
            </w:tcBorders>
          </w:tcPr>
          <w:p>
            <w:pPr>
              <w:spacing w:after="0"/>
              <w:rPr>
                <w:sz w:val="11"/>
                <w:szCs w:val="11"/>
                <w:color w:val="auto"/>
              </w:rPr>
            </w:pPr>
          </w:p>
        </w:tc>
        <w:tc>
          <w:tcPr>
            <w:tcW w:w="360" w:type="dxa"/>
            <w:vAlign w:val="bottom"/>
            <w:tcBorders>
              <w:top w:val="single" w:sz="8" w:color="auto"/>
              <w:bottom w:val="single" w:sz="8" w:color="auto"/>
            </w:tcBorders>
          </w:tcPr>
          <w:p>
            <w:pPr>
              <w:ind w:left="240"/>
              <w:spacing w:after="0" w:line="133" w:lineRule="exact"/>
              <w:rPr>
                <w:sz w:val="20"/>
                <w:szCs w:val="20"/>
                <w:color w:val="auto"/>
              </w:rPr>
            </w:pPr>
            <w:r>
              <w:rPr>
                <w:rFonts w:ascii="Times New Roman" w:cs="Times New Roman" w:eastAsia="Times New Roman" w:hAnsi="Times New Roman"/>
                <w:sz w:val="12"/>
                <w:szCs w:val="12"/>
                <w:color w:val="auto"/>
                <w:w w:val="82"/>
              </w:rPr>
              <w:t>—</w:t>
            </w:r>
          </w:p>
        </w:tc>
        <w:tc>
          <w:tcPr>
            <w:tcW w:w="3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Borders>
              <w:top w:val="single" w:sz="8" w:color="auto"/>
              <w:bottom w:val="single" w:sz="8" w:color="auto"/>
            </w:tcBorders>
          </w:tcPr>
          <w:p>
            <w:pPr>
              <w:spacing w:after="0"/>
              <w:rPr>
                <w:sz w:val="11"/>
                <w:szCs w:val="11"/>
                <w:color w:val="auto"/>
              </w:rPr>
            </w:pPr>
          </w:p>
        </w:tc>
        <w:tc>
          <w:tcPr>
            <w:tcW w:w="600" w:type="dxa"/>
            <w:vAlign w:val="bottom"/>
            <w:tcBorders>
              <w:top w:val="single" w:sz="8" w:color="auto"/>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15,689</w:t>
            </w:r>
          </w:p>
        </w:tc>
        <w:tc>
          <w:tcPr>
            <w:tcW w:w="20" w:type="dxa"/>
            <w:vAlign w:val="bottom"/>
            <w:tcBorders>
              <w:bottom w:val="single" w:sz="8" w:color="auto"/>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-2074545</wp:posOffset>
            </wp:positionH>
            <wp:positionV relativeFrom="paragraph">
              <wp:posOffset>-387985</wp:posOffset>
            </wp:positionV>
            <wp:extent cx="7178040" cy="971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78040" cy="97155"/>
                    </a:xfrm>
                    <a:prstGeom prst="rect">
                      <a:avLst/>
                    </a:prstGeom>
                    <a:noFill/>
                  </pic:spPr>
                </pic:pic>
              </a:graphicData>
            </a:graphic>
          </wp:anchor>
        </w:drawing>
        <w:drawing>
          <wp:anchor simplePos="0" relativeHeight="251657728" behindDoc="1" locked="0" layoutInCell="0" allowOverlap="1">
            <wp:simplePos x="0" y="0"/>
            <wp:positionH relativeFrom="column">
              <wp:posOffset>-2074545</wp:posOffset>
            </wp:positionH>
            <wp:positionV relativeFrom="paragraph">
              <wp:posOffset>-199390</wp:posOffset>
            </wp:positionV>
            <wp:extent cx="7178040" cy="971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78040" cy="97155"/>
                    </a:xfrm>
                    <a:prstGeom prst="rect">
                      <a:avLst/>
                    </a:prstGeom>
                    <a:noFill/>
                  </pic:spPr>
                </pic:pic>
              </a:graphicData>
            </a:graphic>
          </wp:anchor>
        </w:drawing>
      </w:r>
    </w:p>
    <w:p>
      <w:pPr>
        <w:spacing w:after="0" w:line="20" w:lineRule="exact"/>
        <w:rPr>
          <w:sz w:val="20"/>
          <w:szCs w:val="20"/>
          <w:color w:val="auto"/>
        </w:rPr>
      </w:pPr>
    </w:p>
    <w:p>
      <w:pPr>
        <w:sectPr>
          <w:pgSz w:w="11900" w:h="16838" w:orient="portrait"/>
          <w:cols w:equalWidth="0" w:num="2">
            <w:col w:w="2540" w:space="720"/>
            <w:col w:w="8040"/>
          </w:cols>
          <w:pgMar w:left="300" w:top="503" w:right="299" w:bottom="1440" w:gutter="0" w:footer="0" w:header="0"/>
        </w:sectPr>
      </w:pPr>
    </w:p>
    <w:tbl>
      <w:tblPr>
        <w:tblLayout w:type="fixed"/>
        <w:tblInd w:w="0" w:type="dxa"/>
        <w:tblCellMar>
          <w:top w:w="0" w:type="dxa"/>
          <w:left w:w="0" w:type="dxa"/>
          <w:bottom w:w="0" w:type="dxa"/>
          <w:right w:w="0" w:type="dxa"/>
        </w:tblCellMar>
      </w:tblPr>
      <w:tr>
        <w:trPr>
          <w:trHeight w:val="124"/>
        </w:trPr>
        <w:tc>
          <w:tcPr>
            <w:tcW w:w="54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04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10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500" w:type="dxa"/>
            <w:vAlign w:val="bottom"/>
            <w:tcBorders>
              <w:right w:val="single" w:sz="8" w:color="CCEEFF"/>
            </w:tcBorders>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r>
      <w:tr>
        <w:trPr>
          <w:trHeight w:val="144"/>
        </w:trPr>
        <w:tc>
          <w:tcPr>
            <w:tcW w:w="5420" w:type="dxa"/>
            <w:vAlign w:val="bottom"/>
          </w:tcPr>
          <w:p>
            <w:pPr>
              <w:spacing w:after="0"/>
              <w:rPr>
                <w:sz w:val="20"/>
                <w:szCs w:val="20"/>
                <w:color w:val="auto"/>
              </w:rPr>
            </w:pPr>
            <w:r>
              <w:rPr>
                <w:rFonts w:ascii="Times New Roman" w:cs="Times New Roman" w:eastAsia="Times New Roman" w:hAnsi="Times New Roman"/>
                <w:sz w:val="12"/>
                <w:szCs w:val="12"/>
                <w:color w:val="auto"/>
              </w:rPr>
              <w:t>Operating expenses:</w:t>
            </w:r>
          </w:p>
        </w:tc>
        <w:tc>
          <w:tcPr>
            <w:tcW w:w="2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4"/>
        </w:trPr>
        <w:tc>
          <w:tcPr>
            <w:tcW w:w="54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General and administrative expenses</w:t>
            </w:r>
          </w:p>
        </w:tc>
        <w:tc>
          <w:tcPr>
            <w:tcW w:w="24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2"/>
                <w:szCs w:val="12"/>
                <w:color w:val="auto"/>
              </w:rPr>
              <w:t>4,022</w:t>
            </w:r>
          </w:p>
        </w:tc>
        <w:tc>
          <w:tcPr>
            <w:tcW w:w="2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98"/>
              <w:spacing w:after="0"/>
              <w:rPr>
                <w:sz w:val="20"/>
                <w:szCs w:val="20"/>
                <w:color w:val="auto"/>
              </w:rPr>
            </w:pPr>
            <w:r>
              <w:rPr>
                <w:rFonts w:ascii="Times New Roman" w:cs="Times New Roman" w:eastAsia="Times New Roman" w:hAnsi="Times New Roman"/>
                <w:sz w:val="12"/>
                <w:szCs w:val="12"/>
                <w:color w:val="auto"/>
              </w:rPr>
              <w:t>11,721</w:t>
            </w:r>
          </w:p>
        </w:tc>
        <w:tc>
          <w:tcPr>
            <w:tcW w:w="10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6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2"/>
                <w:szCs w:val="12"/>
                <w:color w:val="auto"/>
              </w:rPr>
              <w:t>—</w:t>
            </w:r>
          </w:p>
        </w:tc>
        <w:tc>
          <w:tcPr>
            <w:tcW w:w="10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14"/>
              <w:spacing w:after="0"/>
              <w:rPr>
                <w:sz w:val="20"/>
                <w:szCs w:val="20"/>
                <w:color w:val="auto"/>
              </w:rPr>
            </w:pPr>
            <w:r>
              <w:rPr>
                <w:rFonts w:ascii="Times New Roman" w:cs="Times New Roman" w:eastAsia="Times New Roman" w:hAnsi="Times New Roman"/>
                <w:sz w:val="12"/>
                <w:szCs w:val="12"/>
                <w:color w:val="auto"/>
              </w:rPr>
              <w:t>15,746</w:t>
            </w:r>
          </w:p>
        </w:tc>
      </w:tr>
      <w:tr>
        <w:trPr>
          <w:trHeight w:val="153"/>
        </w:trPr>
        <w:tc>
          <w:tcPr>
            <w:tcW w:w="542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Depreciation expense</w:t>
            </w:r>
          </w:p>
        </w:tc>
        <w:tc>
          <w:tcPr>
            <w:tcW w:w="240" w:type="dxa"/>
            <w:vAlign w:val="bottom"/>
          </w:tcPr>
          <w:p>
            <w:pPr>
              <w:spacing w:after="0"/>
              <w:rPr>
                <w:sz w:val="13"/>
                <w:szCs w:val="13"/>
                <w:color w:val="auto"/>
              </w:rPr>
            </w:pPr>
          </w:p>
        </w:tc>
        <w:tc>
          <w:tcPr>
            <w:tcW w:w="800" w:type="dxa"/>
            <w:vAlign w:val="bottom"/>
            <w:gridSpan w:val="2"/>
          </w:tcPr>
          <w:p>
            <w:pPr>
              <w:jc w:val="right"/>
              <w:ind w:right="340"/>
              <w:spacing w:after="0"/>
              <w:rPr>
                <w:sz w:val="20"/>
                <w:szCs w:val="20"/>
                <w:color w:val="auto"/>
              </w:rPr>
            </w:pPr>
            <w:r>
              <w:rPr>
                <w:rFonts w:ascii="Times New Roman" w:cs="Times New Roman" w:eastAsia="Times New Roman" w:hAnsi="Times New Roman"/>
                <w:sz w:val="12"/>
                <w:szCs w:val="12"/>
                <w:color w:val="auto"/>
              </w:rPr>
              <w:t>95</w:t>
            </w:r>
          </w:p>
        </w:tc>
        <w:tc>
          <w:tcPr>
            <w:tcW w:w="200" w:type="dxa"/>
            <w:vAlign w:val="bottom"/>
          </w:tcPr>
          <w:p>
            <w:pPr>
              <w:spacing w:after="0"/>
              <w:rPr>
                <w:sz w:val="13"/>
                <w:szCs w:val="13"/>
                <w:color w:val="auto"/>
              </w:rPr>
            </w:pPr>
          </w:p>
        </w:tc>
        <w:tc>
          <w:tcPr>
            <w:tcW w:w="820" w:type="dxa"/>
            <w:vAlign w:val="bottom"/>
            <w:gridSpan w:val="2"/>
          </w:tcPr>
          <w:p>
            <w:pPr>
              <w:jc w:val="right"/>
              <w:ind w:right="298"/>
              <w:spacing w:after="0"/>
              <w:rPr>
                <w:sz w:val="20"/>
                <w:szCs w:val="20"/>
                <w:color w:val="auto"/>
              </w:rPr>
            </w:pPr>
            <w:r>
              <w:rPr>
                <w:rFonts w:ascii="Times New Roman" w:cs="Times New Roman" w:eastAsia="Times New Roman" w:hAnsi="Times New Roman"/>
                <w:sz w:val="12"/>
                <w:szCs w:val="12"/>
                <w:color w:val="auto"/>
              </w:rPr>
              <w:t>4</w:t>
            </w:r>
          </w:p>
        </w:tc>
        <w:tc>
          <w:tcPr>
            <w:tcW w:w="10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60" w:type="dxa"/>
            <w:vAlign w:val="bottom"/>
            <w:gridSpan w:val="2"/>
          </w:tcPr>
          <w:p>
            <w:pPr>
              <w:ind w:left="240"/>
              <w:spacing w:after="0"/>
              <w:rPr>
                <w:sz w:val="20"/>
                <w:szCs w:val="20"/>
                <w:color w:val="auto"/>
              </w:rPr>
            </w:pPr>
            <w:r>
              <w:rPr>
                <w:rFonts w:ascii="Times New Roman" w:cs="Times New Roman" w:eastAsia="Times New Roman" w:hAnsi="Times New Roman"/>
                <w:sz w:val="12"/>
                <w:szCs w:val="12"/>
                <w:color w:val="auto"/>
              </w:rPr>
              <w:t>—</w:t>
            </w:r>
          </w:p>
        </w:tc>
        <w:tc>
          <w:tcPr>
            <w:tcW w:w="10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96</w:t>
            </w:r>
          </w:p>
        </w:tc>
        <w:tc>
          <w:tcPr>
            <w:tcW w:w="100" w:type="dxa"/>
            <w:vAlign w:val="bottom"/>
          </w:tcPr>
          <w:p>
            <w:pPr>
              <w:spacing w:after="0"/>
              <w:rPr>
                <w:sz w:val="13"/>
                <w:szCs w:val="13"/>
                <w:color w:val="auto"/>
              </w:rPr>
            </w:pPr>
          </w:p>
        </w:tc>
      </w:tr>
      <w:tr>
        <w:trPr>
          <w:trHeight w:val="133"/>
        </w:trPr>
        <w:tc>
          <w:tcPr>
            <w:tcW w:w="5420" w:type="dxa"/>
            <w:vAlign w:val="bottom"/>
            <w:tcBorders>
              <w:top w:val="single" w:sz="8" w:color="CCEEFF"/>
            </w:tcBorders>
            <w:shd w:val="clear" w:color="auto" w:fill="CCEEFF"/>
          </w:tcPr>
          <w:p>
            <w:pPr>
              <w:ind w:left="120"/>
              <w:spacing w:after="0" w:line="133" w:lineRule="exact"/>
              <w:rPr>
                <w:sz w:val="20"/>
                <w:szCs w:val="20"/>
                <w:color w:val="auto"/>
              </w:rPr>
            </w:pPr>
            <w:r>
              <w:rPr>
                <w:rFonts w:ascii="Times New Roman" w:cs="Times New Roman" w:eastAsia="Times New Roman" w:hAnsi="Times New Roman"/>
                <w:sz w:val="12"/>
                <w:szCs w:val="12"/>
                <w:color w:val="auto"/>
              </w:rPr>
              <w:t>Total operating expenses</w:t>
            </w:r>
          </w:p>
        </w:tc>
        <w:tc>
          <w:tcPr>
            <w:tcW w:w="240" w:type="dxa"/>
            <w:vAlign w:val="bottom"/>
            <w:tcBorders>
              <w:top w:val="single" w:sz="8" w:color="auto"/>
              <w:bottom w:val="single" w:sz="8" w:color="auto"/>
            </w:tcBorders>
            <w:shd w:val="clear" w:color="auto" w:fill="CCEEFF"/>
          </w:tcPr>
          <w:p>
            <w:pPr>
              <w:spacing w:after="0"/>
              <w:rPr>
                <w:sz w:val="11"/>
                <w:szCs w:val="11"/>
                <w:color w:val="auto"/>
              </w:rPr>
            </w:pPr>
          </w:p>
        </w:tc>
        <w:tc>
          <w:tcPr>
            <w:tcW w:w="46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4,117</w:t>
            </w:r>
          </w:p>
        </w:tc>
        <w:tc>
          <w:tcPr>
            <w:tcW w:w="34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auto"/>
              <w:bottom w:val="single" w:sz="8" w:color="auto"/>
            </w:tcBorders>
            <w:shd w:val="clear" w:color="auto" w:fill="CCEEFF"/>
          </w:tcPr>
          <w:p>
            <w:pPr>
              <w:spacing w:after="0"/>
              <w:rPr>
                <w:sz w:val="11"/>
                <w:szCs w:val="11"/>
                <w:color w:val="auto"/>
              </w:rPr>
            </w:pPr>
          </w:p>
        </w:tc>
        <w:tc>
          <w:tcPr>
            <w:tcW w:w="48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11,725</w:t>
            </w:r>
          </w:p>
        </w:tc>
        <w:tc>
          <w:tcPr>
            <w:tcW w:w="340" w:type="dxa"/>
            <w:vAlign w:val="bottom"/>
            <w:tcBorders>
              <w:top w:val="single" w:sz="8" w:color="CCEEFF"/>
            </w:tcBorders>
            <w:shd w:val="clear" w:color="auto" w:fill="CCEEFF"/>
          </w:tcPr>
          <w:p>
            <w:pPr>
              <w:spacing w:after="0"/>
              <w:rPr>
                <w:sz w:val="11"/>
                <w:szCs w:val="11"/>
                <w:color w:val="auto"/>
              </w:rPr>
            </w:pPr>
          </w:p>
        </w:tc>
        <w:tc>
          <w:tcPr>
            <w:tcW w:w="1040" w:type="dxa"/>
            <w:vAlign w:val="bottom"/>
            <w:tcBorders>
              <w:top w:val="single" w:sz="8" w:color="CCEEFF"/>
            </w:tcBorders>
            <w:shd w:val="clear" w:color="auto" w:fill="CCEEFF"/>
          </w:tcPr>
          <w:p>
            <w:pPr>
              <w:spacing w:after="0"/>
              <w:rPr>
                <w:sz w:val="11"/>
                <w:szCs w:val="11"/>
                <w:color w:val="auto"/>
              </w:rPr>
            </w:pPr>
          </w:p>
        </w:tc>
        <w:tc>
          <w:tcPr>
            <w:tcW w:w="300" w:type="dxa"/>
            <w:vAlign w:val="bottom"/>
            <w:tcBorders>
              <w:top w:val="single" w:sz="8" w:color="auto"/>
              <w:bottom w:val="single" w:sz="8" w:color="auto"/>
            </w:tcBorders>
            <w:shd w:val="clear" w:color="auto" w:fill="CCEEFF"/>
          </w:tcPr>
          <w:p>
            <w:pPr>
              <w:spacing w:after="0"/>
              <w:rPr>
                <w:sz w:val="11"/>
                <w:szCs w:val="11"/>
                <w:color w:val="auto"/>
              </w:rPr>
            </w:pPr>
          </w:p>
        </w:tc>
        <w:tc>
          <w:tcPr>
            <w:tcW w:w="360" w:type="dxa"/>
            <w:vAlign w:val="bottom"/>
            <w:tcBorders>
              <w:top w:val="single" w:sz="8" w:color="auto"/>
              <w:bottom w:val="single" w:sz="8" w:color="auto"/>
            </w:tcBorders>
            <w:shd w:val="clear" w:color="auto" w:fill="CCEEFF"/>
          </w:tcPr>
          <w:p>
            <w:pPr>
              <w:ind w:left="240"/>
              <w:spacing w:after="0" w:line="133" w:lineRule="exact"/>
              <w:rPr>
                <w:sz w:val="20"/>
                <w:szCs w:val="20"/>
                <w:color w:val="auto"/>
              </w:rPr>
            </w:pPr>
            <w:r>
              <w:rPr>
                <w:rFonts w:ascii="Times New Roman" w:cs="Times New Roman" w:eastAsia="Times New Roman" w:hAnsi="Times New Roman"/>
                <w:sz w:val="12"/>
                <w:szCs w:val="12"/>
                <w:color w:val="auto"/>
                <w:w w:val="82"/>
              </w:rPr>
              <w:t>—</w:t>
            </w:r>
          </w:p>
        </w:tc>
        <w:tc>
          <w:tcPr>
            <w:tcW w:w="300" w:type="dxa"/>
            <w:vAlign w:val="bottom"/>
            <w:tcBorders>
              <w:top w:val="single" w:sz="8" w:color="CCEEFF"/>
            </w:tcBorders>
            <w:shd w:val="clear" w:color="auto" w:fill="CCEEFF"/>
          </w:tcPr>
          <w:p>
            <w:pPr>
              <w:spacing w:after="0"/>
              <w:rPr>
                <w:sz w:val="11"/>
                <w:szCs w:val="11"/>
                <w:color w:val="auto"/>
              </w:rPr>
            </w:pPr>
          </w:p>
        </w:tc>
        <w:tc>
          <w:tcPr>
            <w:tcW w:w="104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bottom w:val="single" w:sz="8" w:color="auto"/>
            </w:tcBorders>
            <w:shd w:val="clear" w:color="auto" w:fill="CCEEFF"/>
          </w:tcPr>
          <w:p>
            <w:pPr>
              <w:spacing w:after="0"/>
              <w:rPr>
                <w:sz w:val="11"/>
                <w:szCs w:val="11"/>
                <w:color w:val="auto"/>
              </w:rPr>
            </w:pPr>
          </w:p>
        </w:tc>
        <w:tc>
          <w:tcPr>
            <w:tcW w:w="500" w:type="dxa"/>
            <w:vAlign w:val="bottom"/>
            <w:tcBorders>
              <w:top w:val="single" w:sz="8" w:color="auto"/>
              <w:bottom w:val="single" w:sz="8" w:color="auto"/>
              <w:right w:val="single" w:sz="8" w:color="CCEEFF"/>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15,842</w:t>
            </w:r>
          </w:p>
        </w:tc>
        <w:tc>
          <w:tcPr>
            <w:tcW w:w="100" w:type="dxa"/>
            <w:vAlign w:val="bottom"/>
            <w:tcBorders>
              <w:top w:val="single" w:sz="8" w:color="CCEEFF"/>
            </w:tcBorders>
            <w:shd w:val="clear" w:color="auto" w:fill="CCEEFF"/>
          </w:tcPr>
          <w:p>
            <w:pPr>
              <w:spacing w:after="0"/>
              <w:rPr>
                <w:sz w:val="11"/>
                <w:szCs w:val="11"/>
                <w:color w:val="auto"/>
              </w:rPr>
            </w:pPr>
          </w:p>
        </w:tc>
      </w:tr>
      <w:tr>
        <w:trPr>
          <w:trHeight w:val="133"/>
        </w:trPr>
        <w:tc>
          <w:tcPr>
            <w:tcW w:w="5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53"/>
        </w:trPr>
        <w:tc>
          <w:tcPr>
            <w:tcW w:w="54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Operating Income (loss)</w:t>
            </w:r>
          </w:p>
        </w:tc>
        <w:tc>
          <w:tcPr>
            <w:tcW w:w="24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2"/>
                <w:szCs w:val="12"/>
                <w:color w:val="auto"/>
              </w:rPr>
              <w:t>72</w:t>
            </w:r>
          </w:p>
        </w:tc>
        <w:tc>
          <w:tcPr>
            <w:tcW w:w="20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258"/>
              <w:spacing w:after="0"/>
              <w:rPr>
                <w:sz w:val="20"/>
                <w:szCs w:val="20"/>
                <w:color w:val="auto"/>
              </w:rPr>
            </w:pPr>
            <w:r>
              <w:rPr>
                <w:rFonts w:ascii="Times New Roman" w:cs="Times New Roman" w:eastAsia="Times New Roman" w:hAnsi="Times New Roman"/>
                <w:sz w:val="12"/>
                <w:szCs w:val="12"/>
                <w:color w:val="auto"/>
              </w:rPr>
              <w:t>(7)</w:t>
            </w:r>
          </w:p>
        </w:tc>
        <w:tc>
          <w:tcPr>
            <w:tcW w:w="104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66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2"/>
                <w:szCs w:val="12"/>
                <w:color w:val="auto"/>
              </w:rPr>
              <w:t>—</w:t>
            </w:r>
          </w:p>
        </w:tc>
        <w:tc>
          <w:tcPr>
            <w:tcW w:w="10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74"/>
              <w:spacing w:after="0"/>
              <w:rPr>
                <w:sz w:val="20"/>
                <w:szCs w:val="20"/>
                <w:color w:val="auto"/>
              </w:rPr>
            </w:pPr>
            <w:r>
              <w:rPr>
                <w:rFonts w:ascii="Times New Roman" w:cs="Times New Roman" w:eastAsia="Times New Roman" w:hAnsi="Times New Roman"/>
                <w:sz w:val="12"/>
                <w:szCs w:val="12"/>
                <w:color w:val="auto"/>
              </w:rPr>
              <w:t>(154)</w:t>
            </w:r>
          </w:p>
        </w:tc>
      </w:tr>
      <w:tr>
        <w:trPr>
          <w:trHeight w:val="133"/>
        </w:trPr>
        <w:tc>
          <w:tcPr>
            <w:tcW w:w="5420" w:type="dxa"/>
            <w:vAlign w:val="bottom"/>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3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360" w:type="dxa"/>
            <w:vAlign w:val="bottom"/>
            <w:tcBorders>
              <w:top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r>
      <w:tr>
        <w:trPr>
          <w:trHeight w:val="153"/>
        </w:trPr>
        <w:tc>
          <w:tcPr>
            <w:tcW w:w="54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Other expenses (income):</w:t>
            </w:r>
          </w:p>
        </w:tc>
        <w:tc>
          <w:tcPr>
            <w:tcW w:w="24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500" w:type="dxa"/>
            <w:vAlign w:val="bottom"/>
            <w:tcBorders>
              <w:right w:val="single" w:sz="8" w:color="CCEEFF"/>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153"/>
        </w:trPr>
        <w:tc>
          <w:tcPr>
            <w:tcW w:w="542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Total other expenses (income), net</w:t>
            </w:r>
          </w:p>
        </w:tc>
        <w:tc>
          <w:tcPr>
            <w:tcW w:w="240" w:type="dxa"/>
            <w:vAlign w:val="bottom"/>
          </w:tcPr>
          <w:p>
            <w:pPr>
              <w:spacing w:after="0"/>
              <w:rPr>
                <w:sz w:val="13"/>
                <w:szCs w:val="13"/>
                <w:color w:val="auto"/>
              </w:rPr>
            </w:pPr>
          </w:p>
        </w:tc>
        <w:tc>
          <w:tcPr>
            <w:tcW w:w="800" w:type="dxa"/>
            <w:vAlign w:val="bottom"/>
            <w:gridSpan w:val="2"/>
          </w:tcPr>
          <w:p>
            <w:pPr>
              <w:jc w:val="right"/>
              <w:ind w:right="340"/>
              <w:spacing w:after="0"/>
              <w:rPr>
                <w:sz w:val="20"/>
                <w:szCs w:val="20"/>
                <w:color w:val="auto"/>
              </w:rPr>
            </w:pPr>
            <w:r>
              <w:rPr>
                <w:rFonts w:ascii="Times New Roman" w:cs="Times New Roman" w:eastAsia="Times New Roman" w:hAnsi="Times New Roman"/>
                <w:sz w:val="12"/>
                <w:szCs w:val="12"/>
                <w:color w:val="auto"/>
              </w:rPr>
              <w:t>37</w:t>
            </w:r>
          </w:p>
        </w:tc>
        <w:tc>
          <w:tcPr>
            <w:tcW w:w="200" w:type="dxa"/>
            <w:vAlign w:val="bottom"/>
          </w:tcPr>
          <w:p>
            <w:pPr>
              <w:spacing w:after="0"/>
              <w:rPr>
                <w:sz w:val="13"/>
                <w:szCs w:val="13"/>
                <w:color w:val="auto"/>
              </w:rPr>
            </w:pPr>
          </w:p>
        </w:tc>
        <w:tc>
          <w:tcPr>
            <w:tcW w:w="820" w:type="dxa"/>
            <w:vAlign w:val="bottom"/>
            <w:gridSpan w:val="2"/>
          </w:tcPr>
          <w:p>
            <w:pPr>
              <w:jc w:val="right"/>
              <w:ind w:right="298"/>
              <w:spacing w:after="0"/>
              <w:rPr>
                <w:sz w:val="20"/>
                <w:szCs w:val="20"/>
                <w:color w:val="auto"/>
              </w:rPr>
            </w:pPr>
            <w:r>
              <w:rPr>
                <w:rFonts w:ascii="Times New Roman" w:cs="Times New Roman" w:eastAsia="Times New Roman" w:hAnsi="Times New Roman"/>
                <w:sz w:val="12"/>
                <w:szCs w:val="12"/>
                <w:color w:val="auto"/>
              </w:rPr>
              <w:t>14,106</w:t>
            </w:r>
          </w:p>
        </w:tc>
        <w:tc>
          <w:tcPr>
            <w:tcW w:w="10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60" w:type="dxa"/>
            <w:vAlign w:val="bottom"/>
            <w:gridSpan w:val="2"/>
          </w:tcPr>
          <w:p>
            <w:pPr>
              <w:ind w:left="240"/>
              <w:spacing w:after="0"/>
              <w:rPr>
                <w:sz w:val="20"/>
                <w:szCs w:val="20"/>
                <w:color w:val="auto"/>
              </w:rPr>
            </w:pPr>
            <w:r>
              <w:rPr>
                <w:rFonts w:ascii="Times New Roman" w:cs="Times New Roman" w:eastAsia="Times New Roman" w:hAnsi="Times New Roman"/>
                <w:sz w:val="12"/>
                <w:szCs w:val="12"/>
                <w:color w:val="auto"/>
              </w:rPr>
              <w:t>—</w:t>
            </w:r>
          </w:p>
        </w:tc>
        <w:tc>
          <w:tcPr>
            <w:tcW w:w="10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gridSpan w:val="2"/>
          </w:tcPr>
          <w:p>
            <w:pPr>
              <w:jc w:val="right"/>
              <w:ind w:right="114"/>
              <w:spacing w:after="0"/>
              <w:rPr>
                <w:sz w:val="20"/>
                <w:szCs w:val="20"/>
                <w:color w:val="auto"/>
              </w:rPr>
            </w:pPr>
            <w:r>
              <w:rPr>
                <w:rFonts w:ascii="Times New Roman" w:cs="Times New Roman" w:eastAsia="Times New Roman" w:hAnsi="Times New Roman"/>
                <w:sz w:val="12"/>
                <w:szCs w:val="12"/>
                <w:color w:val="auto"/>
              </w:rPr>
              <w:t>14,143</w:t>
            </w:r>
          </w:p>
        </w:tc>
      </w:tr>
      <w:tr>
        <w:trPr>
          <w:trHeight w:val="133"/>
        </w:trPr>
        <w:tc>
          <w:tcPr>
            <w:tcW w:w="5420" w:type="dxa"/>
            <w:vAlign w:val="bottom"/>
            <w:tcBorders>
              <w:top w:val="single" w:sz="8" w:color="CCEEFF"/>
            </w:tcBorders>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Loss before income taxes</w:t>
            </w:r>
          </w:p>
        </w:tc>
        <w:tc>
          <w:tcPr>
            <w:tcW w:w="240" w:type="dxa"/>
            <w:vAlign w:val="bottom"/>
            <w:tcBorders>
              <w:top w:val="single" w:sz="8" w:color="auto"/>
              <w:bottom w:val="single" w:sz="8" w:color="auto"/>
            </w:tcBorders>
            <w:shd w:val="clear" w:color="auto" w:fill="CCEEFF"/>
          </w:tcPr>
          <w:p>
            <w:pPr>
              <w:spacing w:after="0"/>
              <w:rPr>
                <w:sz w:val="11"/>
                <w:szCs w:val="11"/>
                <w:color w:val="auto"/>
              </w:rPr>
            </w:pPr>
          </w:p>
        </w:tc>
        <w:tc>
          <w:tcPr>
            <w:tcW w:w="46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35</w:t>
            </w:r>
          </w:p>
        </w:tc>
        <w:tc>
          <w:tcPr>
            <w:tcW w:w="34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auto"/>
              <w:bottom w:val="single" w:sz="8" w:color="auto"/>
            </w:tcBorders>
            <w:shd w:val="clear" w:color="auto" w:fill="CCEEFF"/>
          </w:tcPr>
          <w:p>
            <w:pPr>
              <w:spacing w:after="0"/>
              <w:rPr>
                <w:sz w:val="11"/>
                <w:szCs w:val="11"/>
                <w:color w:val="auto"/>
              </w:rPr>
            </w:pPr>
          </w:p>
        </w:tc>
        <w:tc>
          <w:tcPr>
            <w:tcW w:w="48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(14,114)</w:t>
            </w:r>
          </w:p>
        </w:tc>
        <w:tc>
          <w:tcPr>
            <w:tcW w:w="340" w:type="dxa"/>
            <w:vAlign w:val="bottom"/>
            <w:tcBorders>
              <w:top w:val="single" w:sz="8" w:color="CCEEFF"/>
            </w:tcBorders>
            <w:shd w:val="clear" w:color="auto" w:fill="CCEEFF"/>
          </w:tcPr>
          <w:p>
            <w:pPr>
              <w:spacing w:after="0"/>
              <w:rPr>
                <w:sz w:val="11"/>
                <w:szCs w:val="11"/>
                <w:color w:val="auto"/>
              </w:rPr>
            </w:pPr>
          </w:p>
        </w:tc>
        <w:tc>
          <w:tcPr>
            <w:tcW w:w="1040" w:type="dxa"/>
            <w:vAlign w:val="bottom"/>
            <w:tcBorders>
              <w:top w:val="single" w:sz="8" w:color="CCEEFF"/>
            </w:tcBorders>
            <w:shd w:val="clear" w:color="auto" w:fill="CCEEFF"/>
          </w:tcPr>
          <w:p>
            <w:pPr>
              <w:spacing w:after="0"/>
              <w:rPr>
                <w:sz w:val="11"/>
                <w:szCs w:val="11"/>
                <w:color w:val="auto"/>
              </w:rPr>
            </w:pPr>
          </w:p>
        </w:tc>
        <w:tc>
          <w:tcPr>
            <w:tcW w:w="300" w:type="dxa"/>
            <w:vAlign w:val="bottom"/>
            <w:tcBorders>
              <w:top w:val="single" w:sz="8" w:color="auto"/>
              <w:bottom w:val="single" w:sz="8" w:color="auto"/>
            </w:tcBorders>
            <w:shd w:val="clear" w:color="auto" w:fill="CCEEFF"/>
          </w:tcPr>
          <w:p>
            <w:pPr>
              <w:spacing w:after="0"/>
              <w:rPr>
                <w:sz w:val="11"/>
                <w:szCs w:val="11"/>
                <w:color w:val="auto"/>
              </w:rPr>
            </w:pPr>
          </w:p>
        </w:tc>
        <w:tc>
          <w:tcPr>
            <w:tcW w:w="360" w:type="dxa"/>
            <w:vAlign w:val="bottom"/>
            <w:tcBorders>
              <w:top w:val="single" w:sz="8" w:color="auto"/>
              <w:bottom w:val="single" w:sz="8" w:color="auto"/>
            </w:tcBorders>
            <w:shd w:val="clear" w:color="auto" w:fill="CCEEFF"/>
          </w:tcPr>
          <w:p>
            <w:pPr>
              <w:ind w:left="240"/>
              <w:spacing w:after="0" w:line="133" w:lineRule="exact"/>
              <w:rPr>
                <w:sz w:val="20"/>
                <w:szCs w:val="20"/>
                <w:color w:val="auto"/>
              </w:rPr>
            </w:pPr>
            <w:r>
              <w:rPr>
                <w:rFonts w:ascii="Times New Roman" w:cs="Times New Roman" w:eastAsia="Times New Roman" w:hAnsi="Times New Roman"/>
                <w:sz w:val="12"/>
                <w:szCs w:val="12"/>
                <w:color w:val="auto"/>
                <w:w w:val="82"/>
              </w:rPr>
              <w:t>—</w:t>
            </w:r>
          </w:p>
        </w:tc>
        <w:tc>
          <w:tcPr>
            <w:tcW w:w="300" w:type="dxa"/>
            <w:vAlign w:val="bottom"/>
            <w:tcBorders>
              <w:top w:val="single" w:sz="8" w:color="CCEEFF"/>
            </w:tcBorders>
            <w:shd w:val="clear" w:color="auto" w:fill="CCEEFF"/>
          </w:tcPr>
          <w:p>
            <w:pPr>
              <w:spacing w:after="0"/>
              <w:rPr>
                <w:sz w:val="11"/>
                <w:szCs w:val="11"/>
                <w:color w:val="auto"/>
              </w:rPr>
            </w:pPr>
          </w:p>
        </w:tc>
        <w:tc>
          <w:tcPr>
            <w:tcW w:w="104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bottom w:val="single" w:sz="8" w:color="auto"/>
            </w:tcBorders>
            <w:shd w:val="clear" w:color="auto" w:fill="CCEEFF"/>
          </w:tcPr>
          <w:p>
            <w:pPr>
              <w:spacing w:after="0"/>
              <w:rPr>
                <w:sz w:val="11"/>
                <w:szCs w:val="11"/>
                <w:color w:val="auto"/>
              </w:rPr>
            </w:pPr>
          </w:p>
        </w:tc>
        <w:tc>
          <w:tcPr>
            <w:tcW w:w="500" w:type="dxa"/>
            <w:vAlign w:val="bottom"/>
            <w:tcBorders>
              <w:top w:val="single" w:sz="8" w:color="auto"/>
              <w:bottom w:val="single" w:sz="8" w:color="auto"/>
              <w:right w:val="single" w:sz="8" w:color="CCEEFF"/>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(14,296)</w:t>
            </w:r>
          </w:p>
        </w:tc>
        <w:tc>
          <w:tcPr>
            <w:tcW w:w="100" w:type="dxa"/>
            <w:vAlign w:val="bottom"/>
            <w:tcBorders>
              <w:top w:val="single" w:sz="8" w:color="CCEEFF"/>
            </w:tcBorders>
            <w:shd w:val="clear" w:color="auto" w:fill="CCEEFF"/>
          </w:tcPr>
          <w:p>
            <w:pPr>
              <w:spacing w:after="0"/>
              <w:rPr>
                <w:sz w:val="11"/>
                <w:szCs w:val="11"/>
                <w:color w:val="auto"/>
              </w:rPr>
            </w:pPr>
          </w:p>
        </w:tc>
      </w:tr>
      <w:tr>
        <w:trPr>
          <w:trHeight w:val="133"/>
        </w:trPr>
        <w:tc>
          <w:tcPr>
            <w:tcW w:w="5420" w:type="dxa"/>
            <w:vAlign w:val="bottom"/>
            <w:tcBorders>
              <w:bottom w:val="single" w:sz="8" w:color="CCEEFF"/>
            </w:tcBorders>
          </w:tcPr>
          <w:p>
            <w:pPr>
              <w:ind w:left="120"/>
              <w:spacing w:after="0" w:line="133" w:lineRule="exact"/>
              <w:rPr>
                <w:sz w:val="20"/>
                <w:szCs w:val="20"/>
                <w:color w:val="auto"/>
              </w:rPr>
            </w:pPr>
            <w:r>
              <w:rPr>
                <w:rFonts w:ascii="Times New Roman" w:cs="Times New Roman" w:eastAsia="Times New Roman" w:hAnsi="Times New Roman"/>
                <w:sz w:val="12"/>
                <w:szCs w:val="12"/>
                <w:color w:val="auto"/>
              </w:rPr>
              <w:t>Income tax expense</w:t>
            </w:r>
          </w:p>
        </w:tc>
        <w:tc>
          <w:tcPr>
            <w:tcW w:w="24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w:t>
            </w:r>
          </w:p>
        </w:tc>
        <w:tc>
          <w:tcPr>
            <w:tcW w:w="340" w:type="dxa"/>
            <w:vAlign w:val="bottom"/>
            <w:tcBorders>
              <w:bottom w:val="single" w:sz="8" w:color="CCEEFF"/>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7</w:t>
            </w:r>
          </w:p>
        </w:tc>
        <w:tc>
          <w:tcPr>
            <w:tcW w:w="340" w:type="dxa"/>
            <w:vAlign w:val="bottom"/>
            <w:tcBorders>
              <w:bottom w:val="single" w:sz="8" w:color="CCEEFF"/>
            </w:tcBorders>
          </w:tcPr>
          <w:p>
            <w:pPr>
              <w:spacing w:after="0"/>
              <w:rPr>
                <w:sz w:val="11"/>
                <w:szCs w:val="11"/>
                <w:color w:val="auto"/>
              </w:rPr>
            </w:pPr>
          </w:p>
        </w:tc>
        <w:tc>
          <w:tcPr>
            <w:tcW w:w="1040" w:type="dxa"/>
            <w:vAlign w:val="bottom"/>
            <w:tcBorders>
              <w:bottom w:val="single" w:sz="8" w:color="CCEEFF"/>
            </w:tcBorders>
          </w:tcPr>
          <w:p>
            <w:pPr>
              <w:ind w:left="300"/>
              <w:spacing w:after="0" w:line="133" w:lineRule="exact"/>
              <w:rPr>
                <w:sz w:val="20"/>
                <w:szCs w:val="20"/>
                <w:color w:val="auto"/>
              </w:rPr>
            </w:pPr>
            <w:r>
              <w:rPr>
                <w:rFonts w:ascii="Times New Roman" w:cs="Times New Roman" w:eastAsia="Times New Roman" w:hAnsi="Times New Roman"/>
                <w:sz w:val="12"/>
                <w:szCs w:val="12"/>
                <w:color w:val="auto"/>
              </w:rPr>
              <w:t>(CC)</w:t>
            </w:r>
          </w:p>
        </w:tc>
        <w:tc>
          <w:tcPr>
            <w:tcW w:w="30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ind w:left="240"/>
              <w:spacing w:after="0" w:line="133" w:lineRule="exact"/>
              <w:rPr>
                <w:sz w:val="20"/>
                <w:szCs w:val="20"/>
                <w:color w:val="auto"/>
              </w:rPr>
            </w:pPr>
            <w:r>
              <w:rPr>
                <w:rFonts w:ascii="Times New Roman" w:cs="Times New Roman" w:eastAsia="Times New Roman" w:hAnsi="Times New Roman"/>
                <w:sz w:val="12"/>
                <w:szCs w:val="12"/>
                <w:color w:val="auto"/>
                <w:w w:val="82"/>
              </w:rPr>
              <w:t>—</w:t>
            </w:r>
          </w:p>
        </w:tc>
        <w:tc>
          <w:tcPr>
            <w:tcW w:w="300" w:type="dxa"/>
            <w:vAlign w:val="bottom"/>
            <w:tcBorders>
              <w:bottom w:val="single" w:sz="8" w:color="CCEEFF"/>
            </w:tcBorders>
          </w:tcPr>
          <w:p>
            <w:pPr>
              <w:spacing w:after="0"/>
              <w:rPr>
                <w:sz w:val="11"/>
                <w:szCs w:val="11"/>
                <w:color w:val="auto"/>
              </w:rPr>
            </w:pPr>
          </w:p>
        </w:tc>
        <w:tc>
          <w:tcPr>
            <w:tcW w:w="1040" w:type="dxa"/>
            <w:vAlign w:val="bottom"/>
            <w:tcBorders>
              <w:bottom w:val="single" w:sz="8" w:color="CCEEFF"/>
            </w:tcBorders>
          </w:tcPr>
          <w:p>
            <w:pPr>
              <w:ind w:left="300"/>
              <w:spacing w:after="0" w:line="133" w:lineRule="exact"/>
              <w:rPr>
                <w:sz w:val="20"/>
                <w:szCs w:val="20"/>
                <w:color w:val="auto"/>
              </w:rPr>
            </w:pPr>
            <w:r>
              <w:rPr>
                <w:rFonts w:ascii="Times New Roman" w:cs="Times New Roman" w:eastAsia="Times New Roman" w:hAnsi="Times New Roman"/>
                <w:sz w:val="12"/>
                <w:szCs w:val="12"/>
                <w:color w:val="auto"/>
              </w:rPr>
              <w:t>(DD)</w:t>
            </w:r>
          </w:p>
        </w:tc>
        <w:tc>
          <w:tcPr>
            <w:tcW w:w="18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7</w:t>
            </w:r>
          </w:p>
        </w:tc>
        <w:tc>
          <w:tcPr>
            <w:tcW w:w="100" w:type="dxa"/>
            <w:vAlign w:val="bottom"/>
            <w:tcBorders>
              <w:bottom w:val="single" w:sz="8" w:color="CCEEFF"/>
            </w:tcBorders>
          </w:tcPr>
          <w:p>
            <w:pPr>
              <w:spacing w:after="0"/>
              <w:rPr>
                <w:sz w:val="11"/>
                <w:szCs w:val="11"/>
                <w:color w:val="auto"/>
              </w:rPr>
            </w:pPr>
          </w:p>
        </w:tc>
      </w:tr>
      <w:tr>
        <w:trPr>
          <w:trHeight w:val="149"/>
        </w:trPr>
        <w:tc>
          <w:tcPr>
            <w:tcW w:w="5420" w:type="dxa"/>
            <w:vAlign w:val="bottom"/>
            <w:tcBorders>
              <w:bottom w:val="single" w:sz="8" w:color="CCEEFF"/>
            </w:tcBorders>
            <w:shd w:val="clear" w:color="auto" w:fill="CCEEFF"/>
          </w:tcPr>
          <w:p>
            <w:pPr>
              <w:spacing w:after="0" w:line="135" w:lineRule="exact"/>
              <w:rPr>
                <w:sz w:val="20"/>
                <w:szCs w:val="20"/>
                <w:color w:val="auto"/>
              </w:rPr>
            </w:pPr>
            <w:r>
              <w:rPr>
                <w:rFonts w:ascii="Times New Roman" w:cs="Times New Roman" w:eastAsia="Times New Roman" w:hAnsi="Times New Roman"/>
                <w:sz w:val="12"/>
                <w:szCs w:val="12"/>
                <w:color w:val="auto"/>
              </w:rPr>
              <w:t>Net income (loss)</w:t>
            </w:r>
          </w:p>
        </w:tc>
        <w:tc>
          <w:tcPr>
            <w:tcW w:w="240" w:type="dxa"/>
            <w:vAlign w:val="bottom"/>
            <w:tcBorders>
              <w:bottom w:val="single" w:sz="8" w:color="auto"/>
            </w:tcBorders>
            <w:shd w:val="clear" w:color="auto" w:fill="CCEEFF"/>
          </w:tcPr>
          <w:p>
            <w:pPr>
              <w:jc w:val="right"/>
              <w:ind w:right="126"/>
              <w:spacing w:after="0"/>
              <w:rPr>
                <w:sz w:val="20"/>
                <w:szCs w:val="20"/>
                <w:color w:val="auto"/>
              </w:rPr>
            </w:pPr>
            <w:r>
              <w:rPr>
                <w:rFonts w:ascii="Times New Roman" w:cs="Times New Roman" w:eastAsia="Times New Roman" w:hAnsi="Times New Roman"/>
                <w:sz w:val="11"/>
                <w:szCs w:val="11"/>
                <w:color w:val="auto"/>
                <w:w w:val="71"/>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35</w:t>
            </w:r>
          </w:p>
        </w:tc>
        <w:tc>
          <w:tcPr>
            <w:tcW w:w="340" w:type="dxa"/>
            <w:vAlign w:val="bottom"/>
            <w:tcBorders>
              <w:bottom w:val="single" w:sz="8" w:color="CCEEFF"/>
            </w:tcBorders>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(14,121</w:t>
            </w:r>
          </w:p>
        </w:tc>
        <w:tc>
          <w:tcPr>
            <w:tcW w:w="340" w:type="dxa"/>
            <w:vAlign w:val="bottom"/>
            <w:tcBorders>
              <w:bottom w:val="single" w:sz="8" w:color="CCEEFF"/>
            </w:tcBorders>
            <w:shd w:val="clear" w:color="auto" w:fill="CCEEFF"/>
          </w:tcPr>
          <w:p>
            <w:pPr>
              <w:jc w:val="right"/>
              <w:ind w:right="258"/>
              <w:spacing w:after="0"/>
              <w:rPr>
                <w:sz w:val="20"/>
                <w:szCs w:val="20"/>
                <w:color w:val="auto"/>
              </w:rPr>
            </w:pPr>
            <w:r>
              <w:rPr>
                <w:rFonts w:ascii="Times New Roman" w:cs="Times New Roman" w:eastAsia="Times New Roman" w:hAnsi="Times New Roman"/>
                <w:sz w:val="8"/>
                <w:szCs w:val="8"/>
                <w:color w:val="auto"/>
                <w:w w:val="73"/>
              </w:rPr>
              <w:t>)</w:t>
            </w:r>
          </w:p>
        </w:tc>
        <w:tc>
          <w:tcPr>
            <w:tcW w:w="1040" w:type="dxa"/>
            <w:vAlign w:val="bottom"/>
            <w:tcBorders>
              <w:bottom w:val="single" w:sz="8" w:color="CCEEFF"/>
            </w:tcBorders>
            <w:shd w:val="clear" w:color="auto" w:fill="CCEEFF"/>
          </w:tcPr>
          <w:p>
            <w:pPr>
              <w:spacing w:after="0"/>
              <w:rPr>
                <w:sz w:val="12"/>
                <w:szCs w:val="12"/>
                <w:color w:val="auto"/>
              </w:rPr>
            </w:pPr>
          </w:p>
        </w:tc>
        <w:tc>
          <w:tcPr>
            <w:tcW w:w="300" w:type="dxa"/>
            <w:vAlign w:val="bottom"/>
            <w:tcBorders>
              <w:bottom w:val="single" w:sz="8" w:color="auto"/>
            </w:tcBorders>
            <w:shd w:val="clear" w:color="auto" w:fill="CCEEFF"/>
          </w:tcPr>
          <w:p>
            <w:pPr>
              <w:jc w:val="right"/>
              <w:ind w:right="186"/>
              <w:spacing w:after="0"/>
              <w:rPr>
                <w:sz w:val="20"/>
                <w:szCs w:val="20"/>
                <w:color w:val="auto"/>
              </w:rPr>
            </w:pPr>
            <w:r>
              <w:rPr>
                <w:rFonts w:ascii="Times New Roman" w:cs="Times New Roman" w:eastAsia="Times New Roman" w:hAnsi="Times New Roman"/>
                <w:sz w:val="11"/>
                <w:szCs w:val="11"/>
                <w:color w:val="auto"/>
                <w:w w:val="71"/>
              </w:rPr>
              <w:t>$</w:t>
            </w:r>
          </w:p>
        </w:tc>
        <w:tc>
          <w:tcPr>
            <w:tcW w:w="360" w:type="dxa"/>
            <w:vAlign w:val="bottom"/>
            <w:tcBorders>
              <w:bottom w:val="single" w:sz="8" w:color="auto"/>
            </w:tcBorders>
            <w:shd w:val="clear" w:color="auto" w:fill="CCEEFF"/>
          </w:tcPr>
          <w:p>
            <w:pPr>
              <w:ind w:left="240"/>
              <w:spacing w:after="0"/>
              <w:rPr>
                <w:sz w:val="20"/>
                <w:szCs w:val="20"/>
                <w:color w:val="auto"/>
              </w:rPr>
            </w:pPr>
            <w:r>
              <w:rPr>
                <w:rFonts w:ascii="Times New Roman" w:cs="Times New Roman" w:eastAsia="Times New Roman" w:hAnsi="Times New Roman"/>
                <w:sz w:val="12"/>
                <w:szCs w:val="12"/>
                <w:color w:val="auto"/>
                <w:w w:val="82"/>
              </w:rPr>
              <w:t>—</w:t>
            </w:r>
          </w:p>
        </w:tc>
        <w:tc>
          <w:tcPr>
            <w:tcW w:w="300" w:type="dxa"/>
            <w:vAlign w:val="bottom"/>
            <w:tcBorders>
              <w:bottom w:val="single" w:sz="8" w:color="CCEEFF"/>
            </w:tcBorders>
            <w:shd w:val="clear" w:color="auto" w:fill="CCEEFF"/>
          </w:tcPr>
          <w:p>
            <w:pPr>
              <w:spacing w:after="0"/>
              <w:rPr>
                <w:sz w:val="12"/>
                <w:szCs w:val="12"/>
                <w:color w:val="auto"/>
              </w:rPr>
            </w:pPr>
          </w:p>
        </w:tc>
        <w:tc>
          <w:tcPr>
            <w:tcW w:w="104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50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(14,303</w:t>
            </w:r>
          </w:p>
        </w:tc>
        <w:tc>
          <w:tcPr>
            <w:tcW w:w="100" w:type="dxa"/>
            <w:vAlign w:val="bottom"/>
            <w:tcBorders>
              <w:bottom w:val="single" w:sz="8" w:color="CCEEFF"/>
            </w:tcBorders>
            <w:shd w:val="clear" w:color="auto" w:fill="CCEEFF"/>
          </w:tcPr>
          <w:p>
            <w:pPr>
              <w:jc w:val="right"/>
              <w:ind w:right="74"/>
              <w:spacing w:after="0"/>
              <w:rPr>
                <w:sz w:val="20"/>
                <w:szCs w:val="20"/>
                <w:color w:val="auto"/>
              </w:rPr>
            </w:pPr>
            <w:r>
              <w:rPr>
                <w:rFonts w:ascii="Times New Roman" w:cs="Times New Roman" w:eastAsia="Times New Roman" w:hAnsi="Times New Roman"/>
                <w:sz w:val="1"/>
                <w:szCs w:val="1"/>
                <w:color w:val="auto"/>
                <w:w w:val="4294967281"/>
              </w:rPr>
              <w:t>)</w:t>
            </w:r>
          </w:p>
        </w:tc>
      </w:tr>
      <w:tr>
        <w:trPr>
          <w:trHeight w:val="144"/>
        </w:trPr>
        <w:tc>
          <w:tcPr>
            <w:tcW w:w="54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4"/>
        </w:trPr>
        <w:tc>
          <w:tcPr>
            <w:tcW w:w="54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Net loss per share</w:t>
            </w:r>
          </w:p>
        </w:tc>
        <w:tc>
          <w:tcPr>
            <w:tcW w:w="2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0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44"/>
        </w:trPr>
        <w:tc>
          <w:tcPr>
            <w:tcW w:w="542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Basic and diluted</w:t>
            </w:r>
          </w:p>
        </w:tc>
        <w:tc>
          <w:tcPr>
            <w:tcW w:w="2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gridSpan w:val="2"/>
          </w:tcPr>
          <w:p>
            <w:pPr>
              <w:jc w:val="right"/>
              <w:ind w:right="258"/>
              <w:spacing w:after="0"/>
              <w:rPr>
                <w:sz w:val="20"/>
                <w:szCs w:val="20"/>
                <w:color w:val="auto"/>
              </w:rPr>
            </w:pPr>
            <w:r>
              <w:rPr>
                <w:rFonts w:ascii="Times New Roman" w:cs="Times New Roman" w:eastAsia="Times New Roman" w:hAnsi="Times New Roman"/>
                <w:sz w:val="12"/>
                <w:szCs w:val="12"/>
                <w:color w:val="auto"/>
              </w:rPr>
              <w:t>(8.27)</w:t>
            </w:r>
          </w:p>
        </w:tc>
        <w:tc>
          <w:tcPr>
            <w:tcW w:w="10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20" w:type="dxa"/>
            <w:vAlign w:val="bottom"/>
            <w:gridSpan w:val="2"/>
          </w:tcPr>
          <w:p>
            <w:pPr>
              <w:jc w:val="right"/>
              <w:ind w:right="66"/>
              <w:spacing w:after="0"/>
              <w:rPr>
                <w:sz w:val="20"/>
                <w:szCs w:val="20"/>
                <w:color w:val="auto"/>
              </w:rPr>
            </w:pPr>
            <w:r>
              <w:rPr>
                <w:rFonts w:ascii="Times New Roman" w:cs="Times New Roman" w:eastAsia="Times New Roman" w:hAnsi="Times New Roman"/>
                <w:sz w:val="12"/>
                <w:szCs w:val="12"/>
                <w:color w:val="auto"/>
              </w:rPr>
              <w:t>$</w:t>
            </w:r>
          </w:p>
        </w:tc>
        <w:tc>
          <w:tcPr>
            <w:tcW w:w="600" w:type="dxa"/>
            <w:vAlign w:val="bottom"/>
            <w:gridSpan w:val="2"/>
          </w:tcPr>
          <w:p>
            <w:pPr>
              <w:jc w:val="right"/>
              <w:ind w:right="74"/>
              <w:spacing w:after="0"/>
              <w:rPr>
                <w:sz w:val="20"/>
                <w:szCs w:val="20"/>
                <w:color w:val="auto"/>
              </w:rPr>
            </w:pPr>
            <w:r>
              <w:rPr>
                <w:rFonts w:ascii="Times New Roman" w:cs="Times New Roman" w:eastAsia="Times New Roman" w:hAnsi="Times New Roman"/>
                <w:sz w:val="12"/>
                <w:szCs w:val="12"/>
                <w:color w:val="auto"/>
              </w:rPr>
              <w:t>(8.25)</w:t>
            </w:r>
          </w:p>
        </w:tc>
      </w:tr>
      <w:tr>
        <w:trPr>
          <w:trHeight w:val="144"/>
        </w:trPr>
        <w:tc>
          <w:tcPr>
            <w:tcW w:w="54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Weighted average common shares outstanding</w:t>
            </w:r>
          </w:p>
        </w:tc>
        <w:tc>
          <w:tcPr>
            <w:tcW w:w="2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0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62"/>
        </w:trPr>
        <w:tc>
          <w:tcPr>
            <w:tcW w:w="542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Basic and diluted</w:t>
            </w:r>
          </w:p>
        </w:tc>
        <w:tc>
          <w:tcPr>
            <w:tcW w:w="2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gridSpan w:val="2"/>
          </w:tcPr>
          <w:p>
            <w:pPr>
              <w:jc w:val="right"/>
              <w:ind w:right="298"/>
              <w:spacing w:after="0"/>
              <w:rPr>
                <w:sz w:val="20"/>
                <w:szCs w:val="20"/>
                <w:color w:val="auto"/>
              </w:rPr>
            </w:pPr>
            <w:r>
              <w:rPr>
                <w:rFonts w:ascii="Times New Roman" w:cs="Times New Roman" w:eastAsia="Times New Roman" w:hAnsi="Times New Roman"/>
                <w:sz w:val="12"/>
                <w:szCs w:val="12"/>
                <w:color w:val="auto"/>
              </w:rPr>
              <w:t>2,862</w:t>
            </w:r>
          </w:p>
        </w:tc>
        <w:tc>
          <w:tcPr>
            <w:tcW w:w="10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2,862</w:t>
            </w:r>
          </w:p>
        </w:tc>
        <w:tc>
          <w:tcPr>
            <w:tcW w:w="100" w:type="dxa"/>
            <w:vAlign w:val="bottom"/>
          </w:tcPr>
          <w:p>
            <w:pPr>
              <w:spacing w:after="0"/>
              <w:rPr>
                <w:sz w:val="14"/>
                <w:szCs w:val="14"/>
                <w:color w:val="auto"/>
              </w:rPr>
            </w:pPr>
          </w:p>
        </w:tc>
      </w:tr>
      <w:tr>
        <w:trPr>
          <w:trHeight w:val="27"/>
        </w:trPr>
        <w:tc>
          <w:tcPr>
            <w:tcW w:w="5420" w:type="dxa"/>
            <w:vAlign w:val="bottom"/>
          </w:tcPr>
          <w:p>
            <w:pPr>
              <w:spacing w:after="0"/>
              <w:rPr>
                <w:sz w:val="2"/>
                <w:szCs w:val="2"/>
                <w:color w:val="auto"/>
              </w:rPr>
            </w:pPr>
          </w:p>
        </w:tc>
        <w:tc>
          <w:tcPr>
            <w:tcW w:w="240" w:type="dxa"/>
            <w:vAlign w:val="bottom"/>
          </w:tcPr>
          <w:p>
            <w:pPr>
              <w:spacing w:after="0"/>
              <w:rPr>
                <w:sz w:val="2"/>
                <w:szCs w:val="2"/>
                <w:color w:val="auto"/>
              </w:rPr>
            </w:pPr>
          </w:p>
        </w:tc>
        <w:tc>
          <w:tcPr>
            <w:tcW w:w="46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00" w:type="dxa"/>
            <w:vAlign w:val="bottom"/>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00" w:type="dxa"/>
            <w:vAlign w:val="bottom"/>
            <w:tcBorders>
              <w:right w:val="single" w:sz="8" w:color="auto"/>
            </w:tcBorders>
            <w:shd w:val="clear" w:color="auto" w:fill="000000"/>
          </w:tcPr>
          <w:p>
            <w:pPr>
              <w:spacing w:after="0"/>
              <w:rPr>
                <w:sz w:val="2"/>
                <w:szCs w:val="2"/>
                <w:color w:val="auto"/>
              </w:rPr>
            </w:pPr>
          </w:p>
        </w:tc>
        <w:tc>
          <w:tcPr>
            <w:tcW w:w="100" w:type="dxa"/>
            <w:vAlign w:val="bottom"/>
          </w:tcPr>
          <w:p>
            <w:pPr>
              <w:spacing w:after="0"/>
              <w:rPr>
                <w:sz w:val="2"/>
                <w:szCs w:val="2"/>
                <w:color w:val="auto"/>
              </w:rPr>
            </w:pPr>
          </w:p>
        </w:tc>
      </w:tr>
    </w:tbl>
    <w:p>
      <w:pPr>
        <w:spacing w:after="0" w:line="13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color w:val="auto"/>
        </w:rPr>
        <w:t>See Notes to Unaudited Pro Forma Condensed Combined Financial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193675</wp:posOffset>
            </wp:positionV>
            <wp:extent cx="7178040" cy="571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503" w:right="299" w:bottom="1440" w:gutter="0" w:footer="0" w:header="0"/>
          <w:type w:val="continuous"/>
        </w:sectPr>
      </w:pPr>
    </w:p>
    <w:bookmarkStart w:id="50" w:name="page51"/>
    <w:bookmarkEnd w:id="50"/>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BANZAI INTERNATIONAL INC.</w:t>
      </w:r>
    </w:p>
    <w:p>
      <w:pPr>
        <w:spacing w:after="0" w:line="2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UNAUDITED PRO FORMA CONDENSED COMBINED BALANCE SHEET</w:t>
      </w:r>
    </w:p>
    <w:p>
      <w:pPr>
        <w:spacing w:after="0" w:line="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YEAR ENDED AS OF DECEMBER 31, 2023</w:t>
      </w:r>
    </w:p>
    <w:p>
      <w:pPr>
        <w:spacing w:after="0" w:line="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(Amounts in millions, except per share amounts)</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31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60" w:type="dxa"/>
            <w:vAlign w:val="bottom"/>
            <w:gridSpan w:val="2"/>
          </w:tcPr>
          <w:p>
            <w:pPr>
              <w:jc w:val="right"/>
              <w:ind w:right="420"/>
              <w:spacing w:after="0"/>
              <w:rPr>
                <w:sz w:val="20"/>
                <w:szCs w:val="20"/>
                <w:color w:val="auto"/>
              </w:rPr>
            </w:pPr>
            <w:r>
              <w:rPr>
                <w:rFonts w:ascii="Times New Roman" w:cs="Times New Roman" w:eastAsia="Times New Roman" w:hAnsi="Times New Roman"/>
                <w:sz w:val="12"/>
                <w:szCs w:val="12"/>
                <w:b w:val="1"/>
                <w:bCs w:val="1"/>
                <w:color w:val="auto"/>
                <w:w w:val="96"/>
              </w:rPr>
              <w:t>Open Reel</w:t>
            </w:r>
          </w:p>
        </w:tc>
        <w:tc>
          <w:tcPr>
            <w:tcW w:w="120" w:type="dxa"/>
            <w:vAlign w:val="bottom"/>
          </w:tcPr>
          <w:p>
            <w:pPr>
              <w:spacing w:after="0"/>
              <w:rPr>
                <w:sz w:val="12"/>
                <w:szCs w:val="12"/>
                <w:color w:val="auto"/>
              </w:rPr>
            </w:pPr>
          </w:p>
        </w:tc>
        <w:tc>
          <w:tcPr>
            <w:tcW w:w="900" w:type="dxa"/>
            <w:vAlign w:val="bottom"/>
            <w:gridSpan w:val="2"/>
          </w:tcPr>
          <w:p>
            <w:pPr>
              <w:jc w:val="right"/>
              <w:ind w:right="500"/>
              <w:spacing w:after="0"/>
              <w:rPr>
                <w:sz w:val="20"/>
                <w:szCs w:val="20"/>
                <w:color w:val="auto"/>
              </w:rPr>
            </w:pPr>
            <w:r>
              <w:rPr>
                <w:rFonts w:ascii="Times New Roman" w:cs="Times New Roman" w:eastAsia="Times New Roman" w:hAnsi="Times New Roman"/>
                <w:sz w:val="12"/>
                <w:szCs w:val="12"/>
                <w:b w:val="1"/>
                <w:bCs w:val="1"/>
                <w:color w:val="auto"/>
              </w:rPr>
              <w:t>Banzai</w:t>
            </w:r>
          </w:p>
        </w:tc>
        <w:tc>
          <w:tcPr>
            <w:tcW w:w="1180" w:type="dxa"/>
            <w:vAlign w:val="bottom"/>
            <w:gridSpan w:val="4"/>
          </w:tcPr>
          <w:p>
            <w:pPr>
              <w:ind w:left="40"/>
              <w:spacing w:after="0"/>
              <w:rPr>
                <w:sz w:val="20"/>
                <w:szCs w:val="20"/>
                <w:color w:val="auto"/>
              </w:rPr>
            </w:pPr>
            <w:r>
              <w:rPr>
                <w:rFonts w:ascii="Times New Roman" w:cs="Times New Roman" w:eastAsia="Times New Roman" w:hAnsi="Times New Roman"/>
                <w:sz w:val="12"/>
                <w:szCs w:val="12"/>
                <w:b w:val="1"/>
                <w:bCs w:val="1"/>
                <w:color w:val="auto"/>
              </w:rPr>
              <w:t>Transaction</w:t>
            </w: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60" w:type="dxa"/>
            <w:vAlign w:val="bottom"/>
            <w:gridSpan w:val="3"/>
          </w:tcPr>
          <w:p>
            <w:pPr>
              <w:ind w:left="20"/>
              <w:spacing w:after="0"/>
              <w:rPr>
                <w:sz w:val="20"/>
                <w:szCs w:val="20"/>
                <w:color w:val="auto"/>
              </w:rPr>
            </w:pPr>
            <w:r>
              <w:rPr>
                <w:rFonts w:ascii="Times New Roman" w:cs="Times New Roman" w:eastAsia="Times New Roman" w:hAnsi="Times New Roman"/>
                <w:sz w:val="12"/>
                <w:szCs w:val="12"/>
                <w:b w:val="1"/>
                <w:bCs w:val="1"/>
                <w:color w:val="auto"/>
              </w:rPr>
              <w:t>Consolidation</w:t>
            </w: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gridSpan w:val="3"/>
          </w:tcPr>
          <w:p>
            <w:pPr>
              <w:jc w:val="right"/>
              <w:ind w:right="160"/>
              <w:spacing w:after="0"/>
              <w:rPr>
                <w:sz w:val="20"/>
                <w:szCs w:val="20"/>
                <w:color w:val="auto"/>
              </w:rPr>
            </w:pPr>
            <w:r>
              <w:rPr>
                <w:rFonts w:ascii="Times New Roman" w:cs="Times New Roman" w:eastAsia="Times New Roman" w:hAnsi="Times New Roman"/>
                <w:sz w:val="12"/>
                <w:szCs w:val="12"/>
                <w:b w:val="1"/>
                <w:bCs w:val="1"/>
                <w:color w:val="auto"/>
              </w:rPr>
              <w:t>Pro Forma</w:t>
            </w:r>
          </w:p>
        </w:tc>
      </w:tr>
      <w:tr>
        <w:trPr>
          <w:trHeight w:val="159"/>
        </w:trPr>
        <w:tc>
          <w:tcPr>
            <w:tcW w:w="312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020" w:type="dxa"/>
            <w:vAlign w:val="bottom"/>
            <w:gridSpan w:val="3"/>
          </w:tcPr>
          <w:p>
            <w:pPr>
              <w:jc w:val="right"/>
              <w:ind w:right="400"/>
              <w:spacing w:after="0"/>
              <w:rPr>
                <w:sz w:val="20"/>
                <w:szCs w:val="20"/>
                <w:color w:val="auto"/>
              </w:rPr>
            </w:pPr>
            <w:r>
              <w:rPr>
                <w:rFonts w:ascii="Times New Roman" w:cs="Times New Roman" w:eastAsia="Times New Roman" w:hAnsi="Times New Roman"/>
                <w:sz w:val="12"/>
                <w:szCs w:val="12"/>
                <w:b w:val="1"/>
                <w:bCs w:val="1"/>
                <w:color w:val="auto"/>
              </w:rPr>
              <w:t>(Historical)</w:t>
            </w:r>
          </w:p>
        </w:tc>
        <w:tc>
          <w:tcPr>
            <w:tcW w:w="1020" w:type="dxa"/>
            <w:vAlign w:val="bottom"/>
            <w:gridSpan w:val="3"/>
          </w:tcPr>
          <w:p>
            <w:pPr>
              <w:jc w:val="right"/>
              <w:ind w:right="380"/>
              <w:spacing w:after="0"/>
              <w:rPr>
                <w:sz w:val="20"/>
                <w:szCs w:val="20"/>
                <w:color w:val="auto"/>
              </w:rPr>
            </w:pPr>
            <w:r>
              <w:rPr>
                <w:rFonts w:ascii="Times New Roman" w:cs="Times New Roman" w:eastAsia="Times New Roman" w:hAnsi="Times New Roman"/>
                <w:sz w:val="12"/>
                <w:szCs w:val="12"/>
                <w:b w:val="1"/>
                <w:bCs w:val="1"/>
                <w:color w:val="auto"/>
              </w:rPr>
              <w:t>(Historical)</w:t>
            </w:r>
          </w:p>
        </w:tc>
        <w:tc>
          <w:tcPr>
            <w:tcW w:w="1180" w:type="dxa"/>
            <w:vAlign w:val="bottom"/>
            <w:gridSpan w:val="4"/>
          </w:tcPr>
          <w:p>
            <w:pPr>
              <w:spacing w:after="0"/>
              <w:rPr>
                <w:sz w:val="20"/>
                <w:szCs w:val="20"/>
                <w:color w:val="auto"/>
              </w:rPr>
            </w:pPr>
            <w:r>
              <w:rPr>
                <w:rFonts w:ascii="Times New Roman" w:cs="Times New Roman" w:eastAsia="Times New Roman" w:hAnsi="Times New Roman"/>
                <w:sz w:val="12"/>
                <w:szCs w:val="12"/>
                <w:b w:val="1"/>
                <w:bCs w:val="1"/>
                <w:color w:val="auto"/>
              </w:rPr>
              <w:t>Adjustments</w:t>
            </w:r>
          </w:p>
        </w:tc>
        <w:tc>
          <w:tcPr>
            <w:tcW w:w="820" w:type="dxa"/>
            <w:vAlign w:val="bottom"/>
            <w:gridSpan w:val="2"/>
          </w:tcPr>
          <w:p>
            <w:pPr>
              <w:jc w:val="center"/>
              <w:ind w:right="380"/>
              <w:spacing w:after="0"/>
              <w:rPr>
                <w:sz w:val="20"/>
                <w:szCs w:val="20"/>
                <w:color w:val="auto"/>
              </w:rPr>
            </w:pPr>
            <w:r>
              <w:rPr>
                <w:rFonts w:ascii="Times New Roman" w:cs="Times New Roman" w:eastAsia="Times New Roman" w:hAnsi="Times New Roman"/>
                <w:sz w:val="12"/>
                <w:szCs w:val="12"/>
                <w:b w:val="1"/>
                <w:bCs w:val="1"/>
                <w:color w:val="auto"/>
                <w:w w:val="97"/>
              </w:rPr>
              <w:t>Notes</w:t>
            </w:r>
          </w:p>
        </w:tc>
        <w:tc>
          <w:tcPr>
            <w:tcW w:w="120" w:type="dxa"/>
            <w:vAlign w:val="bottom"/>
          </w:tcPr>
          <w:p>
            <w:pPr>
              <w:spacing w:after="0"/>
              <w:rPr>
                <w:sz w:val="13"/>
                <w:szCs w:val="13"/>
                <w:color w:val="auto"/>
              </w:rPr>
            </w:pPr>
          </w:p>
        </w:tc>
        <w:tc>
          <w:tcPr>
            <w:tcW w:w="940" w:type="dxa"/>
            <w:vAlign w:val="bottom"/>
            <w:gridSpan w:val="2"/>
          </w:tcPr>
          <w:p>
            <w:pPr>
              <w:jc w:val="right"/>
              <w:ind w:right="500"/>
              <w:spacing w:after="0"/>
              <w:rPr>
                <w:sz w:val="20"/>
                <w:szCs w:val="20"/>
                <w:color w:val="auto"/>
              </w:rPr>
            </w:pPr>
            <w:r>
              <w:rPr>
                <w:rFonts w:ascii="Times New Roman" w:cs="Times New Roman" w:eastAsia="Times New Roman" w:hAnsi="Times New Roman"/>
                <w:sz w:val="12"/>
                <w:szCs w:val="12"/>
                <w:b w:val="1"/>
                <w:bCs w:val="1"/>
                <w:color w:val="auto"/>
              </w:rPr>
              <w:t>Entries</w:t>
            </w:r>
          </w:p>
        </w:tc>
        <w:tc>
          <w:tcPr>
            <w:tcW w:w="1000" w:type="dxa"/>
            <w:vAlign w:val="bottom"/>
            <w:gridSpan w:val="2"/>
          </w:tcPr>
          <w:p>
            <w:pPr>
              <w:jc w:val="center"/>
              <w:ind w:right="240"/>
              <w:spacing w:after="0"/>
              <w:rPr>
                <w:sz w:val="20"/>
                <w:szCs w:val="20"/>
                <w:color w:val="auto"/>
              </w:rPr>
            </w:pPr>
            <w:r>
              <w:rPr>
                <w:rFonts w:ascii="Times New Roman" w:cs="Times New Roman" w:eastAsia="Times New Roman" w:hAnsi="Times New Roman"/>
                <w:sz w:val="12"/>
                <w:szCs w:val="12"/>
                <w:b w:val="1"/>
                <w:bCs w:val="1"/>
                <w:color w:val="auto"/>
                <w:w w:val="97"/>
              </w:rPr>
              <w:t>Notes</w:t>
            </w:r>
          </w:p>
        </w:tc>
        <w:tc>
          <w:tcPr>
            <w:tcW w:w="60" w:type="dxa"/>
            <w:vAlign w:val="bottom"/>
          </w:tcPr>
          <w:p>
            <w:pPr>
              <w:spacing w:after="0"/>
              <w:rPr>
                <w:sz w:val="13"/>
                <w:szCs w:val="13"/>
                <w:color w:val="auto"/>
              </w:rPr>
            </w:pP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b w:val="1"/>
                <w:bCs w:val="1"/>
                <w:color w:val="auto"/>
                <w:w w:val="97"/>
              </w:rPr>
              <w:t>Combined</w:t>
            </w:r>
          </w:p>
        </w:tc>
      </w:tr>
      <w:tr>
        <w:trPr>
          <w:trHeight w:val="133"/>
        </w:trPr>
        <w:tc>
          <w:tcPr>
            <w:tcW w:w="3120" w:type="dxa"/>
            <w:vAlign w:val="bottom"/>
            <w:tcBorders>
              <w:top w:val="single" w:sz="8" w:color="CCEEFF"/>
            </w:tcBorders>
            <w:shd w:val="clear" w:color="auto" w:fill="CCEEFF"/>
          </w:tcPr>
          <w:p>
            <w:pPr>
              <w:spacing w:after="0" w:line="133" w:lineRule="exact"/>
              <w:rPr>
                <w:sz w:val="20"/>
                <w:szCs w:val="20"/>
                <w:color w:val="auto"/>
              </w:rPr>
            </w:pPr>
            <w:r>
              <w:rPr>
                <w:rFonts w:ascii="Times New Roman" w:cs="Times New Roman" w:eastAsia="Times New Roman" w:hAnsi="Times New Roman"/>
                <w:sz w:val="12"/>
                <w:szCs w:val="12"/>
                <w:b w:val="1"/>
                <w:bCs w:val="1"/>
                <w:color w:val="auto"/>
              </w:rPr>
              <w:t>Assets</w:t>
            </w:r>
          </w:p>
        </w:tc>
        <w:tc>
          <w:tcPr>
            <w:tcW w:w="130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spacing w:after="0"/>
              <w:rPr>
                <w:sz w:val="11"/>
                <w:szCs w:val="11"/>
                <w:color w:val="auto"/>
              </w:rPr>
            </w:pPr>
          </w:p>
        </w:tc>
        <w:tc>
          <w:tcPr>
            <w:tcW w:w="34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560" w:type="dxa"/>
            <w:vAlign w:val="bottom"/>
            <w:tcBorders>
              <w:top w:val="single" w:sz="8" w:color="auto"/>
            </w:tcBorders>
            <w:shd w:val="clear" w:color="auto" w:fill="CCEEFF"/>
          </w:tcPr>
          <w:p>
            <w:pPr>
              <w:spacing w:after="0"/>
              <w:rPr>
                <w:sz w:val="11"/>
                <w:szCs w:val="11"/>
                <w:color w:val="auto"/>
              </w:rPr>
            </w:pPr>
          </w:p>
        </w:tc>
        <w:tc>
          <w:tcPr>
            <w:tcW w:w="34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auto"/>
            </w:tcBorders>
            <w:shd w:val="clear" w:color="auto" w:fill="CCEEFF"/>
          </w:tcPr>
          <w:p>
            <w:pPr>
              <w:spacing w:after="0"/>
              <w:rPr>
                <w:sz w:val="11"/>
                <w:szCs w:val="11"/>
                <w:color w:val="auto"/>
              </w:rPr>
            </w:pPr>
          </w:p>
        </w:tc>
        <w:tc>
          <w:tcPr>
            <w:tcW w:w="460" w:type="dxa"/>
            <w:vAlign w:val="bottom"/>
            <w:tcBorders>
              <w:top w:val="single" w:sz="8" w:color="auto"/>
            </w:tcBorders>
            <w:shd w:val="clear" w:color="auto" w:fill="CCEEFF"/>
          </w:tcPr>
          <w:p>
            <w:pPr>
              <w:spacing w:after="0"/>
              <w:rPr>
                <w:sz w:val="11"/>
                <w:szCs w:val="11"/>
                <w:color w:val="auto"/>
              </w:rPr>
            </w:pPr>
          </w:p>
        </w:tc>
        <w:tc>
          <w:tcPr>
            <w:tcW w:w="34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rPr>
                <w:sz w:val="11"/>
                <w:szCs w:val="11"/>
                <w:color w:val="auto"/>
              </w:rPr>
            </w:pPr>
          </w:p>
        </w:tc>
        <w:tc>
          <w:tcPr>
            <w:tcW w:w="600" w:type="dxa"/>
            <w:vAlign w:val="bottom"/>
            <w:tcBorders>
              <w:top w:val="single" w:sz="8" w:color="auto"/>
            </w:tcBorders>
            <w:shd w:val="clear" w:color="auto" w:fill="CCEEFF"/>
          </w:tcPr>
          <w:p>
            <w:pPr>
              <w:spacing w:after="0"/>
              <w:rPr>
                <w:sz w:val="11"/>
                <w:szCs w:val="11"/>
                <w:color w:val="auto"/>
              </w:rPr>
            </w:pPr>
          </w:p>
        </w:tc>
        <w:tc>
          <w:tcPr>
            <w:tcW w:w="22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600" w:type="dxa"/>
            <w:vAlign w:val="bottom"/>
            <w:tcBorders>
              <w:top w:val="single" w:sz="8" w:color="auto"/>
            </w:tcBorders>
            <w:shd w:val="clear" w:color="auto" w:fill="CCEEFF"/>
          </w:tcPr>
          <w:p>
            <w:pPr>
              <w:spacing w:after="0"/>
              <w:rPr>
                <w:sz w:val="11"/>
                <w:szCs w:val="11"/>
                <w:color w:val="auto"/>
              </w:rPr>
            </w:pPr>
          </w:p>
        </w:tc>
        <w:tc>
          <w:tcPr>
            <w:tcW w:w="340" w:type="dxa"/>
            <w:vAlign w:val="bottom"/>
            <w:tcBorders>
              <w:top w:val="single" w:sz="8" w:color="CCEEFF"/>
            </w:tcBorders>
            <w:shd w:val="clear" w:color="auto" w:fill="CCEEFF"/>
          </w:tcPr>
          <w:p>
            <w:pPr>
              <w:spacing w:after="0"/>
              <w:rPr>
                <w:sz w:val="11"/>
                <w:szCs w:val="11"/>
                <w:color w:val="auto"/>
              </w:rPr>
            </w:pPr>
          </w:p>
        </w:tc>
        <w:tc>
          <w:tcPr>
            <w:tcW w:w="780" w:type="dxa"/>
            <w:vAlign w:val="bottom"/>
            <w:tcBorders>
              <w:top w:val="single" w:sz="8" w:color="auto"/>
            </w:tcBorders>
            <w:shd w:val="clear" w:color="auto" w:fill="CCEEFF"/>
          </w:tcPr>
          <w:p>
            <w:pPr>
              <w:spacing w:after="0"/>
              <w:rPr>
                <w:sz w:val="11"/>
                <w:szCs w:val="11"/>
                <w:color w:val="auto"/>
              </w:rPr>
            </w:pPr>
          </w:p>
        </w:tc>
        <w:tc>
          <w:tcPr>
            <w:tcW w:w="22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60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r>
      <w:tr>
        <w:trPr>
          <w:trHeight w:val="144"/>
        </w:trPr>
        <w:tc>
          <w:tcPr>
            <w:tcW w:w="312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Cash and Cash Equivalents</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960" w:type="dxa"/>
            <w:vAlign w:val="bottom"/>
            <w:gridSpan w:val="2"/>
          </w:tcPr>
          <w:p>
            <w:pPr>
              <w:jc w:val="right"/>
              <w:ind w:right="340"/>
              <w:spacing w:after="0"/>
              <w:rPr>
                <w:sz w:val="20"/>
                <w:szCs w:val="20"/>
                <w:color w:val="auto"/>
              </w:rPr>
            </w:pPr>
            <w:r>
              <w:rPr>
                <w:rFonts w:ascii="Times New Roman" w:cs="Times New Roman" w:eastAsia="Times New Roman" w:hAnsi="Times New Roman"/>
                <w:sz w:val="12"/>
                <w:szCs w:val="12"/>
                <w:color w:val="auto"/>
              </w:rPr>
              <w:t>721</w:t>
            </w:r>
          </w:p>
        </w:tc>
        <w:tc>
          <w:tcPr>
            <w:tcW w:w="120" w:type="dxa"/>
            <w:vAlign w:val="bottom"/>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gridSpan w:val="2"/>
          </w:tcPr>
          <w:p>
            <w:pPr>
              <w:jc w:val="right"/>
              <w:ind w:right="320"/>
              <w:spacing w:after="0"/>
              <w:rPr>
                <w:sz w:val="20"/>
                <w:szCs w:val="20"/>
                <w:color w:val="auto"/>
              </w:rPr>
            </w:pPr>
            <w:r>
              <w:rPr>
                <w:rFonts w:ascii="Times New Roman" w:cs="Times New Roman" w:eastAsia="Times New Roman" w:hAnsi="Times New Roman"/>
                <w:sz w:val="12"/>
                <w:szCs w:val="12"/>
                <w:color w:val="auto"/>
              </w:rPr>
              <w:t>2,094</w:t>
            </w:r>
          </w:p>
        </w:tc>
        <w:tc>
          <w:tcPr>
            <w:tcW w:w="200" w:type="dxa"/>
            <w:vAlign w:val="bottom"/>
          </w:tcPr>
          <w:p>
            <w:pPr>
              <w:spacing w:after="0"/>
              <w:rPr>
                <w:sz w:val="20"/>
                <w:szCs w:val="20"/>
                <w:color w:val="auto"/>
              </w:rPr>
            </w:pPr>
            <w:r>
              <w:rPr>
                <w:rFonts w:ascii="Times New Roman" w:cs="Times New Roman" w:eastAsia="Times New Roman" w:hAnsi="Times New Roman"/>
                <w:sz w:val="12"/>
                <w:szCs w:val="12"/>
                <w:color w:val="auto"/>
              </w:rPr>
              <w:t>$</w:t>
            </w:r>
          </w:p>
        </w:tc>
        <w:tc>
          <w:tcPr>
            <w:tcW w:w="800" w:type="dxa"/>
            <w:vAlign w:val="bottom"/>
            <w:gridSpan w:val="2"/>
          </w:tcPr>
          <w:p>
            <w:pPr>
              <w:jc w:val="right"/>
              <w:ind w:right="34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w:t>
            </w:r>
          </w:p>
        </w:tc>
        <w:tc>
          <w:tcPr>
            <w:tcW w:w="940" w:type="dxa"/>
            <w:vAlign w:val="bottom"/>
            <w:gridSpan w:val="2"/>
          </w:tcPr>
          <w:p>
            <w:pPr>
              <w:jc w:val="right"/>
              <w:ind w:right="340"/>
              <w:spacing w:after="0"/>
              <w:rPr>
                <w:sz w:val="20"/>
                <w:szCs w:val="20"/>
                <w:color w:val="auto"/>
              </w:rPr>
            </w:pPr>
            <w:r>
              <w:rPr>
                <w:rFonts w:ascii="Times New Roman" w:cs="Times New Roman" w:eastAsia="Times New Roman" w:hAnsi="Times New Roman"/>
                <w:sz w:val="12"/>
                <w:szCs w:val="12"/>
                <w:color w:val="auto"/>
              </w:rPr>
              <w:t>-</w:t>
            </w: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2,815</w:t>
            </w:r>
          </w:p>
        </w:tc>
      </w:tr>
      <w:tr>
        <w:trPr>
          <w:trHeight w:val="144"/>
        </w:trPr>
        <w:tc>
          <w:tcPr>
            <w:tcW w:w="31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Accounts Receivables</w:t>
            </w:r>
          </w:p>
        </w:tc>
        <w:tc>
          <w:tcPr>
            <w:tcW w:w="13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2"/>
                <w:szCs w:val="12"/>
                <w:color w:val="auto"/>
              </w:rPr>
              <w:t>810</w:t>
            </w:r>
          </w:p>
        </w:tc>
        <w:tc>
          <w:tcPr>
            <w:tcW w:w="12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2"/>
                <w:szCs w:val="12"/>
                <w:color w:val="auto"/>
              </w:rPr>
              <w:t>105</w:t>
            </w:r>
          </w:p>
        </w:tc>
        <w:tc>
          <w:tcPr>
            <w:tcW w:w="2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2"/>
                <w:szCs w:val="12"/>
                <w:color w:val="auto"/>
              </w:rPr>
              <w:t>-</w:t>
            </w:r>
          </w:p>
        </w:tc>
        <w:tc>
          <w:tcPr>
            <w:tcW w:w="7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915</w:t>
            </w:r>
          </w:p>
        </w:tc>
      </w:tr>
      <w:tr>
        <w:trPr>
          <w:trHeight w:val="153"/>
        </w:trPr>
        <w:tc>
          <w:tcPr>
            <w:tcW w:w="312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Prepaid expenses and other current assets</w:t>
            </w:r>
          </w:p>
        </w:tc>
        <w:tc>
          <w:tcPr>
            <w:tcW w:w="1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60" w:type="dxa"/>
            <w:vAlign w:val="bottom"/>
            <w:gridSpan w:val="2"/>
          </w:tcPr>
          <w:p>
            <w:pPr>
              <w:jc w:val="right"/>
              <w:ind w:right="340"/>
              <w:spacing w:after="0"/>
              <w:rPr>
                <w:sz w:val="20"/>
                <w:szCs w:val="20"/>
                <w:color w:val="auto"/>
              </w:rPr>
            </w:pPr>
            <w:r>
              <w:rPr>
                <w:rFonts w:ascii="Times New Roman" w:cs="Times New Roman" w:eastAsia="Times New Roman" w:hAnsi="Times New Roman"/>
                <w:sz w:val="12"/>
                <w:szCs w:val="12"/>
                <w:color w:val="auto"/>
              </w:rPr>
              <w:t>711</w:t>
            </w:r>
          </w:p>
        </w:tc>
        <w:tc>
          <w:tcPr>
            <w:tcW w:w="120" w:type="dxa"/>
            <w:vAlign w:val="bottom"/>
          </w:tcPr>
          <w:p>
            <w:pPr>
              <w:spacing w:after="0"/>
              <w:rPr>
                <w:sz w:val="13"/>
                <w:szCs w:val="13"/>
                <w:color w:val="auto"/>
              </w:rPr>
            </w:pPr>
          </w:p>
        </w:tc>
        <w:tc>
          <w:tcPr>
            <w:tcW w:w="900" w:type="dxa"/>
            <w:vAlign w:val="bottom"/>
            <w:gridSpan w:val="2"/>
          </w:tcPr>
          <w:p>
            <w:pPr>
              <w:jc w:val="right"/>
              <w:ind w:right="320"/>
              <w:spacing w:after="0"/>
              <w:rPr>
                <w:sz w:val="20"/>
                <w:szCs w:val="20"/>
                <w:color w:val="auto"/>
              </w:rPr>
            </w:pPr>
            <w:r>
              <w:rPr>
                <w:rFonts w:ascii="Times New Roman" w:cs="Times New Roman" w:eastAsia="Times New Roman" w:hAnsi="Times New Roman"/>
                <w:sz w:val="12"/>
                <w:szCs w:val="12"/>
                <w:color w:val="auto"/>
              </w:rPr>
              <w:t>741</w:t>
            </w:r>
          </w:p>
        </w:tc>
        <w:tc>
          <w:tcPr>
            <w:tcW w:w="200" w:type="dxa"/>
            <w:vAlign w:val="bottom"/>
          </w:tcPr>
          <w:p>
            <w:pPr>
              <w:spacing w:after="0"/>
              <w:rPr>
                <w:sz w:val="13"/>
                <w:szCs w:val="13"/>
                <w:color w:val="auto"/>
              </w:rPr>
            </w:pPr>
          </w:p>
        </w:tc>
        <w:tc>
          <w:tcPr>
            <w:tcW w:w="800" w:type="dxa"/>
            <w:vAlign w:val="bottom"/>
            <w:gridSpan w:val="2"/>
          </w:tcPr>
          <w:p>
            <w:pPr>
              <w:jc w:val="right"/>
              <w:ind w:right="34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gridSpan w:val="2"/>
          </w:tcPr>
          <w:p>
            <w:pPr>
              <w:jc w:val="right"/>
              <w:ind w:right="340"/>
              <w:spacing w:after="0"/>
              <w:rPr>
                <w:sz w:val="20"/>
                <w:szCs w:val="20"/>
                <w:color w:val="auto"/>
              </w:rPr>
            </w:pPr>
            <w:r>
              <w:rPr>
                <w:rFonts w:ascii="Times New Roman" w:cs="Times New Roman" w:eastAsia="Times New Roman" w:hAnsi="Times New Roman"/>
                <w:sz w:val="12"/>
                <w:szCs w:val="12"/>
                <w:color w:val="auto"/>
              </w:rPr>
              <w:t>-</w:t>
            </w:r>
          </w:p>
        </w:tc>
        <w:tc>
          <w:tcPr>
            <w:tcW w:w="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1,452</w:t>
            </w:r>
          </w:p>
        </w:tc>
      </w:tr>
      <w:tr>
        <w:trPr>
          <w:trHeight w:val="133"/>
        </w:trPr>
        <w:tc>
          <w:tcPr>
            <w:tcW w:w="3120" w:type="dxa"/>
            <w:vAlign w:val="bottom"/>
            <w:tcBorders>
              <w:top w:val="single" w:sz="8" w:color="CCEEFF"/>
            </w:tcBorders>
            <w:shd w:val="clear" w:color="auto" w:fill="CCEEFF"/>
          </w:tcPr>
          <w:p>
            <w:pPr>
              <w:spacing w:after="0" w:line="133" w:lineRule="exact"/>
              <w:rPr>
                <w:sz w:val="20"/>
                <w:szCs w:val="20"/>
                <w:color w:val="auto"/>
              </w:rPr>
            </w:pPr>
            <w:r>
              <w:rPr>
                <w:rFonts w:ascii="Times New Roman" w:cs="Times New Roman" w:eastAsia="Times New Roman" w:hAnsi="Times New Roman"/>
                <w:sz w:val="12"/>
                <w:szCs w:val="12"/>
                <w:b w:val="1"/>
                <w:bCs w:val="1"/>
                <w:color w:val="auto"/>
              </w:rPr>
              <w:t>Current Assets</w:t>
            </w:r>
          </w:p>
        </w:tc>
        <w:tc>
          <w:tcPr>
            <w:tcW w:w="130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bottom w:val="single" w:sz="8" w:color="auto"/>
            </w:tcBorders>
            <w:shd w:val="clear" w:color="auto" w:fill="CCEEFF"/>
          </w:tcPr>
          <w:p>
            <w:pPr>
              <w:spacing w:after="0"/>
              <w:rPr>
                <w:sz w:val="11"/>
                <w:szCs w:val="11"/>
                <w:color w:val="auto"/>
              </w:rPr>
            </w:pPr>
          </w:p>
        </w:tc>
        <w:tc>
          <w:tcPr>
            <w:tcW w:w="62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2,242</w:t>
            </w:r>
          </w:p>
        </w:tc>
        <w:tc>
          <w:tcPr>
            <w:tcW w:w="34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bottom w:val="single" w:sz="8" w:color="auto"/>
            </w:tcBorders>
            <w:shd w:val="clear" w:color="auto" w:fill="CCEEFF"/>
          </w:tcPr>
          <w:p>
            <w:pPr>
              <w:spacing w:after="0"/>
              <w:rPr>
                <w:sz w:val="11"/>
                <w:szCs w:val="11"/>
                <w:color w:val="auto"/>
              </w:rPr>
            </w:pPr>
          </w:p>
        </w:tc>
        <w:tc>
          <w:tcPr>
            <w:tcW w:w="56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2,940</w:t>
            </w:r>
          </w:p>
        </w:tc>
        <w:tc>
          <w:tcPr>
            <w:tcW w:w="34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auto"/>
              <w:bottom w:val="single" w:sz="8" w:color="auto"/>
            </w:tcBorders>
            <w:shd w:val="clear" w:color="auto" w:fill="CCEEFF"/>
          </w:tcPr>
          <w:p>
            <w:pPr>
              <w:spacing w:after="0"/>
              <w:rPr>
                <w:sz w:val="11"/>
                <w:szCs w:val="11"/>
                <w:color w:val="auto"/>
              </w:rPr>
            </w:pPr>
          </w:p>
        </w:tc>
        <w:tc>
          <w:tcPr>
            <w:tcW w:w="46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w:t>
            </w:r>
          </w:p>
        </w:tc>
        <w:tc>
          <w:tcPr>
            <w:tcW w:w="34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CCEEFF"/>
            </w:tcBorders>
            <w:shd w:val="clear" w:color="auto" w:fill="CCEEFF"/>
          </w:tcPr>
          <w:p>
            <w:pPr>
              <w:spacing w:after="0"/>
              <w:rPr>
                <w:sz w:val="11"/>
                <w:szCs w:val="11"/>
                <w:color w:val="auto"/>
              </w:rPr>
            </w:pPr>
          </w:p>
        </w:tc>
        <w:tc>
          <w:tcPr>
            <w:tcW w:w="600" w:type="dxa"/>
            <w:vAlign w:val="bottom"/>
            <w:tcBorders>
              <w:top w:val="single" w:sz="8" w:color="CCEEFF"/>
            </w:tcBorders>
            <w:shd w:val="clear" w:color="auto" w:fill="CCEEFF"/>
          </w:tcPr>
          <w:p>
            <w:pPr>
              <w:spacing w:after="0"/>
              <w:rPr>
                <w:sz w:val="11"/>
                <w:szCs w:val="11"/>
                <w:color w:val="auto"/>
              </w:rPr>
            </w:pPr>
          </w:p>
        </w:tc>
        <w:tc>
          <w:tcPr>
            <w:tcW w:w="22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bottom w:val="single" w:sz="8" w:color="auto"/>
            </w:tcBorders>
            <w:shd w:val="clear" w:color="auto" w:fill="CCEEFF"/>
          </w:tcPr>
          <w:p>
            <w:pPr>
              <w:spacing w:after="0"/>
              <w:rPr>
                <w:sz w:val="11"/>
                <w:szCs w:val="11"/>
                <w:color w:val="auto"/>
              </w:rPr>
            </w:pPr>
          </w:p>
        </w:tc>
        <w:tc>
          <w:tcPr>
            <w:tcW w:w="60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w:t>
            </w:r>
          </w:p>
        </w:tc>
        <w:tc>
          <w:tcPr>
            <w:tcW w:w="340" w:type="dxa"/>
            <w:vAlign w:val="bottom"/>
            <w:tcBorders>
              <w:top w:val="single" w:sz="8" w:color="CCEEFF"/>
            </w:tcBorders>
            <w:shd w:val="clear" w:color="auto" w:fill="CCEEFF"/>
          </w:tcPr>
          <w:p>
            <w:pPr>
              <w:spacing w:after="0"/>
              <w:rPr>
                <w:sz w:val="11"/>
                <w:szCs w:val="11"/>
                <w:color w:val="auto"/>
              </w:rPr>
            </w:pPr>
          </w:p>
        </w:tc>
        <w:tc>
          <w:tcPr>
            <w:tcW w:w="780" w:type="dxa"/>
            <w:vAlign w:val="bottom"/>
            <w:tcBorders>
              <w:top w:val="single" w:sz="8" w:color="CCEEFF"/>
            </w:tcBorders>
            <w:shd w:val="clear" w:color="auto" w:fill="CCEEFF"/>
          </w:tcPr>
          <w:p>
            <w:pPr>
              <w:spacing w:after="0"/>
              <w:rPr>
                <w:sz w:val="11"/>
                <w:szCs w:val="11"/>
                <w:color w:val="auto"/>
              </w:rPr>
            </w:pPr>
          </w:p>
        </w:tc>
        <w:tc>
          <w:tcPr>
            <w:tcW w:w="22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bottom w:val="single" w:sz="8" w:color="auto"/>
            </w:tcBorders>
            <w:shd w:val="clear" w:color="auto" w:fill="CCEEFF"/>
          </w:tcPr>
          <w:p>
            <w:pPr>
              <w:spacing w:after="0"/>
              <w:rPr>
                <w:sz w:val="11"/>
                <w:szCs w:val="11"/>
                <w:color w:val="auto"/>
              </w:rPr>
            </w:pPr>
          </w:p>
        </w:tc>
        <w:tc>
          <w:tcPr>
            <w:tcW w:w="60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5,182</w:t>
            </w:r>
          </w:p>
        </w:tc>
        <w:tc>
          <w:tcPr>
            <w:tcW w:w="120" w:type="dxa"/>
            <w:vAlign w:val="bottom"/>
            <w:tcBorders>
              <w:top w:val="single" w:sz="8" w:color="CCEEFF"/>
            </w:tcBorders>
            <w:shd w:val="clear" w:color="auto" w:fill="CCEEFF"/>
          </w:tcPr>
          <w:p>
            <w:pPr>
              <w:spacing w:after="0"/>
              <w:rPr>
                <w:sz w:val="11"/>
                <w:szCs w:val="11"/>
                <w:color w:val="auto"/>
              </w:rPr>
            </w:pPr>
          </w:p>
        </w:tc>
      </w:tr>
      <w:tr>
        <w:trPr>
          <w:trHeight w:val="133"/>
        </w:trPr>
        <w:tc>
          <w:tcPr>
            <w:tcW w:w="312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44"/>
        </w:trPr>
        <w:tc>
          <w:tcPr>
            <w:tcW w:w="31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PP&amp;E</w:t>
            </w:r>
          </w:p>
        </w:tc>
        <w:tc>
          <w:tcPr>
            <w:tcW w:w="13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2"/>
                <w:szCs w:val="12"/>
                <w:color w:val="auto"/>
              </w:rPr>
              <w:t>6</w:t>
            </w:r>
          </w:p>
        </w:tc>
        <w:tc>
          <w:tcPr>
            <w:tcW w:w="12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2"/>
                <w:szCs w:val="12"/>
                <w:color w:val="auto"/>
              </w:rPr>
              <w:t>5</w:t>
            </w:r>
          </w:p>
        </w:tc>
        <w:tc>
          <w:tcPr>
            <w:tcW w:w="2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2"/>
                <w:szCs w:val="12"/>
                <w:color w:val="auto"/>
              </w:rPr>
              <w:t>-</w:t>
            </w:r>
          </w:p>
        </w:tc>
        <w:tc>
          <w:tcPr>
            <w:tcW w:w="7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11</w:t>
            </w:r>
          </w:p>
        </w:tc>
      </w:tr>
      <w:tr>
        <w:trPr>
          <w:trHeight w:val="144"/>
        </w:trPr>
        <w:tc>
          <w:tcPr>
            <w:tcW w:w="312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Operating Lease ROU</w:t>
            </w:r>
          </w:p>
        </w:tc>
        <w:tc>
          <w:tcPr>
            <w:tcW w:w="1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60" w:type="dxa"/>
            <w:vAlign w:val="bottom"/>
            <w:gridSpan w:val="2"/>
          </w:tcPr>
          <w:p>
            <w:pPr>
              <w:jc w:val="right"/>
              <w:ind w:right="34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2"/>
                <w:szCs w:val="12"/>
                <w:color w:val="auto"/>
              </w:rPr>
            </w:pPr>
          </w:p>
        </w:tc>
        <w:tc>
          <w:tcPr>
            <w:tcW w:w="900" w:type="dxa"/>
            <w:vAlign w:val="bottom"/>
            <w:gridSpan w:val="2"/>
          </w:tcPr>
          <w:p>
            <w:pPr>
              <w:jc w:val="right"/>
              <w:ind w:right="320"/>
              <w:spacing w:after="0"/>
              <w:rPr>
                <w:sz w:val="20"/>
                <w:szCs w:val="20"/>
                <w:color w:val="auto"/>
              </w:rPr>
            </w:pPr>
            <w:r>
              <w:rPr>
                <w:rFonts w:ascii="Times New Roman" w:cs="Times New Roman" w:eastAsia="Times New Roman" w:hAnsi="Times New Roman"/>
                <w:sz w:val="12"/>
                <w:szCs w:val="12"/>
                <w:color w:val="auto"/>
              </w:rPr>
              <w:t>134</w:t>
            </w:r>
          </w:p>
        </w:tc>
        <w:tc>
          <w:tcPr>
            <w:tcW w:w="200" w:type="dxa"/>
            <w:vAlign w:val="bottom"/>
          </w:tcPr>
          <w:p>
            <w:pPr>
              <w:spacing w:after="0"/>
              <w:rPr>
                <w:sz w:val="12"/>
                <w:szCs w:val="12"/>
                <w:color w:val="auto"/>
              </w:rPr>
            </w:pPr>
          </w:p>
        </w:tc>
        <w:tc>
          <w:tcPr>
            <w:tcW w:w="800" w:type="dxa"/>
            <w:vAlign w:val="bottom"/>
            <w:gridSpan w:val="2"/>
          </w:tcPr>
          <w:p>
            <w:pPr>
              <w:jc w:val="right"/>
              <w:ind w:right="34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tcPr>
          <w:p>
            <w:pPr>
              <w:jc w:val="right"/>
              <w:ind w:right="340"/>
              <w:spacing w:after="0"/>
              <w:rPr>
                <w:sz w:val="20"/>
                <w:szCs w:val="20"/>
                <w:color w:val="auto"/>
              </w:rPr>
            </w:pPr>
            <w:r>
              <w:rPr>
                <w:rFonts w:ascii="Times New Roman" w:cs="Times New Roman" w:eastAsia="Times New Roman" w:hAnsi="Times New Roman"/>
                <w:sz w:val="12"/>
                <w:szCs w:val="12"/>
                <w:color w:val="auto"/>
              </w:rPr>
              <w:t>-</w:t>
            </w: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134</w:t>
            </w:r>
          </w:p>
        </w:tc>
      </w:tr>
      <w:tr>
        <w:trPr>
          <w:trHeight w:val="144"/>
        </w:trPr>
        <w:tc>
          <w:tcPr>
            <w:tcW w:w="31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Investment in Open Reel</w:t>
            </w:r>
          </w:p>
        </w:tc>
        <w:tc>
          <w:tcPr>
            <w:tcW w:w="13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2"/>
                <w:szCs w:val="12"/>
                <w:color w:val="auto"/>
              </w:rPr>
              <w:t>19,600</w:t>
            </w:r>
          </w:p>
        </w:tc>
        <w:tc>
          <w:tcPr>
            <w:tcW w:w="1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center"/>
              <w:ind w:right="400"/>
              <w:spacing w:after="0"/>
              <w:rPr>
                <w:sz w:val="20"/>
                <w:szCs w:val="20"/>
                <w:color w:val="auto"/>
              </w:rPr>
            </w:pPr>
            <w:r>
              <w:rPr>
                <w:rFonts w:ascii="Times New Roman" w:cs="Times New Roman" w:eastAsia="Times New Roman" w:hAnsi="Times New Roman"/>
                <w:sz w:val="12"/>
                <w:szCs w:val="12"/>
                <w:color w:val="auto"/>
              </w:rPr>
              <w:t>(AA)</w:t>
            </w:r>
          </w:p>
        </w:tc>
        <w:tc>
          <w:tcPr>
            <w:tcW w:w="12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2"/>
                <w:szCs w:val="12"/>
                <w:color w:val="auto"/>
              </w:rPr>
              <w:t>(19,600)</w:t>
            </w:r>
          </w:p>
        </w:tc>
        <w:tc>
          <w:tcPr>
            <w:tcW w:w="1000" w:type="dxa"/>
            <w:vAlign w:val="bottom"/>
            <w:gridSpan w:val="2"/>
            <w:shd w:val="clear" w:color="auto" w:fill="CCEEFF"/>
          </w:tcPr>
          <w:p>
            <w:pPr>
              <w:jc w:val="center"/>
              <w:ind w:right="240"/>
              <w:spacing w:after="0"/>
              <w:rPr>
                <w:sz w:val="20"/>
                <w:szCs w:val="20"/>
                <w:color w:val="auto"/>
              </w:rPr>
            </w:pPr>
            <w:r>
              <w:rPr>
                <w:rFonts w:ascii="Times New Roman" w:cs="Times New Roman" w:eastAsia="Times New Roman" w:hAnsi="Times New Roman"/>
                <w:sz w:val="12"/>
                <w:szCs w:val="12"/>
                <w:color w:val="auto"/>
                <w:w w:val="99"/>
              </w:rPr>
              <w:t>(BB)</w:t>
            </w:r>
          </w:p>
        </w:tc>
        <w:tc>
          <w:tcPr>
            <w:tcW w:w="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r>
      <w:tr>
        <w:trPr>
          <w:trHeight w:val="144"/>
        </w:trPr>
        <w:tc>
          <w:tcPr>
            <w:tcW w:w="312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Technology</w:t>
            </w:r>
          </w:p>
        </w:tc>
        <w:tc>
          <w:tcPr>
            <w:tcW w:w="1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60" w:type="dxa"/>
            <w:vAlign w:val="bottom"/>
            <w:gridSpan w:val="2"/>
          </w:tcPr>
          <w:p>
            <w:pPr>
              <w:jc w:val="right"/>
              <w:ind w:right="34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2"/>
                <w:szCs w:val="12"/>
                <w:color w:val="auto"/>
              </w:rPr>
            </w:pPr>
          </w:p>
        </w:tc>
        <w:tc>
          <w:tcPr>
            <w:tcW w:w="900" w:type="dxa"/>
            <w:vAlign w:val="bottom"/>
            <w:gridSpan w:val="2"/>
          </w:tcPr>
          <w:p>
            <w:pPr>
              <w:jc w:val="right"/>
              <w:ind w:right="32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2"/>
                <w:szCs w:val="12"/>
                <w:color w:val="auto"/>
              </w:rPr>
            </w:pPr>
          </w:p>
        </w:tc>
        <w:tc>
          <w:tcPr>
            <w:tcW w:w="800" w:type="dxa"/>
            <w:vAlign w:val="bottom"/>
            <w:gridSpan w:val="2"/>
          </w:tcPr>
          <w:p>
            <w:pPr>
              <w:jc w:val="right"/>
              <w:ind w:right="34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tcPr>
          <w:p>
            <w:pPr>
              <w:jc w:val="right"/>
              <w:ind w:right="340"/>
              <w:spacing w:after="0"/>
              <w:rPr>
                <w:sz w:val="20"/>
                <w:szCs w:val="20"/>
                <w:color w:val="auto"/>
              </w:rPr>
            </w:pPr>
            <w:r>
              <w:rPr>
                <w:rFonts w:ascii="Times New Roman" w:cs="Times New Roman" w:eastAsia="Times New Roman" w:hAnsi="Times New Roman"/>
                <w:sz w:val="12"/>
                <w:szCs w:val="12"/>
                <w:color w:val="auto"/>
              </w:rPr>
              <w:t>-</w:t>
            </w: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r>
      <w:tr>
        <w:trPr>
          <w:trHeight w:val="144"/>
        </w:trPr>
        <w:tc>
          <w:tcPr>
            <w:tcW w:w="31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Trade names and trademarks</w:t>
            </w:r>
          </w:p>
        </w:tc>
        <w:tc>
          <w:tcPr>
            <w:tcW w:w="13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2"/>
                <w:szCs w:val="12"/>
                <w:color w:val="auto"/>
              </w:rPr>
              <w:t>-</w:t>
            </w:r>
          </w:p>
        </w:tc>
        <w:tc>
          <w:tcPr>
            <w:tcW w:w="7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r>
      <w:tr>
        <w:trPr>
          <w:trHeight w:val="144"/>
        </w:trPr>
        <w:tc>
          <w:tcPr>
            <w:tcW w:w="312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Customer relationships</w:t>
            </w:r>
          </w:p>
        </w:tc>
        <w:tc>
          <w:tcPr>
            <w:tcW w:w="1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60" w:type="dxa"/>
            <w:vAlign w:val="bottom"/>
            <w:gridSpan w:val="2"/>
          </w:tcPr>
          <w:p>
            <w:pPr>
              <w:jc w:val="right"/>
              <w:ind w:right="34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2"/>
                <w:szCs w:val="12"/>
                <w:color w:val="auto"/>
              </w:rPr>
            </w:pPr>
          </w:p>
        </w:tc>
        <w:tc>
          <w:tcPr>
            <w:tcW w:w="900" w:type="dxa"/>
            <w:vAlign w:val="bottom"/>
            <w:gridSpan w:val="2"/>
          </w:tcPr>
          <w:p>
            <w:pPr>
              <w:jc w:val="right"/>
              <w:ind w:right="32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2"/>
                <w:szCs w:val="12"/>
                <w:color w:val="auto"/>
              </w:rPr>
            </w:pPr>
          </w:p>
        </w:tc>
        <w:tc>
          <w:tcPr>
            <w:tcW w:w="800" w:type="dxa"/>
            <w:vAlign w:val="bottom"/>
            <w:gridSpan w:val="2"/>
          </w:tcPr>
          <w:p>
            <w:pPr>
              <w:jc w:val="right"/>
              <w:ind w:right="34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tcPr>
          <w:p>
            <w:pPr>
              <w:jc w:val="right"/>
              <w:ind w:right="340"/>
              <w:spacing w:after="0"/>
              <w:rPr>
                <w:sz w:val="20"/>
                <w:szCs w:val="20"/>
                <w:color w:val="auto"/>
              </w:rPr>
            </w:pPr>
            <w:r>
              <w:rPr>
                <w:rFonts w:ascii="Times New Roman" w:cs="Times New Roman" w:eastAsia="Times New Roman" w:hAnsi="Times New Roman"/>
                <w:sz w:val="12"/>
                <w:szCs w:val="12"/>
                <w:color w:val="auto"/>
              </w:rPr>
              <w:t>-</w:t>
            </w: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r>
      <w:tr>
        <w:trPr>
          <w:trHeight w:val="144"/>
        </w:trPr>
        <w:tc>
          <w:tcPr>
            <w:tcW w:w="31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Goodwill</w:t>
            </w:r>
          </w:p>
        </w:tc>
        <w:tc>
          <w:tcPr>
            <w:tcW w:w="13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2"/>
                <w:szCs w:val="12"/>
                <w:color w:val="auto"/>
              </w:rPr>
              <w:t>2,172</w:t>
            </w:r>
          </w:p>
        </w:tc>
        <w:tc>
          <w:tcPr>
            <w:tcW w:w="2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2"/>
                <w:szCs w:val="12"/>
                <w:color w:val="auto"/>
              </w:rPr>
              <w:t>20,793</w:t>
            </w:r>
          </w:p>
        </w:tc>
        <w:tc>
          <w:tcPr>
            <w:tcW w:w="1000" w:type="dxa"/>
            <w:vAlign w:val="bottom"/>
            <w:gridSpan w:val="2"/>
            <w:shd w:val="clear" w:color="auto" w:fill="CCEEFF"/>
          </w:tcPr>
          <w:p>
            <w:pPr>
              <w:jc w:val="center"/>
              <w:ind w:right="240"/>
              <w:spacing w:after="0"/>
              <w:rPr>
                <w:sz w:val="20"/>
                <w:szCs w:val="20"/>
                <w:color w:val="auto"/>
              </w:rPr>
            </w:pPr>
            <w:r>
              <w:rPr>
                <w:rFonts w:ascii="Times New Roman" w:cs="Times New Roman" w:eastAsia="Times New Roman" w:hAnsi="Times New Roman"/>
                <w:sz w:val="12"/>
                <w:szCs w:val="12"/>
                <w:color w:val="auto"/>
                <w:w w:val="99"/>
              </w:rPr>
              <w:t>(BB)</w:t>
            </w:r>
          </w:p>
        </w:tc>
        <w:tc>
          <w:tcPr>
            <w:tcW w:w="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22,964</w:t>
            </w:r>
          </w:p>
        </w:tc>
      </w:tr>
      <w:tr>
        <w:trPr>
          <w:trHeight w:val="153"/>
        </w:trPr>
        <w:tc>
          <w:tcPr>
            <w:tcW w:w="312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Other Assets</w:t>
            </w:r>
          </w:p>
        </w:tc>
        <w:tc>
          <w:tcPr>
            <w:tcW w:w="1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60" w:type="dxa"/>
            <w:vAlign w:val="bottom"/>
            <w:gridSpan w:val="2"/>
          </w:tcPr>
          <w:p>
            <w:pPr>
              <w:jc w:val="right"/>
              <w:ind w:right="340"/>
              <w:spacing w:after="0"/>
              <w:rPr>
                <w:sz w:val="20"/>
                <w:szCs w:val="20"/>
                <w:color w:val="auto"/>
              </w:rPr>
            </w:pPr>
            <w:r>
              <w:rPr>
                <w:rFonts w:ascii="Times New Roman" w:cs="Times New Roman" w:eastAsia="Times New Roman" w:hAnsi="Times New Roman"/>
                <w:sz w:val="12"/>
                <w:szCs w:val="12"/>
                <w:color w:val="auto"/>
              </w:rPr>
              <w:t>1,049</w:t>
            </w:r>
          </w:p>
        </w:tc>
        <w:tc>
          <w:tcPr>
            <w:tcW w:w="120" w:type="dxa"/>
            <w:vAlign w:val="bottom"/>
          </w:tcPr>
          <w:p>
            <w:pPr>
              <w:spacing w:after="0"/>
              <w:rPr>
                <w:sz w:val="13"/>
                <w:szCs w:val="13"/>
                <w:color w:val="auto"/>
              </w:rPr>
            </w:pPr>
          </w:p>
        </w:tc>
        <w:tc>
          <w:tcPr>
            <w:tcW w:w="900" w:type="dxa"/>
            <w:vAlign w:val="bottom"/>
            <w:gridSpan w:val="2"/>
          </w:tcPr>
          <w:p>
            <w:pPr>
              <w:jc w:val="right"/>
              <w:ind w:right="320"/>
              <w:spacing w:after="0"/>
              <w:rPr>
                <w:sz w:val="20"/>
                <w:szCs w:val="20"/>
                <w:color w:val="auto"/>
              </w:rPr>
            </w:pPr>
            <w:r>
              <w:rPr>
                <w:rFonts w:ascii="Times New Roman" w:cs="Times New Roman" w:eastAsia="Times New Roman" w:hAnsi="Times New Roman"/>
                <w:sz w:val="12"/>
                <w:szCs w:val="12"/>
                <w:color w:val="auto"/>
              </w:rPr>
              <w:t>38</w:t>
            </w:r>
          </w:p>
        </w:tc>
        <w:tc>
          <w:tcPr>
            <w:tcW w:w="200" w:type="dxa"/>
            <w:vAlign w:val="bottom"/>
          </w:tcPr>
          <w:p>
            <w:pPr>
              <w:spacing w:after="0"/>
              <w:rPr>
                <w:sz w:val="13"/>
                <w:szCs w:val="13"/>
                <w:color w:val="auto"/>
              </w:rPr>
            </w:pPr>
          </w:p>
        </w:tc>
        <w:tc>
          <w:tcPr>
            <w:tcW w:w="800" w:type="dxa"/>
            <w:vAlign w:val="bottom"/>
            <w:gridSpan w:val="2"/>
          </w:tcPr>
          <w:p>
            <w:pPr>
              <w:jc w:val="right"/>
              <w:ind w:right="34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gridSpan w:val="2"/>
          </w:tcPr>
          <w:p>
            <w:pPr>
              <w:jc w:val="right"/>
              <w:ind w:right="340"/>
              <w:spacing w:after="0"/>
              <w:rPr>
                <w:sz w:val="20"/>
                <w:szCs w:val="20"/>
                <w:color w:val="auto"/>
              </w:rPr>
            </w:pPr>
            <w:r>
              <w:rPr>
                <w:rFonts w:ascii="Times New Roman" w:cs="Times New Roman" w:eastAsia="Times New Roman" w:hAnsi="Times New Roman"/>
                <w:sz w:val="12"/>
                <w:szCs w:val="12"/>
                <w:color w:val="auto"/>
              </w:rPr>
              <w:t>-</w:t>
            </w:r>
          </w:p>
        </w:tc>
        <w:tc>
          <w:tcPr>
            <w:tcW w:w="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1,087</w:t>
            </w:r>
          </w:p>
        </w:tc>
      </w:tr>
      <w:tr>
        <w:trPr>
          <w:trHeight w:val="133"/>
        </w:trPr>
        <w:tc>
          <w:tcPr>
            <w:tcW w:w="3120" w:type="dxa"/>
            <w:vAlign w:val="bottom"/>
            <w:tcBorders>
              <w:top w:val="single" w:sz="8" w:color="CCEEFF"/>
            </w:tcBorders>
            <w:shd w:val="clear" w:color="auto" w:fill="CCEEFF"/>
          </w:tcPr>
          <w:p>
            <w:pPr>
              <w:spacing w:after="0" w:line="133" w:lineRule="exact"/>
              <w:rPr>
                <w:sz w:val="20"/>
                <w:szCs w:val="20"/>
                <w:color w:val="auto"/>
              </w:rPr>
            </w:pPr>
            <w:r>
              <w:rPr>
                <w:rFonts w:ascii="Times New Roman" w:cs="Times New Roman" w:eastAsia="Times New Roman" w:hAnsi="Times New Roman"/>
                <w:sz w:val="12"/>
                <w:szCs w:val="12"/>
                <w:b w:val="1"/>
                <w:bCs w:val="1"/>
                <w:color w:val="auto"/>
              </w:rPr>
              <w:t>Long-Term Assets</w:t>
            </w:r>
          </w:p>
        </w:tc>
        <w:tc>
          <w:tcPr>
            <w:tcW w:w="130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bottom w:val="single" w:sz="8" w:color="auto"/>
            </w:tcBorders>
            <w:shd w:val="clear" w:color="auto" w:fill="CCEEFF"/>
          </w:tcPr>
          <w:p>
            <w:pPr>
              <w:spacing w:after="0"/>
              <w:rPr>
                <w:sz w:val="11"/>
                <w:szCs w:val="11"/>
                <w:color w:val="auto"/>
              </w:rPr>
            </w:pPr>
          </w:p>
        </w:tc>
        <w:tc>
          <w:tcPr>
            <w:tcW w:w="62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1,055</w:t>
            </w:r>
          </w:p>
        </w:tc>
        <w:tc>
          <w:tcPr>
            <w:tcW w:w="34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bottom w:val="single" w:sz="8" w:color="auto"/>
            </w:tcBorders>
            <w:shd w:val="clear" w:color="auto" w:fill="CCEEFF"/>
          </w:tcPr>
          <w:p>
            <w:pPr>
              <w:spacing w:after="0"/>
              <w:rPr>
                <w:sz w:val="11"/>
                <w:szCs w:val="11"/>
                <w:color w:val="auto"/>
              </w:rPr>
            </w:pPr>
          </w:p>
        </w:tc>
        <w:tc>
          <w:tcPr>
            <w:tcW w:w="56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2,349</w:t>
            </w:r>
          </w:p>
        </w:tc>
        <w:tc>
          <w:tcPr>
            <w:tcW w:w="34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auto"/>
              <w:bottom w:val="single" w:sz="8" w:color="auto"/>
            </w:tcBorders>
            <w:shd w:val="clear" w:color="auto" w:fill="CCEEFF"/>
          </w:tcPr>
          <w:p>
            <w:pPr>
              <w:spacing w:after="0"/>
              <w:rPr>
                <w:sz w:val="11"/>
                <w:szCs w:val="11"/>
                <w:color w:val="auto"/>
              </w:rPr>
            </w:pPr>
          </w:p>
        </w:tc>
        <w:tc>
          <w:tcPr>
            <w:tcW w:w="46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19,600</w:t>
            </w:r>
          </w:p>
        </w:tc>
        <w:tc>
          <w:tcPr>
            <w:tcW w:w="34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CCEEFF"/>
            </w:tcBorders>
            <w:shd w:val="clear" w:color="auto" w:fill="CCEEFF"/>
          </w:tcPr>
          <w:p>
            <w:pPr>
              <w:spacing w:after="0"/>
              <w:rPr>
                <w:sz w:val="11"/>
                <w:szCs w:val="11"/>
                <w:color w:val="auto"/>
              </w:rPr>
            </w:pPr>
          </w:p>
        </w:tc>
        <w:tc>
          <w:tcPr>
            <w:tcW w:w="600" w:type="dxa"/>
            <w:vAlign w:val="bottom"/>
            <w:tcBorders>
              <w:top w:val="single" w:sz="8" w:color="CCEEFF"/>
            </w:tcBorders>
            <w:shd w:val="clear" w:color="auto" w:fill="CCEEFF"/>
          </w:tcPr>
          <w:p>
            <w:pPr>
              <w:spacing w:after="0"/>
              <w:rPr>
                <w:sz w:val="11"/>
                <w:szCs w:val="11"/>
                <w:color w:val="auto"/>
              </w:rPr>
            </w:pPr>
          </w:p>
        </w:tc>
        <w:tc>
          <w:tcPr>
            <w:tcW w:w="22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bottom w:val="single" w:sz="8" w:color="auto"/>
            </w:tcBorders>
            <w:shd w:val="clear" w:color="auto" w:fill="CCEEFF"/>
          </w:tcPr>
          <w:p>
            <w:pPr>
              <w:spacing w:after="0"/>
              <w:rPr>
                <w:sz w:val="11"/>
                <w:szCs w:val="11"/>
                <w:color w:val="auto"/>
              </w:rPr>
            </w:pPr>
          </w:p>
        </w:tc>
        <w:tc>
          <w:tcPr>
            <w:tcW w:w="60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1,193</w:t>
            </w:r>
          </w:p>
        </w:tc>
        <w:tc>
          <w:tcPr>
            <w:tcW w:w="340" w:type="dxa"/>
            <w:vAlign w:val="bottom"/>
            <w:tcBorders>
              <w:top w:val="single" w:sz="8" w:color="CCEEFF"/>
            </w:tcBorders>
            <w:shd w:val="clear" w:color="auto" w:fill="CCEEFF"/>
          </w:tcPr>
          <w:p>
            <w:pPr>
              <w:spacing w:after="0"/>
              <w:rPr>
                <w:sz w:val="11"/>
                <w:szCs w:val="11"/>
                <w:color w:val="auto"/>
              </w:rPr>
            </w:pPr>
          </w:p>
        </w:tc>
        <w:tc>
          <w:tcPr>
            <w:tcW w:w="780" w:type="dxa"/>
            <w:vAlign w:val="bottom"/>
            <w:tcBorders>
              <w:top w:val="single" w:sz="8" w:color="CCEEFF"/>
            </w:tcBorders>
            <w:shd w:val="clear" w:color="auto" w:fill="CCEEFF"/>
          </w:tcPr>
          <w:p>
            <w:pPr>
              <w:spacing w:after="0"/>
              <w:rPr>
                <w:sz w:val="11"/>
                <w:szCs w:val="11"/>
                <w:color w:val="auto"/>
              </w:rPr>
            </w:pPr>
          </w:p>
        </w:tc>
        <w:tc>
          <w:tcPr>
            <w:tcW w:w="22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bottom w:val="single" w:sz="8" w:color="auto"/>
            </w:tcBorders>
            <w:shd w:val="clear" w:color="auto" w:fill="CCEEFF"/>
          </w:tcPr>
          <w:p>
            <w:pPr>
              <w:spacing w:after="0"/>
              <w:rPr>
                <w:sz w:val="11"/>
                <w:szCs w:val="11"/>
                <w:color w:val="auto"/>
              </w:rPr>
            </w:pPr>
          </w:p>
        </w:tc>
        <w:tc>
          <w:tcPr>
            <w:tcW w:w="60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24,196</w:t>
            </w:r>
          </w:p>
        </w:tc>
        <w:tc>
          <w:tcPr>
            <w:tcW w:w="120" w:type="dxa"/>
            <w:vAlign w:val="bottom"/>
            <w:tcBorders>
              <w:top w:val="single" w:sz="8" w:color="CCEEFF"/>
            </w:tcBorders>
            <w:shd w:val="clear" w:color="auto" w:fill="CCEEFF"/>
          </w:tcPr>
          <w:p>
            <w:pPr>
              <w:spacing w:after="0"/>
              <w:rPr>
                <w:sz w:val="11"/>
                <w:szCs w:val="11"/>
                <w:color w:val="auto"/>
              </w:rPr>
            </w:pPr>
          </w:p>
        </w:tc>
      </w:tr>
      <w:tr>
        <w:trPr>
          <w:trHeight w:val="133"/>
        </w:trPr>
        <w:tc>
          <w:tcPr>
            <w:tcW w:w="312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69"/>
        </w:trPr>
        <w:tc>
          <w:tcPr>
            <w:tcW w:w="31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Total Assets</w:t>
            </w:r>
          </w:p>
        </w:tc>
        <w:tc>
          <w:tcPr>
            <w:tcW w:w="13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2"/>
                <w:szCs w:val="12"/>
                <w:color w:val="auto"/>
              </w:rPr>
              <w:t>3,297</w:t>
            </w:r>
          </w:p>
        </w:tc>
        <w:tc>
          <w:tcPr>
            <w:tcW w:w="12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2"/>
                <w:szCs w:val="12"/>
                <w:color w:val="auto"/>
              </w:rPr>
              <w:t>5,288</w:t>
            </w:r>
          </w:p>
        </w:tc>
        <w:tc>
          <w:tcPr>
            <w:tcW w:w="2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2"/>
                <w:szCs w:val="12"/>
                <w:color w:val="auto"/>
              </w:rPr>
              <w:t>19,600</w:t>
            </w:r>
          </w:p>
        </w:tc>
        <w:tc>
          <w:tcPr>
            <w:tcW w:w="1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2"/>
                <w:szCs w:val="12"/>
                <w:color w:val="auto"/>
              </w:rPr>
              <w:t>1,193</w:t>
            </w:r>
          </w:p>
        </w:tc>
        <w:tc>
          <w:tcPr>
            <w:tcW w:w="7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29,378</w:t>
            </w:r>
          </w:p>
        </w:tc>
      </w:tr>
      <w:tr>
        <w:trPr>
          <w:trHeight w:val="144"/>
        </w:trPr>
        <w:tc>
          <w:tcPr>
            <w:tcW w:w="3120" w:type="dxa"/>
            <w:vAlign w:val="bottom"/>
            <w:tcBorders>
              <w:top w:val="single" w:sz="8" w:color="CCEEFF"/>
            </w:tcBorders>
          </w:tcPr>
          <w:p>
            <w:pPr>
              <w:spacing w:after="0"/>
              <w:rPr>
                <w:sz w:val="12"/>
                <w:szCs w:val="12"/>
                <w:color w:val="auto"/>
              </w:rPr>
            </w:pPr>
          </w:p>
        </w:tc>
        <w:tc>
          <w:tcPr>
            <w:tcW w:w="1300" w:type="dxa"/>
            <w:vAlign w:val="bottom"/>
            <w:tcBorders>
              <w:top w:val="single" w:sz="8" w:color="CCEEFF"/>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340" w:type="dxa"/>
            <w:vAlign w:val="bottom"/>
            <w:tcBorders>
              <w:top w:val="single" w:sz="8" w:color="CCEEFF"/>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340" w:type="dxa"/>
            <w:vAlign w:val="bottom"/>
            <w:tcBorders>
              <w:top w:val="single" w:sz="8" w:color="CCEEFF"/>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340" w:type="dxa"/>
            <w:vAlign w:val="bottom"/>
            <w:tcBorders>
              <w:top w:val="single" w:sz="8" w:color="CCEEFF"/>
            </w:tcBorders>
          </w:tcPr>
          <w:p>
            <w:pPr>
              <w:spacing w:after="0"/>
              <w:rPr>
                <w:sz w:val="12"/>
                <w:szCs w:val="12"/>
                <w:color w:val="auto"/>
              </w:rPr>
            </w:pPr>
          </w:p>
        </w:tc>
        <w:tc>
          <w:tcPr>
            <w:tcW w:w="180" w:type="dxa"/>
            <w:vAlign w:val="bottom"/>
            <w:tcBorders>
              <w:top w:val="single" w:sz="8" w:color="CCEEFF"/>
            </w:tcBorders>
          </w:tcPr>
          <w:p>
            <w:pPr>
              <w:spacing w:after="0"/>
              <w:rPr>
                <w:sz w:val="12"/>
                <w:szCs w:val="12"/>
                <w:color w:val="auto"/>
              </w:rPr>
            </w:pPr>
          </w:p>
        </w:tc>
        <w:tc>
          <w:tcPr>
            <w:tcW w:w="600" w:type="dxa"/>
            <w:vAlign w:val="bottom"/>
            <w:tcBorders>
              <w:top w:val="single" w:sz="8" w:color="CCEEFF"/>
            </w:tcBorders>
          </w:tcPr>
          <w:p>
            <w:pPr>
              <w:spacing w:after="0"/>
              <w:rPr>
                <w:sz w:val="12"/>
                <w:szCs w:val="12"/>
                <w:color w:val="auto"/>
              </w:rPr>
            </w:pPr>
          </w:p>
        </w:tc>
        <w:tc>
          <w:tcPr>
            <w:tcW w:w="220" w:type="dxa"/>
            <w:vAlign w:val="bottom"/>
            <w:tcBorders>
              <w:top w:val="single" w:sz="8" w:color="CCEEFF"/>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340" w:type="dxa"/>
            <w:vAlign w:val="bottom"/>
            <w:tcBorders>
              <w:top w:val="single" w:sz="8" w:color="CCEEFF"/>
            </w:tcBorders>
          </w:tcPr>
          <w:p>
            <w:pPr>
              <w:spacing w:after="0"/>
              <w:rPr>
                <w:sz w:val="12"/>
                <w:szCs w:val="12"/>
                <w:color w:val="auto"/>
              </w:rPr>
            </w:pPr>
          </w:p>
        </w:tc>
        <w:tc>
          <w:tcPr>
            <w:tcW w:w="780" w:type="dxa"/>
            <w:vAlign w:val="bottom"/>
            <w:tcBorders>
              <w:top w:val="single" w:sz="8" w:color="CCEEFF"/>
            </w:tcBorders>
          </w:tcPr>
          <w:p>
            <w:pPr>
              <w:spacing w:after="0"/>
              <w:rPr>
                <w:sz w:val="12"/>
                <w:szCs w:val="12"/>
                <w:color w:val="auto"/>
              </w:rPr>
            </w:pPr>
          </w:p>
        </w:tc>
        <w:tc>
          <w:tcPr>
            <w:tcW w:w="220" w:type="dxa"/>
            <w:vAlign w:val="bottom"/>
            <w:tcBorders>
              <w:top w:val="single" w:sz="8" w:color="CCEEFF"/>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r>
      <w:tr>
        <w:trPr>
          <w:trHeight w:val="144"/>
        </w:trPr>
        <w:tc>
          <w:tcPr>
            <w:tcW w:w="31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Liabilities</w:t>
            </w:r>
          </w:p>
        </w:tc>
        <w:tc>
          <w:tcPr>
            <w:tcW w:w="13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r>
      <w:tr>
        <w:trPr>
          <w:trHeight w:val="144"/>
        </w:trPr>
        <w:tc>
          <w:tcPr>
            <w:tcW w:w="312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Accounts Payable</w:t>
            </w:r>
          </w:p>
        </w:tc>
        <w:tc>
          <w:tcPr>
            <w:tcW w:w="1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60" w:type="dxa"/>
            <w:vAlign w:val="bottom"/>
            <w:gridSpan w:val="2"/>
          </w:tcPr>
          <w:p>
            <w:pPr>
              <w:jc w:val="right"/>
              <w:ind w:right="340"/>
              <w:spacing w:after="0"/>
              <w:rPr>
                <w:sz w:val="20"/>
                <w:szCs w:val="20"/>
                <w:color w:val="auto"/>
              </w:rPr>
            </w:pPr>
            <w:r>
              <w:rPr>
                <w:rFonts w:ascii="Times New Roman" w:cs="Times New Roman" w:eastAsia="Times New Roman" w:hAnsi="Times New Roman"/>
                <w:sz w:val="12"/>
                <w:szCs w:val="12"/>
                <w:color w:val="auto"/>
              </w:rPr>
              <w:t>237</w:t>
            </w:r>
          </w:p>
        </w:tc>
        <w:tc>
          <w:tcPr>
            <w:tcW w:w="120" w:type="dxa"/>
            <w:vAlign w:val="bottom"/>
          </w:tcPr>
          <w:p>
            <w:pPr>
              <w:spacing w:after="0"/>
              <w:rPr>
                <w:sz w:val="12"/>
                <w:szCs w:val="12"/>
                <w:color w:val="auto"/>
              </w:rPr>
            </w:pPr>
          </w:p>
        </w:tc>
        <w:tc>
          <w:tcPr>
            <w:tcW w:w="900" w:type="dxa"/>
            <w:vAlign w:val="bottom"/>
            <w:gridSpan w:val="2"/>
          </w:tcPr>
          <w:p>
            <w:pPr>
              <w:jc w:val="right"/>
              <w:ind w:right="320"/>
              <w:spacing w:after="0"/>
              <w:rPr>
                <w:sz w:val="20"/>
                <w:szCs w:val="20"/>
                <w:color w:val="auto"/>
              </w:rPr>
            </w:pPr>
            <w:r>
              <w:rPr>
                <w:rFonts w:ascii="Times New Roman" w:cs="Times New Roman" w:eastAsia="Times New Roman" w:hAnsi="Times New Roman"/>
                <w:sz w:val="12"/>
                <w:szCs w:val="12"/>
                <w:color w:val="auto"/>
              </w:rPr>
              <w:t>6,440</w:t>
            </w:r>
          </w:p>
        </w:tc>
        <w:tc>
          <w:tcPr>
            <w:tcW w:w="200" w:type="dxa"/>
            <w:vAlign w:val="bottom"/>
          </w:tcPr>
          <w:p>
            <w:pPr>
              <w:spacing w:after="0"/>
              <w:rPr>
                <w:sz w:val="12"/>
                <w:szCs w:val="12"/>
                <w:color w:val="auto"/>
              </w:rPr>
            </w:pPr>
          </w:p>
        </w:tc>
        <w:tc>
          <w:tcPr>
            <w:tcW w:w="800" w:type="dxa"/>
            <w:vAlign w:val="bottom"/>
            <w:gridSpan w:val="2"/>
          </w:tcPr>
          <w:p>
            <w:pPr>
              <w:jc w:val="right"/>
              <w:ind w:right="34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tcPr>
          <w:p>
            <w:pPr>
              <w:jc w:val="right"/>
              <w:ind w:right="340"/>
              <w:spacing w:after="0"/>
              <w:rPr>
                <w:sz w:val="20"/>
                <w:szCs w:val="20"/>
                <w:color w:val="auto"/>
              </w:rPr>
            </w:pPr>
            <w:r>
              <w:rPr>
                <w:rFonts w:ascii="Times New Roman" w:cs="Times New Roman" w:eastAsia="Times New Roman" w:hAnsi="Times New Roman"/>
                <w:sz w:val="12"/>
                <w:szCs w:val="12"/>
                <w:color w:val="auto"/>
              </w:rPr>
              <w:t>-</w:t>
            </w: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6,677</w:t>
            </w:r>
          </w:p>
        </w:tc>
      </w:tr>
      <w:tr>
        <w:trPr>
          <w:trHeight w:val="144"/>
        </w:trPr>
        <w:tc>
          <w:tcPr>
            <w:tcW w:w="31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Accrued expenses and other current liabilities</w:t>
            </w:r>
          </w:p>
        </w:tc>
        <w:tc>
          <w:tcPr>
            <w:tcW w:w="13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2"/>
                <w:szCs w:val="12"/>
                <w:color w:val="auto"/>
              </w:rPr>
              <w:t>432</w:t>
            </w:r>
          </w:p>
        </w:tc>
        <w:tc>
          <w:tcPr>
            <w:tcW w:w="12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2"/>
                <w:szCs w:val="12"/>
                <w:color w:val="auto"/>
              </w:rPr>
              <w:t>11,694</w:t>
            </w:r>
          </w:p>
        </w:tc>
        <w:tc>
          <w:tcPr>
            <w:tcW w:w="2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2"/>
                <w:szCs w:val="12"/>
                <w:color w:val="auto"/>
              </w:rPr>
              <w:t>-</w:t>
            </w:r>
          </w:p>
        </w:tc>
        <w:tc>
          <w:tcPr>
            <w:tcW w:w="7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12,126</w:t>
            </w:r>
          </w:p>
        </w:tc>
      </w:tr>
      <w:tr>
        <w:trPr>
          <w:trHeight w:val="144"/>
        </w:trPr>
        <w:tc>
          <w:tcPr>
            <w:tcW w:w="312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Deferred Revenue</w:t>
            </w:r>
          </w:p>
        </w:tc>
        <w:tc>
          <w:tcPr>
            <w:tcW w:w="1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60" w:type="dxa"/>
            <w:vAlign w:val="bottom"/>
            <w:gridSpan w:val="2"/>
          </w:tcPr>
          <w:p>
            <w:pPr>
              <w:jc w:val="right"/>
              <w:ind w:right="340"/>
              <w:spacing w:after="0"/>
              <w:rPr>
                <w:sz w:val="20"/>
                <w:szCs w:val="20"/>
                <w:color w:val="auto"/>
              </w:rPr>
            </w:pPr>
            <w:r>
              <w:rPr>
                <w:rFonts w:ascii="Times New Roman" w:cs="Times New Roman" w:eastAsia="Times New Roman" w:hAnsi="Times New Roman"/>
                <w:sz w:val="12"/>
                <w:szCs w:val="12"/>
                <w:color w:val="auto"/>
              </w:rPr>
              <w:t>3,023</w:t>
            </w:r>
          </w:p>
        </w:tc>
        <w:tc>
          <w:tcPr>
            <w:tcW w:w="120" w:type="dxa"/>
            <w:vAlign w:val="bottom"/>
          </w:tcPr>
          <w:p>
            <w:pPr>
              <w:spacing w:after="0"/>
              <w:rPr>
                <w:sz w:val="12"/>
                <w:szCs w:val="12"/>
                <w:color w:val="auto"/>
              </w:rPr>
            </w:pPr>
          </w:p>
        </w:tc>
        <w:tc>
          <w:tcPr>
            <w:tcW w:w="900" w:type="dxa"/>
            <w:vAlign w:val="bottom"/>
            <w:gridSpan w:val="2"/>
          </w:tcPr>
          <w:p>
            <w:pPr>
              <w:jc w:val="right"/>
              <w:ind w:right="320"/>
              <w:spacing w:after="0"/>
              <w:rPr>
                <w:sz w:val="20"/>
                <w:szCs w:val="20"/>
                <w:color w:val="auto"/>
              </w:rPr>
            </w:pPr>
            <w:r>
              <w:rPr>
                <w:rFonts w:ascii="Times New Roman" w:cs="Times New Roman" w:eastAsia="Times New Roman" w:hAnsi="Times New Roman"/>
                <w:sz w:val="12"/>
                <w:szCs w:val="12"/>
                <w:color w:val="auto"/>
              </w:rPr>
              <w:t>1,214</w:t>
            </w:r>
          </w:p>
        </w:tc>
        <w:tc>
          <w:tcPr>
            <w:tcW w:w="200" w:type="dxa"/>
            <w:vAlign w:val="bottom"/>
          </w:tcPr>
          <w:p>
            <w:pPr>
              <w:spacing w:after="0"/>
              <w:rPr>
                <w:sz w:val="12"/>
                <w:szCs w:val="12"/>
                <w:color w:val="auto"/>
              </w:rPr>
            </w:pPr>
          </w:p>
        </w:tc>
        <w:tc>
          <w:tcPr>
            <w:tcW w:w="800" w:type="dxa"/>
            <w:vAlign w:val="bottom"/>
            <w:gridSpan w:val="2"/>
          </w:tcPr>
          <w:p>
            <w:pPr>
              <w:jc w:val="right"/>
              <w:ind w:right="34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tcPr>
          <w:p>
            <w:pPr>
              <w:jc w:val="right"/>
              <w:ind w:right="340"/>
              <w:spacing w:after="0"/>
              <w:rPr>
                <w:sz w:val="20"/>
                <w:szCs w:val="20"/>
                <w:color w:val="auto"/>
              </w:rPr>
            </w:pPr>
            <w:r>
              <w:rPr>
                <w:rFonts w:ascii="Times New Roman" w:cs="Times New Roman" w:eastAsia="Times New Roman" w:hAnsi="Times New Roman"/>
                <w:sz w:val="12"/>
                <w:szCs w:val="12"/>
                <w:color w:val="auto"/>
              </w:rPr>
              <w:t>-</w:t>
            </w: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4,237</w:t>
            </w:r>
          </w:p>
        </w:tc>
      </w:tr>
      <w:tr>
        <w:trPr>
          <w:trHeight w:val="144"/>
        </w:trPr>
        <w:tc>
          <w:tcPr>
            <w:tcW w:w="31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Current Operating Lease Liabilities</w:t>
            </w:r>
          </w:p>
        </w:tc>
        <w:tc>
          <w:tcPr>
            <w:tcW w:w="13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2"/>
                <w:szCs w:val="12"/>
                <w:color w:val="auto"/>
              </w:rPr>
              <w:t>234</w:t>
            </w:r>
          </w:p>
        </w:tc>
        <w:tc>
          <w:tcPr>
            <w:tcW w:w="2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2"/>
                <w:szCs w:val="12"/>
                <w:color w:val="auto"/>
              </w:rPr>
              <w:t>-</w:t>
            </w:r>
          </w:p>
        </w:tc>
        <w:tc>
          <w:tcPr>
            <w:tcW w:w="7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234</w:t>
            </w:r>
          </w:p>
        </w:tc>
      </w:tr>
      <w:tr>
        <w:trPr>
          <w:trHeight w:val="144"/>
        </w:trPr>
        <w:tc>
          <w:tcPr>
            <w:tcW w:w="312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Short-Term Debt</w:t>
            </w:r>
          </w:p>
        </w:tc>
        <w:tc>
          <w:tcPr>
            <w:tcW w:w="1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60" w:type="dxa"/>
            <w:vAlign w:val="bottom"/>
            <w:gridSpan w:val="2"/>
          </w:tcPr>
          <w:p>
            <w:pPr>
              <w:jc w:val="right"/>
              <w:ind w:right="34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2"/>
                <w:szCs w:val="12"/>
                <w:color w:val="auto"/>
              </w:rPr>
            </w:pPr>
          </w:p>
        </w:tc>
        <w:tc>
          <w:tcPr>
            <w:tcW w:w="900" w:type="dxa"/>
            <w:vAlign w:val="bottom"/>
            <w:gridSpan w:val="2"/>
          </w:tcPr>
          <w:p>
            <w:pPr>
              <w:jc w:val="right"/>
              <w:ind w:right="32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2"/>
                <w:szCs w:val="12"/>
                <w:color w:val="auto"/>
              </w:rPr>
            </w:pPr>
          </w:p>
        </w:tc>
        <w:tc>
          <w:tcPr>
            <w:tcW w:w="800" w:type="dxa"/>
            <w:vAlign w:val="bottom"/>
            <w:gridSpan w:val="2"/>
          </w:tcPr>
          <w:p>
            <w:pPr>
              <w:jc w:val="right"/>
              <w:ind w:right="34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tcPr>
          <w:p>
            <w:pPr>
              <w:jc w:val="right"/>
              <w:ind w:right="340"/>
              <w:spacing w:after="0"/>
              <w:rPr>
                <w:sz w:val="20"/>
                <w:szCs w:val="20"/>
                <w:color w:val="auto"/>
              </w:rPr>
            </w:pPr>
            <w:r>
              <w:rPr>
                <w:rFonts w:ascii="Times New Roman" w:cs="Times New Roman" w:eastAsia="Times New Roman" w:hAnsi="Times New Roman"/>
                <w:sz w:val="12"/>
                <w:szCs w:val="12"/>
                <w:color w:val="auto"/>
              </w:rPr>
              <w:t>-</w:t>
            </w: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r>
      <w:tr>
        <w:trPr>
          <w:trHeight w:val="144"/>
        </w:trPr>
        <w:tc>
          <w:tcPr>
            <w:tcW w:w="31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Notes payable</w:t>
            </w:r>
          </w:p>
        </w:tc>
        <w:tc>
          <w:tcPr>
            <w:tcW w:w="13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2"/>
                <w:szCs w:val="12"/>
                <w:color w:val="auto"/>
              </w:rPr>
              <w:t>410</w:t>
            </w:r>
          </w:p>
        </w:tc>
        <w:tc>
          <w:tcPr>
            <w:tcW w:w="12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2"/>
                <w:szCs w:val="12"/>
                <w:color w:val="auto"/>
              </w:rPr>
              <w:t>9,165</w:t>
            </w:r>
          </w:p>
        </w:tc>
        <w:tc>
          <w:tcPr>
            <w:tcW w:w="2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2"/>
                <w:szCs w:val="12"/>
                <w:color w:val="auto"/>
              </w:rPr>
              <w:t>-</w:t>
            </w:r>
          </w:p>
        </w:tc>
        <w:tc>
          <w:tcPr>
            <w:tcW w:w="7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9,575</w:t>
            </w:r>
          </w:p>
        </w:tc>
      </w:tr>
      <w:tr>
        <w:trPr>
          <w:trHeight w:val="144"/>
        </w:trPr>
        <w:tc>
          <w:tcPr>
            <w:tcW w:w="312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Convertible notes payable</w:t>
            </w:r>
          </w:p>
        </w:tc>
        <w:tc>
          <w:tcPr>
            <w:tcW w:w="1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60" w:type="dxa"/>
            <w:vAlign w:val="bottom"/>
            <w:gridSpan w:val="2"/>
          </w:tcPr>
          <w:p>
            <w:pPr>
              <w:jc w:val="right"/>
              <w:ind w:right="34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2"/>
                <w:szCs w:val="12"/>
                <w:color w:val="auto"/>
              </w:rPr>
            </w:pPr>
          </w:p>
        </w:tc>
        <w:tc>
          <w:tcPr>
            <w:tcW w:w="900" w:type="dxa"/>
            <w:vAlign w:val="bottom"/>
            <w:gridSpan w:val="2"/>
          </w:tcPr>
          <w:p>
            <w:pPr>
              <w:jc w:val="right"/>
              <w:ind w:right="320"/>
              <w:spacing w:after="0"/>
              <w:rPr>
                <w:sz w:val="20"/>
                <w:szCs w:val="20"/>
                <w:color w:val="auto"/>
              </w:rPr>
            </w:pPr>
            <w:r>
              <w:rPr>
                <w:rFonts w:ascii="Times New Roman" w:cs="Times New Roman" w:eastAsia="Times New Roman" w:hAnsi="Times New Roman"/>
                <w:sz w:val="12"/>
                <w:szCs w:val="12"/>
                <w:color w:val="auto"/>
              </w:rPr>
              <w:t>7,000</w:t>
            </w:r>
          </w:p>
        </w:tc>
        <w:tc>
          <w:tcPr>
            <w:tcW w:w="200" w:type="dxa"/>
            <w:vAlign w:val="bottom"/>
          </w:tcPr>
          <w:p>
            <w:pPr>
              <w:spacing w:after="0"/>
              <w:rPr>
                <w:sz w:val="12"/>
                <w:szCs w:val="12"/>
                <w:color w:val="auto"/>
              </w:rPr>
            </w:pPr>
          </w:p>
        </w:tc>
        <w:tc>
          <w:tcPr>
            <w:tcW w:w="800" w:type="dxa"/>
            <w:vAlign w:val="bottom"/>
            <w:gridSpan w:val="2"/>
          </w:tcPr>
          <w:p>
            <w:pPr>
              <w:jc w:val="right"/>
              <w:ind w:right="34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tcPr>
          <w:p>
            <w:pPr>
              <w:jc w:val="right"/>
              <w:ind w:right="340"/>
              <w:spacing w:after="0"/>
              <w:rPr>
                <w:sz w:val="20"/>
                <w:szCs w:val="20"/>
                <w:color w:val="auto"/>
              </w:rPr>
            </w:pPr>
            <w:r>
              <w:rPr>
                <w:rFonts w:ascii="Times New Roman" w:cs="Times New Roman" w:eastAsia="Times New Roman" w:hAnsi="Times New Roman"/>
                <w:sz w:val="12"/>
                <w:szCs w:val="12"/>
                <w:color w:val="auto"/>
              </w:rPr>
              <w:t>-</w:t>
            </w: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7,000</w:t>
            </w:r>
          </w:p>
        </w:tc>
      </w:tr>
      <w:tr>
        <w:trPr>
          <w:trHeight w:val="144"/>
        </w:trPr>
        <w:tc>
          <w:tcPr>
            <w:tcW w:w="31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Warrant liability</w:t>
            </w:r>
          </w:p>
        </w:tc>
        <w:tc>
          <w:tcPr>
            <w:tcW w:w="13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2"/>
                <w:szCs w:val="12"/>
                <w:color w:val="auto"/>
              </w:rPr>
              <w:t>641</w:t>
            </w:r>
          </w:p>
        </w:tc>
        <w:tc>
          <w:tcPr>
            <w:tcW w:w="2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2"/>
                <w:szCs w:val="12"/>
                <w:color w:val="auto"/>
              </w:rPr>
              <w:t>-</w:t>
            </w:r>
          </w:p>
        </w:tc>
        <w:tc>
          <w:tcPr>
            <w:tcW w:w="7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641</w:t>
            </w:r>
          </w:p>
        </w:tc>
      </w:tr>
      <w:tr>
        <w:trPr>
          <w:trHeight w:val="144"/>
        </w:trPr>
        <w:tc>
          <w:tcPr>
            <w:tcW w:w="312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Warrant liability - related party</w:t>
            </w:r>
          </w:p>
        </w:tc>
        <w:tc>
          <w:tcPr>
            <w:tcW w:w="1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60" w:type="dxa"/>
            <w:vAlign w:val="bottom"/>
            <w:gridSpan w:val="2"/>
          </w:tcPr>
          <w:p>
            <w:pPr>
              <w:jc w:val="right"/>
              <w:ind w:right="34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2"/>
                <w:szCs w:val="12"/>
                <w:color w:val="auto"/>
              </w:rPr>
            </w:pPr>
          </w:p>
        </w:tc>
        <w:tc>
          <w:tcPr>
            <w:tcW w:w="900" w:type="dxa"/>
            <w:vAlign w:val="bottom"/>
            <w:gridSpan w:val="2"/>
          </w:tcPr>
          <w:p>
            <w:pPr>
              <w:jc w:val="right"/>
              <w:ind w:right="320"/>
              <w:spacing w:after="0"/>
              <w:rPr>
                <w:sz w:val="20"/>
                <w:szCs w:val="20"/>
                <w:color w:val="auto"/>
              </w:rPr>
            </w:pPr>
            <w:r>
              <w:rPr>
                <w:rFonts w:ascii="Times New Roman" w:cs="Times New Roman" w:eastAsia="Times New Roman" w:hAnsi="Times New Roman"/>
                <w:sz w:val="12"/>
                <w:szCs w:val="12"/>
                <w:color w:val="auto"/>
              </w:rPr>
              <w:t>575</w:t>
            </w:r>
          </w:p>
        </w:tc>
        <w:tc>
          <w:tcPr>
            <w:tcW w:w="200" w:type="dxa"/>
            <w:vAlign w:val="bottom"/>
          </w:tcPr>
          <w:p>
            <w:pPr>
              <w:spacing w:after="0"/>
              <w:rPr>
                <w:sz w:val="12"/>
                <w:szCs w:val="12"/>
                <w:color w:val="auto"/>
              </w:rPr>
            </w:pPr>
          </w:p>
        </w:tc>
        <w:tc>
          <w:tcPr>
            <w:tcW w:w="800" w:type="dxa"/>
            <w:vAlign w:val="bottom"/>
            <w:gridSpan w:val="2"/>
          </w:tcPr>
          <w:p>
            <w:pPr>
              <w:jc w:val="right"/>
              <w:ind w:right="34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tcPr>
          <w:p>
            <w:pPr>
              <w:jc w:val="right"/>
              <w:ind w:right="340"/>
              <w:spacing w:after="0"/>
              <w:rPr>
                <w:sz w:val="20"/>
                <w:szCs w:val="20"/>
                <w:color w:val="auto"/>
              </w:rPr>
            </w:pPr>
            <w:r>
              <w:rPr>
                <w:rFonts w:ascii="Times New Roman" w:cs="Times New Roman" w:eastAsia="Times New Roman" w:hAnsi="Times New Roman"/>
                <w:sz w:val="12"/>
                <w:szCs w:val="12"/>
                <w:color w:val="auto"/>
              </w:rPr>
              <w:t>-</w:t>
            </w: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575</w:t>
            </w:r>
          </w:p>
        </w:tc>
      </w:tr>
      <w:tr>
        <w:trPr>
          <w:trHeight w:val="144"/>
        </w:trPr>
        <w:tc>
          <w:tcPr>
            <w:tcW w:w="31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Earnout payable</w:t>
            </w:r>
          </w:p>
        </w:tc>
        <w:tc>
          <w:tcPr>
            <w:tcW w:w="13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2"/>
                <w:szCs w:val="12"/>
                <w:color w:val="auto"/>
              </w:rPr>
              <w:t>59</w:t>
            </w:r>
          </w:p>
        </w:tc>
        <w:tc>
          <w:tcPr>
            <w:tcW w:w="2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2"/>
                <w:szCs w:val="12"/>
                <w:color w:val="auto"/>
              </w:rPr>
              <w:t>-</w:t>
            </w:r>
          </w:p>
        </w:tc>
        <w:tc>
          <w:tcPr>
            <w:tcW w:w="7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59</w:t>
            </w:r>
          </w:p>
        </w:tc>
      </w:tr>
      <w:tr>
        <w:trPr>
          <w:trHeight w:val="153"/>
        </w:trPr>
        <w:tc>
          <w:tcPr>
            <w:tcW w:w="312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Due to related party</w:t>
            </w:r>
          </w:p>
        </w:tc>
        <w:tc>
          <w:tcPr>
            <w:tcW w:w="1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60" w:type="dxa"/>
            <w:vAlign w:val="bottom"/>
            <w:gridSpan w:val="2"/>
          </w:tcPr>
          <w:p>
            <w:pPr>
              <w:jc w:val="right"/>
              <w:ind w:right="34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3"/>
                <w:szCs w:val="13"/>
                <w:color w:val="auto"/>
              </w:rPr>
            </w:pPr>
          </w:p>
        </w:tc>
        <w:tc>
          <w:tcPr>
            <w:tcW w:w="900" w:type="dxa"/>
            <w:vAlign w:val="bottom"/>
            <w:gridSpan w:val="2"/>
          </w:tcPr>
          <w:p>
            <w:pPr>
              <w:jc w:val="right"/>
              <w:ind w:right="320"/>
              <w:spacing w:after="0"/>
              <w:rPr>
                <w:sz w:val="20"/>
                <w:szCs w:val="20"/>
                <w:color w:val="auto"/>
              </w:rPr>
            </w:pPr>
            <w:r>
              <w:rPr>
                <w:rFonts w:ascii="Times New Roman" w:cs="Times New Roman" w:eastAsia="Times New Roman" w:hAnsi="Times New Roman"/>
                <w:sz w:val="12"/>
                <w:szCs w:val="12"/>
                <w:color w:val="auto"/>
              </w:rPr>
              <w:t>67</w:t>
            </w:r>
          </w:p>
        </w:tc>
        <w:tc>
          <w:tcPr>
            <w:tcW w:w="200" w:type="dxa"/>
            <w:vAlign w:val="bottom"/>
          </w:tcPr>
          <w:p>
            <w:pPr>
              <w:spacing w:after="0"/>
              <w:rPr>
                <w:sz w:val="13"/>
                <w:szCs w:val="13"/>
                <w:color w:val="auto"/>
              </w:rPr>
            </w:pPr>
          </w:p>
        </w:tc>
        <w:tc>
          <w:tcPr>
            <w:tcW w:w="800" w:type="dxa"/>
            <w:vAlign w:val="bottom"/>
            <w:gridSpan w:val="2"/>
          </w:tcPr>
          <w:p>
            <w:pPr>
              <w:jc w:val="right"/>
              <w:ind w:right="34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gridSpan w:val="2"/>
          </w:tcPr>
          <w:p>
            <w:pPr>
              <w:jc w:val="right"/>
              <w:ind w:right="340"/>
              <w:spacing w:after="0"/>
              <w:rPr>
                <w:sz w:val="20"/>
                <w:szCs w:val="20"/>
                <w:color w:val="auto"/>
              </w:rPr>
            </w:pPr>
            <w:r>
              <w:rPr>
                <w:rFonts w:ascii="Times New Roman" w:cs="Times New Roman" w:eastAsia="Times New Roman" w:hAnsi="Times New Roman"/>
                <w:sz w:val="12"/>
                <w:szCs w:val="12"/>
                <w:color w:val="auto"/>
              </w:rPr>
              <w:t>-</w:t>
            </w:r>
          </w:p>
        </w:tc>
        <w:tc>
          <w:tcPr>
            <w:tcW w:w="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67</w:t>
            </w:r>
          </w:p>
        </w:tc>
      </w:tr>
      <w:tr>
        <w:trPr>
          <w:trHeight w:val="133"/>
        </w:trPr>
        <w:tc>
          <w:tcPr>
            <w:tcW w:w="3120" w:type="dxa"/>
            <w:vAlign w:val="bottom"/>
            <w:tcBorders>
              <w:top w:val="single" w:sz="8" w:color="CCEEFF"/>
            </w:tcBorders>
            <w:shd w:val="clear" w:color="auto" w:fill="CCEEFF"/>
          </w:tcPr>
          <w:p>
            <w:pPr>
              <w:spacing w:after="0" w:line="133" w:lineRule="exact"/>
              <w:rPr>
                <w:sz w:val="20"/>
                <w:szCs w:val="20"/>
                <w:color w:val="auto"/>
              </w:rPr>
            </w:pPr>
            <w:r>
              <w:rPr>
                <w:rFonts w:ascii="Times New Roman" w:cs="Times New Roman" w:eastAsia="Times New Roman" w:hAnsi="Times New Roman"/>
                <w:sz w:val="12"/>
                <w:szCs w:val="12"/>
                <w:b w:val="1"/>
                <w:bCs w:val="1"/>
                <w:color w:val="auto"/>
              </w:rPr>
              <w:t>Current Liabilities</w:t>
            </w:r>
          </w:p>
        </w:tc>
        <w:tc>
          <w:tcPr>
            <w:tcW w:w="130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bottom w:val="single" w:sz="8" w:color="auto"/>
            </w:tcBorders>
            <w:shd w:val="clear" w:color="auto" w:fill="CCEEFF"/>
          </w:tcPr>
          <w:p>
            <w:pPr>
              <w:spacing w:after="0"/>
              <w:rPr>
                <w:sz w:val="11"/>
                <w:szCs w:val="11"/>
                <w:color w:val="auto"/>
              </w:rPr>
            </w:pPr>
          </w:p>
        </w:tc>
        <w:tc>
          <w:tcPr>
            <w:tcW w:w="62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4,102</w:t>
            </w:r>
          </w:p>
        </w:tc>
        <w:tc>
          <w:tcPr>
            <w:tcW w:w="34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bottom w:val="single" w:sz="8" w:color="auto"/>
            </w:tcBorders>
            <w:shd w:val="clear" w:color="auto" w:fill="CCEEFF"/>
          </w:tcPr>
          <w:p>
            <w:pPr>
              <w:spacing w:after="0"/>
              <w:rPr>
                <w:sz w:val="11"/>
                <w:szCs w:val="11"/>
                <w:color w:val="auto"/>
              </w:rPr>
            </w:pPr>
          </w:p>
        </w:tc>
        <w:tc>
          <w:tcPr>
            <w:tcW w:w="56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37,090</w:t>
            </w:r>
          </w:p>
        </w:tc>
        <w:tc>
          <w:tcPr>
            <w:tcW w:w="34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auto"/>
              <w:bottom w:val="single" w:sz="8" w:color="auto"/>
            </w:tcBorders>
            <w:shd w:val="clear" w:color="auto" w:fill="CCEEFF"/>
          </w:tcPr>
          <w:p>
            <w:pPr>
              <w:spacing w:after="0"/>
              <w:rPr>
                <w:sz w:val="11"/>
                <w:szCs w:val="11"/>
                <w:color w:val="auto"/>
              </w:rPr>
            </w:pPr>
          </w:p>
        </w:tc>
        <w:tc>
          <w:tcPr>
            <w:tcW w:w="46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w:t>
            </w:r>
          </w:p>
        </w:tc>
        <w:tc>
          <w:tcPr>
            <w:tcW w:w="34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CCEEFF"/>
            </w:tcBorders>
            <w:shd w:val="clear" w:color="auto" w:fill="CCEEFF"/>
          </w:tcPr>
          <w:p>
            <w:pPr>
              <w:spacing w:after="0"/>
              <w:rPr>
                <w:sz w:val="11"/>
                <w:szCs w:val="11"/>
                <w:color w:val="auto"/>
              </w:rPr>
            </w:pPr>
          </w:p>
        </w:tc>
        <w:tc>
          <w:tcPr>
            <w:tcW w:w="600" w:type="dxa"/>
            <w:vAlign w:val="bottom"/>
            <w:tcBorders>
              <w:top w:val="single" w:sz="8" w:color="CCEEFF"/>
            </w:tcBorders>
            <w:shd w:val="clear" w:color="auto" w:fill="CCEEFF"/>
          </w:tcPr>
          <w:p>
            <w:pPr>
              <w:spacing w:after="0"/>
              <w:rPr>
                <w:sz w:val="11"/>
                <w:szCs w:val="11"/>
                <w:color w:val="auto"/>
              </w:rPr>
            </w:pPr>
          </w:p>
        </w:tc>
        <w:tc>
          <w:tcPr>
            <w:tcW w:w="22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bottom w:val="single" w:sz="8" w:color="auto"/>
            </w:tcBorders>
            <w:shd w:val="clear" w:color="auto" w:fill="CCEEFF"/>
          </w:tcPr>
          <w:p>
            <w:pPr>
              <w:spacing w:after="0"/>
              <w:rPr>
                <w:sz w:val="11"/>
                <w:szCs w:val="11"/>
                <w:color w:val="auto"/>
              </w:rPr>
            </w:pPr>
          </w:p>
        </w:tc>
        <w:tc>
          <w:tcPr>
            <w:tcW w:w="60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w:t>
            </w:r>
          </w:p>
        </w:tc>
        <w:tc>
          <w:tcPr>
            <w:tcW w:w="340" w:type="dxa"/>
            <w:vAlign w:val="bottom"/>
            <w:tcBorders>
              <w:top w:val="single" w:sz="8" w:color="CCEEFF"/>
            </w:tcBorders>
            <w:shd w:val="clear" w:color="auto" w:fill="CCEEFF"/>
          </w:tcPr>
          <w:p>
            <w:pPr>
              <w:spacing w:after="0"/>
              <w:rPr>
                <w:sz w:val="11"/>
                <w:szCs w:val="11"/>
                <w:color w:val="auto"/>
              </w:rPr>
            </w:pPr>
          </w:p>
        </w:tc>
        <w:tc>
          <w:tcPr>
            <w:tcW w:w="780" w:type="dxa"/>
            <w:vAlign w:val="bottom"/>
            <w:tcBorders>
              <w:top w:val="single" w:sz="8" w:color="CCEEFF"/>
            </w:tcBorders>
            <w:shd w:val="clear" w:color="auto" w:fill="CCEEFF"/>
          </w:tcPr>
          <w:p>
            <w:pPr>
              <w:spacing w:after="0"/>
              <w:rPr>
                <w:sz w:val="11"/>
                <w:szCs w:val="11"/>
                <w:color w:val="auto"/>
              </w:rPr>
            </w:pPr>
          </w:p>
        </w:tc>
        <w:tc>
          <w:tcPr>
            <w:tcW w:w="22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bottom w:val="single" w:sz="8" w:color="auto"/>
            </w:tcBorders>
            <w:shd w:val="clear" w:color="auto" w:fill="CCEEFF"/>
          </w:tcPr>
          <w:p>
            <w:pPr>
              <w:spacing w:after="0"/>
              <w:rPr>
                <w:sz w:val="11"/>
                <w:szCs w:val="11"/>
                <w:color w:val="auto"/>
              </w:rPr>
            </w:pPr>
          </w:p>
        </w:tc>
        <w:tc>
          <w:tcPr>
            <w:tcW w:w="60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41,192</w:t>
            </w:r>
          </w:p>
        </w:tc>
        <w:tc>
          <w:tcPr>
            <w:tcW w:w="120" w:type="dxa"/>
            <w:vAlign w:val="bottom"/>
            <w:tcBorders>
              <w:top w:val="single" w:sz="8" w:color="CCEEFF"/>
            </w:tcBorders>
            <w:shd w:val="clear" w:color="auto" w:fill="CCEEFF"/>
          </w:tcPr>
          <w:p>
            <w:pPr>
              <w:spacing w:after="0"/>
              <w:rPr>
                <w:sz w:val="11"/>
                <w:szCs w:val="11"/>
                <w:color w:val="auto"/>
              </w:rPr>
            </w:pPr>
          </w:p>
        </w:tc>
      </w:tr>
      <w:tr>
        <w:trPr>
          <w:trHeight w:val="133"/>
        </w:trPr>
        <w:tc>
          <w:tcPr>
            <w:tcW w:w="312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44"/>
        </w:trPr>
        <w:tc>
          <w:tcPr>
            <w:tcW w:w="31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Long-Term Debt</w:t>
            </w:r>
          </w:p>
        </w:tc>
        <w:tc>
          <w:tcPr>
            <w:tcW w:w="13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2"/>
                <w:szCs w:val="12"/>
                <w:color w:val="auto"/>
              </w:rPr>
              <w:t>-</w:t>
            </w:r>
          </w:p>
        </w:tc>
        <w:tc>
          <w:tcPr>
            <w:tcW w:w="7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r>
      <w:tr>
        <w:trPr>
          <w:trHeight w:val="144"/>
        </w:trPr>
        <w:tc>
          <w:tcPr>
            <w:tcW w:w="312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Operating Lease Liabilities Net of Current Portion</w:t>
            </w:r>
          </w:p>
        </w:tc>
        <w:tc>
          <w:tcPr>
            <w:tcW w:w="1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60" w:type="dxa"/>
            <w:vAlign w:val="bottom"/>
            <w:gridSpan w:val="2"/>
          </w:tcPr>
          <w:p>
            <w:pPr>
              <w:jc w:val="right"/>
              <w:ind w:right="34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2"/>
                <w:szCs w:val="12"/>
                <w:color w:val="auto"/>
              </w:rPr>
            </w:pPr>
          </w:p>
        </w:tc>
        <w:tc>
          <w:tcPr>
            <w:tcW w:w="900" w:type="dxa"/>
            <w:vAlign w:val="bottom"/>
            <w:gridSpan w:val="2"/>
          </w:tcPr>
          <w:p>
            <w:pPr>
              <w:jc w:val="right"/>
              <w:ind w:right="32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2"/>
                <w:szCs w:val="12"/>
                <w:color w:val="auto"/>
              </w:rPr>
            </w:pPr>
          </w:p>
        </w:tc>
        <w:tc>
          <w:tcPr>
            <w:tcW w:w="800" w:type="dxa"/>
            <w:vAlign w:val="bottom"/>
            <w:gridSpan w:val="2"/>
          </w:tcPr>
          <w:p>
            <w:pPr>
              <w:jc w:val="right"/>
              <w:ind w:right="34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tcPr>
          <w:p>
            <w:pPr>
              <w:jc w:val="right"/>
              <w:ind w:right="340"/>
              <w:spacing w:after="0"/>
              <w:rPr>
                <w:sz w:val="20"/>
                <w:szCs w:val="20"/>
                <w:color w:val="auto"/>
              </w:rPr>
            </w:pPr>
            <w:r>
              <w:rPr>
                <w:rFonts w:ascii="Times New Roman" w:cs="Times New Roman" w:eastAsia="Times New Roman" w:hAnsi="Times New Roman"/>
                <w:sz w:val="12"/>
                <w:szCs w:val="12"/>
                <w:color w:val="auto"/>
              </w:rPr>
              <w:t>-</w:t>
            </w: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r>
      <w:tr>
        <w:trPr>
          <w:trHeight w:val="144"/>
        </w:trPr>
        <w:tc>
          <w:tcPr>
            <w:tcW w:w="31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Long-Term Deferred Revenue</w:t>
            </w:r>
          </w:p>
        </w:tc>
        <w:tc>
          <w:tcPr>
            <w:tcW w:w="13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2"/>
                <w:szCs w:val="12"/>
                <w:color w:val="auto"/>
              </w:rPr>
              <w:t>149</w:t>
            </w:r>
          </w:p>
        </w:tc>
        <w:tc>
          <w:tcPr>
            <w:tcW w:w="12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2"/>
                <w:szCs w:val="12"/>
                <w:color w:val="auto"/>
              </w:rPr>
              <w:t>-</w:t>
            </w:r>
          </w:p>
        </w:tc>
        <w:tc>
          <w:tcPr>
            <w:tcW w:w="7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149</w:t>
            </w:r>
          </w:p>
        </w:tc>
      </w:tr>
      <w:tr>
        <w:trPr>
          <w:trHeight w:val="153"/>
        </w:trPr>
        <w:tc>
          <w:tcPr>
            <w:tcW w:w="312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Other Long-Term Liabilities</w:t>
            </w:r>
          </w:p>
        </w:tc>
        <w:tc>
          <w:tcPr>
            <w:tcW w:w="1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60" w:type="dxa"/>
            <w:vAlign w:val="bottom"/>
            <w:gridSpan w:val="2"/>
          </w:tcPr>
          <w:p>
            <w:pPr>
              <w:jc w:val="right"/>
              <w:ind w:right="340"/>
              <w:spacing w:after="0"/>
              <w:rPr>
                <w:sz w:val="20"/>
                <w:szCs w:val="20"/>
                <w:color w:val="auto"/>
              </w:rPr>
            </w:pPr>
            <w:r>
              <w:rPr>
                <w:rFonts w:ascii="Times New Roman" w:cs="Times New Roman" w:eastAsia="Times New Roman" w:hAnsi="Times New Roman"/>
                <w:sz w:val="12"/>
                <w:szCs w:val="12"/>
                <w:color w:val="auto"/>
              </w:rPr>
              <w:t>395</w:t>
            </w:r>
          </w:p>
        </w:tc>
        <w:tc>
          <w:tcPr>
            <w:tcW w:w="120" w:type="dxa"/>
            <w:vAlign w:val="bottom"/>
          </w:tcPr>
          <w:p>
            <w:pPr>
              <w:spacing w:after="0"/>
              <w:rPr>
                <w:sz w:val="13"/>
                <w:szCs w:val="13"/>
                <w:color w:val="auto"/>
              </w:rPr>
            </w:pPr>
          </w:p>
        </w:tc>
        <w:tc>
          <w:tcPr>
            <w:tcW w:w="900" w:type="dxa"/>
            <w:vAlign w:val="bottom"/>
            <w:gridSpan w:val="2"/>
          </w:tcPr>
          <w:p>
            <w:pPr>
              <w:jc w:val="right"/>
              <w:ind w:right="320"/>
              <w:spacing w:after="0"/>
              <w:rPr>
                <w:sz w:val="20"/>
                <w:szCs w:val="20"/>
                <w:color w:val="auto"/>
              </w:rPr>
            </w:pPr>
            <w:r>
              <w:rPr>
                <w:rFonts w:ascii="Times New Roman" w:cs="Times New Roman" w:eastAsia="Times New Roman" w:hAnsi="Times New Roman"/>
                <w:sz w:val="12"/>
                <w:szCs w:val="12"/>
                <w:color w:val="auto"/>
              </w:rPr>
              <w:t>75</w:t>
            </w:r>
          </w:p>
        </w:tc>
        <w:tc>
          <w:tcPr>
            <w:tcW w:w="200" w:type="dxa"/>
            <w:vAlign w:val="bottom"/>
          </w:tcPr>
          <w:p>
            <w:pPr>
              <w:spacing w:after="0"/>
              <w:rPr>
                <w:sz w:val="13"/>
                <w:szCs w:val="13"/>
                <w:color w:val="auto"/>
              </w:rPr>
            </w:pPr>
          </w:p>
        </w:tc>
        <w:tc>
          <w:tcPr>
            <w:tcW w:w="800" w:type="dxa"/>
            <w:vAlign w:val="bottom"/>
            <w:gridSpan w:val="2"/>
          </w:tcPr>
          <w:p>
            <w:pPr>
              <w:jc w:val="right"/>
              <w:ind w:right="34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gridSpan w:val="2"/>
          </w:tcPr>
          <w:p>
            <w:pPr>
              <w:jc w:val="right"/>
              <w:ind w:right="340"/>
              <w:spacing w:after="0"/>
              <w:rPr>
                <w:sz w:val="20"/>
                <w:szCs w:val="20"/>
                <w:color w:val="auto"/>
              </w:rPr>
            </w:pPr>
            <w:r>
              <w:rPr>
                <w:rFonts w:ascii="Times New Roman" w:cs="Times New Roman" w:eastAsia="Times New Roman" w:hAnsi="Times New Roman"/>
                <w:sz w:val="12"/>
                <w:szCs w:val="12"/>
                <w:color w:val="auto"/>
              </w:rPr>
              <w:t>-</w:t>
            </w:r>
          </w:p>
        </w:tc>
        <w:tc>
          <w:tcPr>
            <w:tcW w:w="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470</w:t>
            </w:r>
          </w:p>
        </w:tc>
      </w:tr>
      <w:tr>
        <w:trPr>
          <w:trHeight w:val="133"/>
        </w:trPr>
        <w:tc>
          <w:tcPr>
            <w:tcW w:w="3120" w:type="dxa"/>
            <w:vAlign w:val="bottom"/>
            <w:tcBorders>
              <w:top w:val="single" w:sz="8" w:color="CCEEFF"/>
            </w:tcBorders>
            <w:shd w:val="clear" w:color="auto" w:fill="CCEEFF"/>
          </w:tcPr>
          <w:p>
            <w:pPr>
              <w:spacing w:after="0" w:line="133" w:lineRule="exact"/>
              <w:rPr>
                <w:sz w:val="20"/>
                <w:szCs w:val="20"/>
                <w:color w:val="auto"/>
              </w:rPr>
            </w:pPr>
            <w:r>
              <w:rPr>
                <w:rFonts w:ascii="Times New Roman" w:cs="Times New Roman" w:eastAsia="Times New Roman" w:hAnsi="Times New Roman"/>
                <w:sz w:val="12"/>
                <w:szCs w:val="12"/>
                <w:b w:val="1"/>
                <w:bCs w:val="1"/>
                <w:color w:val="auto"/>
              </w:rPr>
              <w:t>Long-Term Liabilities</w:t>
            </w:r>
          </w:p>
        </w:tc>
        <w:tc>
          <w:tcPr>
            <w:tcW w:w="130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544</w:t>
            </w:r>
          </w:p>
        </w:tc>
        <w:tc>
          <w:tcPr>
            <w:tcW w:w="34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56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75</w:t>
            </w:r>
          </w:p>
        </w:tc>
        <w:tc>
          <w:tcPr>
            <w:tcW w:w="34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auto"/>
            </w:tcBorders>
            <w:shd w:val="clear" w:color="auto" w:fill="CCEEFF"/>
          </w:tcPr>
          <w:p>
            <w:pPr>
              <w:spacing w:after="0"/>
              <w:rPr>
                <w:sz w:val="11"/>
                <w:szCs w:val="11"/>
                <w:color w:val="auto"/>
              </w:rPr>
            </w:pPr>
          </w:p>
        </w:tc>
        <w:tc>
          <w:tcPr>
            <w:tcW w:w="46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w:t>
            </w:r>
          </w:p>
        </w:tc>
        <w:tc>
          <w:tcPr>
            <w:tcW w:w="34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CCEEFF"/>
            </w:tcBorders>
            <w:shd w:val="clear" w:color="auto" w:fill="CCEEFF"/>
          </w:tcPr>
          <w:p>
            <w:pPr>
              <w:spacing w:after="0"/>
              <w:rPr>
                <w:sz w:val="11"/>
                <w:szCs w:val="11"/>
                <w:color w:val="auto"/>
              </w:rPr>
            </w:pPr>
          </w:p>
        </w:tc>
        <w:tc>
          <w:tcPr>
            <w:tcW w:w="600" w:type="dxa"/>
            <w:vAlign w:val="bottom"/>
            <w:tcBorders>
              <w:top w:val="single" w:sz="8" w:color="CCEEFF"/>
            </w:tcBorders>
            <w:shd w:val="clear" w:color="auto" w:fill="CCEEFF"/>
          </w:tcPr>
          <w:p>
            <w:pPr>
              <w:spacing w:after="0"/>
              <w:rPr>
                <w:sz w:val="11"/>
                <w:szCs w:val="11"/>
                <w:color w:val="auto"/>
              </w:rPr>
            </w:pPr>
          </w:p>
        </w:tc>
        <w:tc>
          <w:tcPr>
            <w:tcW w:w="22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60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w:t>
            </w:r>
          </w:p>
        </w:tc>
        <w:tc>
          <w:tcPr>
            <w:tcW w:w="340" w:type="dxa"/>
            <w:vAlign w:val="bottom"/>
            <w:tcBorders>
              <w:top w:val="single" w:sz="8" w:color="CCEEFF"/>
            </w:tcBorders>
            <w:shd w:val="clear" w:color="auto" w:fill="CCEEFF"/>
          </w:tcPr>
          <w:p>
            <w:pPr>
              <w:spacing w:after="0"/>
              <w:rPr>
                <w:sz w:val="11"/>
                <w:szCs w:val="11"/>
                <w:color w:val="auto"/>
              </w:rPr>
            </w:pPr>
          </w:p>
        </w:tc>
        <w:tc>
          <w:tcPr>
            <w:tcW w:w="780" w:type="dxa"/>
            <w:vAlign w:val="bottom"/>
            <w:tcBorders>
              <w:top w:val="single" w:sz="8" w:color="CCEEFF"/>
            </w:tcBorders>
            <w:shd w:val="clear" w:color="auto" w:fill="CCEEFF"/>
          </w:tcPr>
          <w:p>
            <w:pPr>
              <w:spacing w:after="0"/>
              <w:rPr>
                <w:sz w:val="11"/>
                <w:szCs w:val="11"/>
                <w:color w:val="auto"/>
              </w:rPr>
            </w:pPr>
          </w:p>
        </w:tc>
        <w:tc>
          <w:tcPr>
            <w:tcW w:w="22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60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619</w:t>
            </w:r>
          </w:p>
        </w:tc>
        <w:tc>
          <w:tcPr>
            <w:tcW w:w="120" w:type="dxa"/>
            <w:vAlign w:val="bottom"/>
            <w:tcBorders>
              <w:top w:val="single" w:sz="8" w:color="CCEEFF"/>
            </w:tcBorders>
            <w:shd w:val="clear" w:color="auto" w:fill="CCEEFF"/>
          </w:tcPr>
          <w:p>
            <w:pPr>
              <w:spacing w:after="0"/>
              <w:rPr>
                <w:sz w:val="11"/>
                <w:szCs w:val="11"/>
                <w:color w:val="auto"/>
              </w:rPr>
            </w:pPr>
          </w:p>
        </w:tc>
      </w:tr>
      <w:tr>
        <w:trPr>
          <w:trHeight w:val="144"/>
        </w:trPr>
        <w:tc>
          <w:tcPr>
            <w:tcW w:w="31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53"/>
        </w:trPr>
        <w:tc>
          <w:tcPr>
            <w:tcW w:w="31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Total Liabilities</w:t>
            </w:r>
          </w:p>
        </w:tc>
        <w:tc>
          <w:tcPr>
            <w:tcW w:w="13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2"/>
                <w:szCs w:val="12"/>
                <w:color w:val="auto"/>
              </w:rPr>
              <w:t>4,646</w:t>
            </w:r>
          </w:p>
        </w:tc>
        <w:tc>
          <w:tcPr>
            <w:tcW w:w="12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2"/>
                <w:szCs w:val="12"/>
                <w:color w:val="auto"/>
              </w:rPr>
              <w:t>37,165</w:t>
            </w:r>
          </w:p>
        </w:tc>
        <w:tc>
          <w:tcPr>
            <w:tcW w:w="2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2"/>
                <w:szCs w:val="12"/>
                <w:color w:val="auto"/>
              </w:rPr>
              <w:t>-</w:t>
            </w:r>
          </w:p>
        </w:tc>
        <w:tc>
          <w:tcPr>
            <w:tcW w:w="7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41,811</w:t>
            </w:r>
          </w:p>
        </w:tc>
      </w:tr>
      <w:tr>
        <w:trPr>
          <w:trHeight w:val="133"/>
        </w:trPr>
        <w:tc>
          <w:tcPr>
            <w:tcW w:w="312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3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3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r>
      <w:tr>
        <w:trPr>
          <w:trHeight w:val="144"/>
        </w:trPr>
        <w:tc>
          <w:tcPr>
            <w:tcW w:w="31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Shareholders’ deficit:</w:t>
            </w:r>
          </w:p>
        </w:tc>
        <w:tc>
          <w:tcPr>
            <w:tcW w:w="13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r>
      <w:tr>
        <w:trPr>
          <w:trHeight w:val="144"/>
        </w:trPr>
        <w:tc>
          <w:tcPr>
            <w:tcW w:w="3120" w:type="dxa"/>
            <w:vAlign w:val="bottom"/>
          </w:tcPr>
          <w:p>
            <w:pPr>
              <w:spacing w:after="0"/>
              <w:rPr>
                <w:sz w:val="20"/>
                <w:szCs w:val="20"/>
                <w:color w:val="auto"/>
              </w:rPr>
            </w:pPr>
            <w:r>
              <w:rPr>
                <w:rFonts w:ascii="Times New Roman" w:cs="Times New Roman" w:eastAsia="Times New Roman" w:hAnsi="Times New Roman"/>
                <w:sz w:val="12"/>
                <w:szCs w:val="12"/>
                <w:color w:val="auto"/>
              </w:rPr>
              <w:t>Preferred Stock</w:t>
            </w:r>
          </w:p>
        </w:tc>
        <w:tc>
          <w:tcPr>
            <w:tcW w:w="1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60" w:type="dxa"/>
            <w:vAlign w:val="bottom"/>
            <w:gridSpan w:val="2"/>
          </w:tcPr>
          <w:p>
            <w:pPr>
              <w:jc w:val="right"/>
              <w:ind w:right="34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2"/>
                <w:szCs w:val="12"/>
                <w:color w:val="auto"/>
              </w:rPr>
            </w:pPr>
          </w:p>
        </w:tc>
        <w:tc>
          <w:tcPr>
            <w:tcW w:w="900" w:type="dxa"/>
            <w:vAlign w:val="bottom"/>
            <w:gridSpan w:val="2"/>
          </w:tcPr>
          <w:p>
            <w:pPr>
              <w:jc w:val="right"/>
              <w:ind w:right="32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2"/>
                <w:szCs w:val="12"/>
                <w:color w:val="auto"/>
              </w:rPr>
            </w:pPr>
          </w:p>
        </w:tc>
        <w:tc>
          <w:tcPr>
            <w:tcW w:w="800" w:type="dxa"/>
            <w:vAlign w:val="bottom"/>
            <w:gridSpan w:val="2"/>
          </w:tcPr>
          <w:p>
            <w:pPr>
              <w:jc w:val="right"/>
              <w:ind w:right="34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tcPr>
          <w:p>
            <w:pPr>
              <w:jc w:val="right"/>
              <w:ind w:right="340"/>
              <w:spacing w:after="0"/>
              <w:rPr>
                <w:sz w:val="20"/>
                <w:szCs w:val="20"/>
                <w:color w:val="auto"/>
              </w:rPr>
            </w:pPr>
            <w:r>
              <w:rPr>
                <w:rFonts w:ascii="Times New Roman" w:cs="Times New Roman" w:eastAsia="Times New Roman" w:hAnsi="Times New Roman"/>
                <w:sz w:val="12"/>
                <w:szCs w:val="12"/>
                <w:color w:val="auto"/>
              </w:rPr>
              <w:t>-</w:t>
            </w: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r>
      <w:tr>
        <w:trPr>
          <w:trHeight w:val="144"/>
        </w:trPr>
        <w:tc>
          <w:tcPr>
            <w:tcW w:w="31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Common Stock</w:t>
            </w:r>
          </w:p>
        </w:tc>
        <w:tc>
          <w:tcPr>
            <w:tcW w:w="13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2"/>
                <w:szCs w:val="12"/>
                <w:color w:val="auto"/>
              </w:rPr>
              <w:t>0</w:t>
            </w:r>
          </w:p>
        </w:tc>
        <w:tc>
          <w:tcPr>
            <w:tcW w:w="12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2"/>
                <w:szCs w:val="12"/>
                <w:color w:val="auto"/>
              </w:rPr>
              <w:t>0</w:t>
            </w:r>
          </w:p>
        </w:tc>
        <w:tc>
          <w:tcPr>
            <w:tcW w:w="2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2"/>
                <w:szCs w:val="12"/>
                <w:color w:val="auto"/>
              </w:rPr>
              <w:t>(0)</w:t>
            </w:r>
          </w:p>
        </w:tc>
        <w:tc>
          <w:tcPr>
            <w:tcW w:w="7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0</w:t>
            </w:r>
          </w:p>
        </w:tc>
      </w:tr>
      <w:tr>
        <w:trPr>
          <w:trHeight w:val="144"/>
        </w:trPr>
        <w:tc>
          <w:tcPr>
            <w:tcW w:w="3120" w:type="dxa"/>
            <w:vAlign w:val="bottom"/>
          </w:tcPr>
          <w:p>
            <w:pPr>
              <w:spacing w:after="0"/>
              <w:rPr>
                <w:sz w:val="20"/>
                <w:szCs w:val="20"/>
                <w:color w:val="auto"/>
              </w:rPr>
            </w:pPr>
            <w:r>
              <w:rPr>
                <w:rFonts w:ascii="Times New Roman" w:cs="Times New Roman" w:eastAsia="Times New Roman" w:hAnsi="Times New Roman"/>
                <w:sz w:val="12"/>
                <w:szCs w:val="12"/>
                <w:color w:val="auto"/>
              </w:rPr>
              <w:t>Additional Paid in capial</w:t>
            </w:r>
          </w:p>
        </w:tc>
        <w:tc>
          <w:tcPr>
            <w:tcW w:w="1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60" w:type="dxa"/>
            <w:vAlign w:val="bottom"/>
            <w:gridSpan w:val="2"/>
          </w:tcPr>
          <w:p>
            <w:pPr>
              <w:jc w:val="right"/>
              <w:ind w:right="340"/>
              <w:spacing w:after="0"/>
              <w:rPr>
                <w:sz w:val="20"/>
                <w:szCs w:val="20"/>
                <w:color w:val="auto"/>
              </w:rPr>
            </w:pPr>
            <w:r>
              <w:rPr>
                <w:rFonts w:ascii="Times New Roman" w:cs="Times New Roman" w:eastAsia="Times New Roman" w:hAnsi="Times New Roman"/>
                <w:sz w:val="12"/>
                <w:szCs w:val="12"/>
                <w:color w:val="auto"/>
              </w:rPr>
              <w:t>25,055</w:t>
            </w:r>
          </w:p>
        </w:tc>
        <w:tc>
          <w:tcPr>
            <w:tcW w:w="120" w:type="dxa"/>
            <w:vAlign w:val="bottom"/>
          </w:tcPr>
          <w:p>
            <w:pPr>
              <w:spacing w:after="0"/>
              <w:rPr>
                <w:sz w:val="12"/>
                <w:szCs w:val="12"/>
                <w:color w:val="auto"/>
              </w:rPr>
            </w:pPr>
          </w:p>
        </w:tc>
        <w:tc>
          <w:tcPr>
            <w:tcW w:w="900" w:type="dxa"/>
            <w:vAlign w:val="bottom"/>
            <w:gridSpan w:val="2"/>
          </w:tcPr>
          <w:p>
            <w:pPr>
              <w:jc w:val="right"/>
              <w:ind w:right="320"/>
              <w:spacing w:after="0"/>
              <w:rPr>
                <w:sz w:val="20"/>
                <w:szCs w:val="20"/>
                <w:color w:val="auto"/>
              </w:rPr>
            </w:pPr>
            <w:r>
              <w:rPr>
                <w:rFonts w:ascii="Times New Roman" w:cs="Times New Roman" w:eastAsia="Times New Roman" w:hAnsi="Times New Roman"/>
                <w:sz w:val="12"/>
                <w:szCs w:val="12"/>
                <w:color w:val="auto"/>
              </w:rPr>
              <w:t>14,890</w:t>
            </w:r>
          </w:p>
        </w:tc>
        <w:tc>
          <w:tcPr>
            <w:tcW w:w="200" w:type="dxa"/>
            <w:vAlign w:val="bottom"/>
          </w:tcPr>
          <w:p>
            <w:pPr>
              <w:spacing w:after="0"/>
              <w:rPr>
                <w:sz w:val="12"/>
                <w:szCs w:val="12"/>
                <w:color w:val="auto"/>
              </w:rPr>
            </w:pPr>
          </w:p>
        </w:tc>
        <w:tc>
          <w:tcPr>
            <w:tcW w:w="800" w:type="dxa"/>
            <w:vAlign w:val="bottom"/>
            <w:gridSpan w:val="2"/>
          </w:tcPr>
          <w:p>
            <w:pPr>
              <w:jc w:val="right"/>
              <w:ind w:right="340"/>
              <w:spacing w:after="0"/>
              <w:rPr>
                <w:sz w:val="20"/>
                <w:szCs w:val="20"/>
                <w:color w:val="auto"/>
              </w:rPr>
            </w:pPr>
            <w:r>
              <w:rPr>
                <w:rFonts w:ascii="Times New Roman" w:cs="Times New Roman" w:eastAsia="Times New Roman" w:hAnsi="Times New Roman"/>
                <w:sz w:val="12"/>
                <w:szCs w:val="12"/>
                <w:color w:val="auto"/>
              </w:rPr>
              <w:t>19,600</w:t>
            </w:r>
          </w:p>
        </w:tc>
        <w:tc>
          <w:tcPr>
            <w:tcW w:w="180" w:type="dxa"/>
            <w:vAlign w:val="bottom"/>
          </w:tcPr>
          <w:p>
            <w:pPr>
              <w:spacing w:after="0"/>
              <w:rPr>
                <w:sz w:val="12"/>
                <w:szCs w:val="12"/>
                <w:color w:val="auto"/>
              </w:rPr>
            </w:pPr>
          </w:p>
        </w:tc>
        <w:tc>
          <w:tcPr>
            <w:tcW w:w="820" w:type="dxa"/>
            <w:vAlign w:val="bottom"/>
            <w:gridSpan w:val="2"/>
          </w:tcPr>
          <w:p>
            <w:pPr>
              <w:jc w:val="center"/>
              <w:ind w:right="400"/>
              <w:spacing w:after="0"/>
              <w:rPr>
                <w:sz w:val="20"/>
                <w:szCs w:val="20"/>
                <w:color w:val="auto"/>
              </w:rPr>
            </w:pPr>
            <w:r>
              <w:rPr>
                <w:rFonts w:ascii="Times New Roman" w:cs="Times New Roman" w:eastAsia="Times New Roman" w:hAnsi="Times New Roman"/>
                <w:sz w:val="12"/>
                <w:szCs w:val="12"/>
                <w:color w:val="auto"/>
              </w:rPr>
              <w:t>(AA)</w:t>
            </w:r>
          </w:p>
        </w:tc>
        <w:tc>
          <w:tcPr>
            <w:tcW w:w="120" w:type="dxa"/>
            <w:vAlign w:val="bottom"/>
          </w:tcPr>
          <w:p>
            <w:pPr>
              <w:spacing w:after="0"/>
              <w:rPr>
                <w:sz w:val="12"/>
                <w:szCs w:val="12"/>
                <w:color w:val="auto"/>
              </w:rPr>
            </w:pPr>
          </w:p>
        </w:tc>
        <w:tc>
          <w:tcPr>
            <w:tcW w:w="940" w:type="dxa"/>
            <w:vAlign w:val="bottom"/>
            <w:gridSpan w:val="2"/>
          </w:tcPr>
          <w:p>
            <w:pPr>
              <w:jc w:val="right"/>
              <w:ind w:right="300"/>
              <w:spacing w:after="0"/>
              <w:rPr>
                <w:sz w:val="20"/>
                <w:szCs w:val="20"/>
                <w:color w:val="auto"/>
              </w:rPr>
            </w:pPr>
            <w:r>
              <w:rPr>
                <w:rFonts w:ascii="Times New Roman" w:cs="Times New Roman" w:eastAsia="Times New Roman" w:hAnsi="Times New Roman"/>
                <w:sz w:val="12"/>
                <w:szCs w:val="12"/>
                <w:color w:val="auto"/>
              </w:rPr>
              <w:t>(15,590)</w:t>
            </w:r>
          </w:p>
        </w:tc>
        <w:tc>
          <w:tcPr>
            <w:tcW w:w="1000" w:type="dxa"/>
            <w:vAlign w:val="bottom"/>
            <w:gridSpan w:val="2"/>
          </w:tcPr>
          <w:p>
            <w:pPr>
              <w:jc w:val="center"/>
              <w:ind w:right="240"/>
              <w:spacing w:after="0"/>
              <w:rPr>
                <w:sz w:val="20"/>
                <w:szCs w:val="20"/>
                <w:color w:val="auto"/>
              </w:rPr>
            </w:pPr>
            <w:r>
              <w:rPr>
                <w:rFonts w:ascii="Times New Roman" w:cs="Times New Roman" w:eastAsia="Times New Roman" w:hAnsi="Times New Roman"/>
                <w:sz w:val="12"/>
                <w:szCs w:val="12"/>
                <w:color w:val="auto"/>
                <w:w w:val="99"/>
              </w:rPr>
              <w:t>(BB)</w:t>
            </w:r>
          </w:p>
        </w:tc>
        <w:tc>
          <w:tcPr>
            <w:tcW w:w="60" w:type="dxa"/>
            <w:vAlign w:val="bottom"/>
          </w:tcPr>
          <w:p>
            <w:pPr>
              <w:spacing w:after="0"/>
              <w:rPr>
                <w:sz w:val="12"/>
                <w:szCs w:val="12"/>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44,409</w:t>
            </w:r>
          </w:p>
        </w:tc>
      </w:tr>
      <w:tr>
        <w:trPr>
          <w:trHeight w:val="153"/>
        </w:trPr>
        <w:tc>
          <w:tcPr>
            <w:tcW w:w="31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Accumulated deficit</w:t>
            </w:r>
          </w:p>
        </w:tc>
        <w:tc>
          <w:tcPr>
            <w:tcW w:w="13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2"/>
                <w:szCs w:val="12"/>
                <w:color w:val="auto"/>
              </w:rPr>
              <w:t>(26,404)</w:t>
            </w:r>
          </w:p>
        </w:tc>
        <w:tc>
          <w:tcPr>
            <w:tcW w:w="12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2"/>
                <w:szCs w:val="12"/>
                <w:color w:val="auto"/>
              </w:rPr>
              <w:t>(46,766)</w:t>
            </w:r>
          </w:p>
        </w:tc>
        <w:tc>
          <w:tcPr>
            <w:tcW w:w="2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2"/>
                <w:szCs w:val="12"/>
                <w:color w:val="auto"/>
              </w:rPr>
              <w:t>16,784</w:t>
            </w:r>
          </w:p>
        </w:tc>
        <w:tc>
          <w:tcPr>
            <w:tcW w:w="1000" w:type="dxa"/>
            <w:vAlign w:val="bottom"/>
            <w:gridSpan w:val="2"/>
            <w:shd w:val="clear" w:color="auto" w:fill="CCEEFF"/>
          </w:tcPr>
          <w:p>
            <w:pPr>
              <w:jc w:val="center"/>
              <w:ind w:right="240"/>
              <w:spacing w:after="0"/>
              <w:rPr>
                <w:sz w:val="20"/>
                <w:szCs w:val="20"/>
                <w:color w:val="auto"/>
              </w:rPr>
            </w:pPr>
            <w:r>
              <w:rPr>
                <w:rFonts w:ascii="Times New Roman" w:cs="Times New Roman" w:eastAsia="Times New Roman" w:hAnsi="Times New Roman"/>
                <w:sz w:val="12"/>
                <w:szCs w:val="12"/>
                <w:color w:val="auto"/>
                <w:w w:val="99"/>
              </w:rPr>
              <w:t>(BB)</w:t>
            </w:r>
          </w:p>
        </w:tc>
        <w:tc>
          <w:tcPr>
            <w:tcW w:w="6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(56,841)</w:t>
            </w:r>
          </w:p>
        </w:tc>
      </w:tr>
      <w:tr>
        <w:trPr>
          <w:trHeight w:val="133"/>
        </w:trPr>
        <w:tc>
          <w:tcPr>
            <w:tcW w:w="3120" w:type="dxa"/>
            <w:vAlign w:val="bottom"/>
            <w:tcBorders>
              <w:bottom w:val="single" w:sz="8" w:color="CCEEFF"/>
            </w:tcBorders>
          </w:tcPr>
          <w:p>
            <w:pPr>
              <w:spacing w:after="0" w:line="133" w:lineRule="exact"/>
              <w:rPr>
                <w:sz w:val="20"/>
                <w:szCs w:val="20"/>
                <w:color w:val="auto"/>
              </w:rPr>
            </w:pPr>
            <w:r>
              <w:rPr>
                <w:rFonts w:ascii="Times New Roman" w:cs="Times New Roman" w:eastAsia="Times New Roman" w:hAnsi="Times New Roman"/>
                <w:sz w:val="12"/>
                <w:szCs w:val="12"/>
                <w:b w:val="1"/>
                <w:bCs w:val="1"/>
                <w:color w:val="auto"/>
              </w:rPr>
              <w:t>Total sharesholders’ deficit</w:t>
            </w:r>
          </w:p>
        </w:tc>
        <w:tc>
          <w:tcPr>
            <w:tcW w:w="1300" w:type="dxa"/>
            <w:vAlign w:val="bottom"/>
            <w:tcBorders>
              <w:bottom w:val="single" w:sz="8" w:color="CCEEFF"/>
            </w:tcBorders>
          </w:tcPr>
          <w:p>
            <w:pPr>
              <w:spacing w:after="0"/>
              <w:rPr>
                <w:sz w:val="11"/>
                <w:szCs w:val="11"/>
                <w:color w:val="auto"/>
              </w:rPr>
            </w:pPr>
          </w:p>
        </w:tc>
        <w:tc>
          <w:tcPr>
            <w:tcW w:w="60" w:type="dxa"/>
            <w:vAlign w:val="bottom"/>
            <w:tcBorders>
              <w:top w:val="single" w:sz="8" w:color="auto"/>
              <w:bottom w:val="single" w:sz="8" w:color="auto"/>
            </w:tcBorders>
          </w:tcPr>
          <w:p>
            <w:pPr>
              <w:spacing w:after="0"/>
              <w:rPr>
                <w:sz w:val="11"/>
                <w:szCs w:val="11"/>
                <w:color w:val="auto"/>
              </w:rPr>
            </w:pPr>
          </w:p>
        </w:tc>
        <w:tc>
          <w:tcPr>
            <w:tcW w:w="620" w:type="dxa"/>
            <w:vAlign w:val="bottom"/>
            <w:tcBorders>
              <w:top w:val="single" w:sz="8" w:color="auto"/>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(1,349)</w:t>
            </w:r>
          </w:p>
        </w:tc>
        <w:tc>
          <w:tcPr>
            <w:tcW w:w="340" w:type="dxa"/>
            <w:vAlign w:val="bottom"/>
            <w:tcBorders>
              <w:bottom w:val="single" w:sz="8" w:color="CCEEFF"/>
            </w:tcBorders>
          </w:tcPr>
          <w:p>
            <w:pPr>
              <w:spacing w:after="0"/>
              <w:rPr>
                <w:sz w:val="11"/>
                <w:szCs w:val="11"/>
                <w:color w:val="auto"/>
              </w:rPr>
            </w:pPr>
          </w:p>
        </w:tc>
        <w:tc>
          <w:tcPr>
            <w:tcW w:w="120" w:type="dxa"/>
            <w:vAlign w:val="bottom"/>
            <w:tcBorders>
              <w:top w:val="single" w:sz="8" w:color="auto"/>
              <w:bottom w:val="single" w:sz="8" w:color="auto"/>
            </w:tcBorders>
          </w:tcPr>
          <w:p>
            <w:pPr>
              <w:spacing w:after="0"/>
              <w:rPr>
                <w:sz w:val="11"/>
                <w:szCs w:val="11"/>
                <w:color w:val="auto"/>
              </w:rPr>
            </w:pPr>
          </w:p>
        </w:tc>
        <w:tc>
          <w:tcPr>
            <w:tcW w:w="560" w:type="dxa"/>
            <w:vAlign w:val="bottom"/>
            <w:tcBorders>
              <w:top w:val="single" w:sz="8" w:color="auto"/>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(31,876)</w:t>
            </w:r>
          </w:p>
        </w:tc>
        <w:tc>
          <w:tcPr>
            <w:tcW w:w="340" w:type="dxa"/>
            <w:vAlign w:val="bottom"/>
            <w:tcBorders>
              <w:bottom w:val="single" w:sz="8" w:color="CCEEFF"/>
            </w:tcBorders>
          </w:tcPr>
          <w:p>
            <w:pPr>
              <w:spacing w:after="0"/>
              <w:rPr>
                <w:sz w:val="11"/>
                <w:szCs w:val="11"/>
                <w:color w:val="auto"/>
              </w:rPr>
            </w:pPr>
          </w:p>
        </w:tc>
        <w:tc>
          <w:tcPr>
            <w:tcW w:w="200" w:type="dxa"/>
            <w:vAlign w:val="bottom"/>
            <w:tcBorders>
              <w:top w:val="single" w:sz="8" w:color="auto"/>
              <w:bottom w:val="single" w:sz="8" w:color="auto"/>
            </w:tcBorders>
          </w:tcPr>
          <w:p>
            <w:pPr>
              <w:spacing w:after="0"/>
              <w:rPr>
                <w:sz w:val="11"/>
                <w:szCs w:val="11"/>
                <w:color w:val="auto"/>
              </w:rPr>
            </w:pPr>
          </w:p>
        </w:tc>
        <w:tc>
          <w:tcPr>
            <w:tcW w:w="460" w:type="dxa"/>
            <w:vAlign w:val="bottom"/>
            <w:tcBorders>
              <w:top w:val="single" w:sz="8" w:color="auto"/>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19,600</w:t>
            </w:r>
          </w:p>
        </w:tc>
        <w:tc>
          <w:tcPr>
            <w:tcW w:w="340" w:type="dxa"/>
            <w:vAlign w:val="bottom"/>
            <w:tcBorders>
              <w:bottom w:val="single" w:sz="8" w:color="CCEEFF"/>
            </w:tcBorders>
          </w:tcPr>
          <w:p>
            <w:pPr>
              <w:spacing w:after="0"/>
              <w:rPr>
                <w:sz w:val="11"/>
                <w:szCs w:val="11"/>
                <w:color w:val="auto"/>
              </w:rPr>
            </w:pPr>
          </w:p>
        </w:tc>
        <w:tc>
          <w:tcPr>
            <w:tcW w:w="180" w:type="dxa"/>
            <w:vAlign w:val="bottom"/>
            <w:tcBorders>
              <w:bottom w:val="single" w:sz="8" w:color="CCEEFF"/>
            </w:tcBorders>
          </w:tcPr>
          <w:p>
            <w:pPr>
              <w:spacing w:after="0"/>
              <w:rPr>
                <w:sz w:val="11"/>
                <w:szCs w:val="11"/>
                <w:color w:val="auto"/>
              </w:rPr>
            </w:pPr>
          </w:p>
        </w:tc>
        <w:tc>
          <w:tcPr>
            <w:tcW w:w="600" w:type="dxa"/>
            <w:vAlign w:val="bottom"/>
            <w:tcBorders>
              <w:bottom w:val="single" w:sz="8" w:color="CCEEFF"/>
            </w:tcBorders>
          </w:tcPr>
          <w:p>
            <w:pPr>
              <w:spacing w:after="0"/>
              <w:rPr>
                <w:sz w:val="11"/>
                <w:szCs w:val="11"/>
                <w:color w:val="auto"/>
              </w:rPr>
            </w:pPr>
          </w:p>
        </w:tc>
        <w:tc>
          <w:tcPr>
            <w:tcW w:w="220" w:type="dxa"/>
            <w:vAlign w:val="bottom"/>
            <w:tcBorders>
              <w:bottom w:val="single" w:sz="8" w:color="CCEEFF"/>
            </w:tcBorders>
          </w:tcPr>
          <w:p>
            <w:pPr>
              <w:spacing w:after="0"/>
              <w:rPr>
                <w:sz w:val="11"/>
                <w:szCs w:val="11"/>
                <w:color w:val="auto"/>
              </w:rPr>
            </w:pPr>
          </w:p>
        </w:tc>
        <w:tc>
          <w:tcPr>
            <w:tcW w:w="120" w:type="dxa"/>
            <w:vAlign w:val="bottom"/>
            <w:tcBorders>
              <w:top w:val="single" w:sz="8" w:color="auto"/>
              <w:bottom w:val="single" w:sz="8" w:color="auto"/>
            </w:tcBorders>
          </w:tcPr>
          <w:p>
            <w:pPr>
              <w:spacing w:after="0"/>
              <w:rPr>
                <w:sz w:val="11"/>
                <w:szCs w:val="11"/>
                <w:color w:val="auto"/>
              </w:rPr>
            </w:pPr>
          </w:p>
        </w:tc>
        <w:tc>
          <w:tcPr>
            <w:tcW w:w="600" w:type="dxa"/>
            <w:vAlign w:val="bottom"/>
            <w:tcBorders>
              <w:top w:val="single" w:sz="8" w:color="auto"/>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1,193</w:t>
            </w:r>
          </w:p>
        </w:tc>
        <w:tc>
          <w:tcPr>
            <w:tcW w:w="340" w:type="dxa"/>
            <w:vAlign w:val="bottom"/>
            <w:tcBorders>
              <w:bottom w:val="single" w:sz="8" w:color="CCEEFF"/>
            </w:tcBorders>
          </w:tcPr>
          <w:p>
            <w:pPr>
              <w:spacing w:after="0"/>
              <w:rPr>
                <w:sz w:val="11"/>
                <w:szCs w:val="11"/>
                <w:color w:val="auto"/>
              </w:rPr>
            </w:pPr>
          </w:p>
        </w:tc>
        <w:tc>
          <w:tcPr>
            <w:tcW w:w="780" w:type="dxa"/>
            <w:vAlign w:val="bottom"/>
            <w:tcBorders>
              <w:bottom w:val="single" w:sz="8" w:color="CCEEFF"/>
            </w:tcBorders>
          </w:tcPr>
          <w:p>
            <w:pPr>
              <w:spacing w:after="0"/>
              <w:rPr>
                <w:sz w:val="11"/>
                <w:szCs w:val="11"/>
                <w:color w:val="auto"/>
              </w:rPr>
            </w:pPr>
          </w:p>
        </w:tc>
        <w:tc>
          <w:tcPr>
            <w:tcW w:w="220" w:type="dxa"/>
            <w:vAlign w:val="bottom"/>
            <w:tcBorders>
              <w:bottom w:val="single" w:sz="8" w:color="CCEEFF"/>
            </w:tcBorders>
          </w:tcPr>
          <w:p>
            <w:pPr>
              <w:spacing w:after="0"/>
              <w:rPr>
                <w:sz w:val="11"/>
                <w:szCs w:val="11"/>
                <w:color w:val="auto"/>
              </w:rPr>
            </w:pPr>
          </w:p>
        </w:tc>
        <w:tc>
          <w:tcPr>
            <w:tcW w:w="60" w:type="dxa"/>
            <w:vAlign w:val="bottom"/>
            <w:tcBorders>
              <w:top w:val="single" w:sz="8" w:color="auto"/>
              <w:bottom w:val="single" w:sz="8" w:color="auto"/>
            </w:tcBorders>
          </w:tcPr>
          <w:p>
            <w:pPr>
              <w:spacing w:after="0"/>
              <w:rPr>
                <w:sz w:val="11"/>
                <w:szCs w:val="11"/>
                <w:color w:val="auto"/>
              </w:rPr>
            </w:pPr>
          </w:p>
        </w:tc>
        <w:tc>
          <w:tcPr>
            <w:tcW w:w="600" w:type="dxa"/>
            <w:vAlign w:val="bottom"/>
            <w:tcBorders>
              <w:top w:val="single" w:sz="8" w:color="auto"/>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(12,432)</w:t>
            </w:r>
          </w:p>
        </w:tc>
        <w:tc>
          <w:tcPr>
            <w:tcW w:w="120" w:type="dxa"/>
            <w:vAlign w:val="bottom"/>
            <w:tcBorders>
              <w:bottom w:val="single" w:sz="8" w:color="CCEEFF"/>
            </w:tcBorders>
          </w:tcPr>
          <w:p>
            <w:pPr>
              <w:spacing w:after="0"/>
              <w:rPr>
                <w:sz w:val="11"/>
                <w:szCs w:val="11"/>
                <w:color w:val="auto"/>
              </w:rPr>
            </w:pPr>
          </w:p>
        </w:tc>
      </w:tr>
      <w:tr>
        <w:trPr>
          <w:trHeight w:val="133"/>
        </w:trPr>
        <w:tc>
          <w:tcPr>
            <w:tcW w:w="3120" w:type="dxa"/>
            <w:vAlign w:val="bottom"/>
            <w:shd w:val="clear" w:color="auto" w:fill="CCEEFF"/>
          </w:tcPr>
          <w:p>
            <w:pPr>
              <w:spacing w:after="0"/>
              <w:rPr>
                <w:sz w:val="11"/>
                <w:szCs w:val="11"/>
                <w:color w:val="auto"/>
              </w:rPr>
            </w:pPr>
          </w:p>
        </w:tc>
        <w:tc>
          <w:tcPr>
            <w:tcW w:w="13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r>
      <w:tr>
        <w:trPr>
          <w:trHeight w:val="162"/>
        </w:trPr>
        <w:tc>
          <w:tcPr>
            <w:tcW w:w="312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Total liabilities and sharesholders’ deficit</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960" w:type="dxa"/>
            <w:vAlign w:val="bottom"/>
            <w:gridSpan w:val="2"/>
          </w:tcPr>
          <w:p>
            <w:pPr>
              <w:jc w:val="right"/>
              <w:ind w:right="340"/>
              <w:spacing w:after="0"/>
              <w:rPr>
                <w:sz w:val="20"/>
                <w:szCs w:val="20"/>
                <w:color w:val="auto"/>
              </w:rPr>
            </w:pPr>
            <w:r>
              <w:rPr>
                <w:rFonts w:ascii="Times New Roman" w:cs="Times New Roman" w:eastAsia="Times New Roman" w:hAnsi="Times New Roman"/>
                <w:sz w:val="12"/>
                <w:szCs w:val="12"/>
                <w:color w:val="auto"/>
              </w:rPr>
              <w:t>3,297</w:t>
            </w:r>
          </w:p>
        </w:tc>
        <w:tc>
          <w:tcPr>
            <w:tcW w:w="120" w:type="dxa"/>
            <w:vAlign w:val="bottom"/>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gridSpan w:val="2"/>
          </w:tcPr>
          <w:p>
            <w:pPr>
              <w:jc w:val="right"/>
              <w:ind w:right="320"/>
              <w:spacing w:after="0"/>
              <w:rPr>
                <w:sz w:val="20"/>
                <w:szCs w:val="20"/>
                <w:color w:val="auto"/>
              </w:rPr>
            </w:pPr>
            <w:r>
              <w:rPr>
                <w:rFonts w:ascii="Times New Roman" w:cs="Times New Roman" w:eastAsia="Times New Roman" w:hAnsi="Times New Roman"/>
                <w:sz w:val="12"/>
                <w:szCs w:val="12"/>
                <w:color w:val="auto"/>
              </w:rPr>
              <w:t>5,288</w:t>
            </w:r>
          </w:p>
        </w:tc>
        <w:tc>
          <w:tcPr>
            <w:tcW w:w="200" w:type="dxa"/>
            <w:vAlign w:val="bottom"/>
          </w:tcPr>
          <w:p>
            <w:pPr>
              <w:spacing w:after="0"/>
              <w:rPr>
                <w:sz w:val="20"/>
                <w:szCs w:val="20"/>
                <w:color w:val="auto"/>
              </w:rPr>
            </w:pPr>
            <w:r>
              <w:rPr>
                <w:rFonts w:ascii="Times New Roman" w:cs="Times New Roman" w:eastAsia="Times New Roman" w:hAnsi="Times New Roman"/>
                <w:sz w:val="12"/>
                <w:szCs w:val="12"/>
                <w:color w:val="auto"/>
              </w:rPr>
              <w:t>$</w:t>
            </w:r>
          </w:p>
        </w:tc>
        <w:tc>
          <w:tcPr>
            <w:tcW w:w="800" w:type="dxa"/>
            <w:vAlign w:val="bottom"/>
            <w:gridSpan w:val="2"/>
          </w:tcPr>
          <w:p>
            <w:pPr>
              <w:jc w:val="right"/>
              <w:ind w:right="340"/>
              <w:spacing w:after="0"/>
              <w:rPr>
                <w:sz w:val="20"/>
                <w:szCs w:val="20"/>
                <w:color w:val="auto"/>
              </w:rPr>
            </w:pPr>
            <w:r>
              <w:rPr>
                <w:rFonts w:ascii="Times New Roman" w:cs="Times New Roman" w:eastAsia="Times New Roman" w:hAnsi="Times New Roman"/>
                <w:sz w:val="12"/>
                <w:szCs w:val="12"/>
                <w:color w:val="auto"/>
              </w:rPr>
              <w:t>19,600</w:t>
            </w: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w:t>
            </w:r>
          </w:p>
        </w:tc>
        <w:tc>
          <w:tcPr>
            <w:tcW w:w="940" w:type="dxa"/>
            <w:vAlign w:val="bottom"/>
            <w:gridSpan w:val="2"/>
          </w:tcPr>
          <w:p>
            <w:pPr>
              <w:jc w:val="right"/>
              <w:ind w:right="340"/>
              <w:spacing w:after="0"/>
              <w:rPr>
                <w:sz w:val="20"/>
                <w:szCs w:val="20"/>
                <w:color w:val="auto"/>
              </w:rPr>
            </w:pPr>
            <w:r>
              <w:rPr>
                <w:rFonts w:ascii="Times New Roman" w:cs="Times New Roman" w:eastAsia="Times New Roman" w:hAnsi="Times New Roman"/>
                <w:sz w:val="12"/>
                <w:szCs w:val="12"/>
                <w:color w:val="auto"/>
              </w:rPr>
              <w:t>1,193</w:t>
            </w: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29,379</w:t>
            </w:r>
          </w:p>
        </w:tc>
      </w:tr>
      <w:tr>
        <w:trPr>
          <w:trHeight w:val="27"/>
        </w:trPr>
        <w:tc>
          <w:tcPr>
            <w:tcW w:w="3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680" w:type="dxa"/>
            <w:vAlign w:val="bottom"/>
            <w:gridSpan w:val="2"/>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680" w:type="dxa"/>
            <w:vAlign w:val="bottom"/>
            <w:gridSpan w:val="2"/>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660" w:type="dxa"/>
            <w:vAlign w:val="bottom"/>
            <w:gridSpan w:val="2"/>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88"/>
        </w:trPr>
        <w:tc>
          <w:tcPr>
            <w:tcW w:w="3120" w:type="dxa"/>
            <w:vAlign w:val="bottom"/>
          </w:tcPr>
          <w:p>
            <w:pPr>
              <w:spacing w:after="0"/>
              <w:rPr>
                <w:sz w:val="24"/>
                <w:szCs w:val="24"/>
                <w:color w:val="auto"/>
              </w:rPr>
            </w:pPr>
          </w:p>
        </w:tc>
        <w:tc>
          <w:tcPr>
            <w:tcW w:w="4520" w:type="dxa"/>
            <w:vAlign w:val="bottom"/>
            <w:gridSpan w:val="11"/>
          </w:tcPr>
          <w:p>
            <w:pPr>
              <w:ind w:left="600"/>
              <w:spacing w:after="0"/>
              <w:rPr>
                <w:sz w:val="20"/>
                <w:szCs w:val="20"/>
                <w:color w:val="auto"/>
              </w:rPr>
            </w:pPr>
            <w:r>
              <w:rPr>
                <w:rFonts w:ascii="Times New Roman" w:cs="Times New Roman" w:eastAsia="Times New Roman" w:hAnsi="Times New Roman"/>
                <w:sz w:val="12"/>
                <w:szCs w:val="12"/>
                <w:color w:val="auto"/>
              </w:rPr>
              <w:t>See Notes to Unaudited Pro Forma Condensed Combined Financial Information</w:t>
            </w: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88"/>
        </w:trPr>
        <w:tc>
          <w:tcPr>
            <w:tcW w:w="312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r>
    </w:tbl>
    <w:p>
      <w:pPr>
        <w:sectPr>
          <w:pgSz w:w="11900" w:h="16838" w:orient="portrait"/>
          <w:cols w:equalWidth="0" w:num="1">
            <w:col w:w="11300"/>
          </w:cols>
          <w:pgMar w:left="300" w:top="503" w:right="299" w:bottom="1440" w:gutter="0" w:footer="0" w:header="0"/>
        </w:sectPr>
      </w:pPr>
    </w:p>
    <w:bookmarkStart w:id="51" w:name="page52"/>
    <w:bookmarkEnd w:id="51"/>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BANZAI INTERNATIONAL INC.</w:t>
      </w:r>
    </w:p>
    <w:p>
      <w:pPr>
        <w:spacing w:after="0" w:line="2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UNAUDITED PRO FORMA CONDENSED COMBINED STATEMENT OF OPERATIONS</w:t>
      </w:r>
    </w:p>
    <w:p>
      <w:pPr>
        <w:spacing w:after="0" w:line="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YEAR ENDED DECEMBER 31, 2023</w:t>
      </w:r>
    </w:p>
    <w:p>
      <w:pPr>
        <w:spacing w:after="0" w:line="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(Amounts in millions, except per share amounts)</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5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jc w:val="right"/>
              <w:ind w:right="378"/>
              <w:spacing w:after="0"/>
              <w:rPr>
                <w:sz w:val="20"/>
                <w:szCs w:val="20"/>
                <w:color w:val="auto"/>
              </w:rPr>
            </w:pPr>
            <w:r>
              <w:rPr>
                <w:rFonts w:ascii="Times New Roman" w:cs="Times New Roman" w:eastAsia="Times New Roman" w:hAnsi="Times New Roman"/>
                <w:sz w:val="12"/>
                <w:szCs w:val="12"/>
                <w:b w:val="1"/>
                <w:bCs w:val="1"/>
                <w:color w:val="auto"/>
                <w:w w:val="96"/>
              </w:rPr>
              <w:t>Open Reel</w:t>
            </w:r>
          </w:p>
        </w:tc>
        <w:tc>
          <w:tcPr>
            <w:tcW w:w="120" w:type="dxa"/>
            <w:vAlign w:val="bottom"/>
          </w:tcPr>
          <w:p>
            <w:pPr>
              <w:spacing w:after="0"/>
              <w:rPr>
                <w:sz w:val="12"/>
                <w:szCs w:val="12"/>
                <w:color w:val="auto"/>
              </w:rPr>
            </w:pPr>
          </w:p>
        </w:tc>
        <w:tc>
          <w:tcPr>
            <w:tcW w:w="920" w:type="dxa"/>
            <w:vAlign w:val="bottom"/>
            <w:gridSpan w:val="2"/>
          </w:tcPr>
          <w:p>
            <w:pPr>
              <w:jc w:val="right"/>
              <w:ind w:right="478"/>
              <w:spacing w:after="0"/>
              <w:rPr>
                <w:sz w:val="20"/>
                <w:szCs w:val="20"/>
                <w:color w:val="auto"/>
              </w:rPr>
            </w:pPr>
            <w:r>
              <w:rPr>
                <w:rFonts w:ascii="Times New Roman" w:cs="Times New Roman" w:eastAsia="Times New Roman" w:hAnsi="Times New Roman"/>
                <w:sz w:val="12"/>
                <w:szCs w:val="12"/>
                <w:b w:val="1"/>
                <w:bCs w:val="1"/>
                <w:color w:val="auto"/>
              </w:rPr>
              <w:t>Banzai</w:t>
            </w:r>
          </w:p>
        </w:tc>
        <w:tc>
          <w:tcPr>
            <w:tcW w:w="7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gridSpan w:val="3"/>
          </w:tcPr>
          <w:p>
            <w:pPr>
              <w:jc w:val="right"/>
              <w:ind w:right="400"/>
              <w:spacing w:after="0"/>
              <w:rPr>
                <w:sz w:val="20"/>
                <w:szCs w:val="20"/>
                <w:color w:val="auto"/>
              </w:rPr>
            </w:pPr>
            <w:r>
              <w:rPr>
                <w:rFonts w:ascii="Times New Roman" w:cs="Times New Roman" w:eastAsia="Times New Roman" w:hAnsi="Times New Roman"/>
                <w:sz w:val="12"/>
                <w:szCs w:val="12"/>
                <w:b w:val="1"/>
                <w:bCs w:val="1"/>
                <w:color w:val="auto"/>
              </w:rPr>
              <w:t>Pro Forma</w:t>
            </w: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gridSpan w:val="3"/>
          </w:tcPr>
          <w:p>
            <w:pPr>
              <w:jc w:val="right"/>
              <w:ind w:right="154"/>
              <w:spacing w:after="0"/>
              <w:rPr>
                <w:sz w:val="20"/>
                <w:szCs w:val="20"/>
                <w:color w:val="auto"/>
              </w:rPr>
            </w:pPr>
            <w:r>
              <w:rPr>
                <w:rFonts w:ascii="Times New Roman" w:cs="Times New Roman" w:eastAsia="Times New Roman" w:hAnsi="Times New Roman"/>
                <w:sz w:val="12"/>
                <w:szCs w:val="12"/>
                <w:b w:val="1"/>
                <w:bCs w:val="1"/>
                <w:color w:val="auto"/>
              </w:rPr>
              <w:t>Pro Forma</w:t>
            </w:r>
          </w:p>
        </w:tc>
      </w:tr>
      <w:tr>
        <w:trPr>
          <w:trHeight w:val="159"/>
        </w:trPr>
        <w:tc>
          <w:tcPr>
            <w:tcW w:w="5420" w:type="dxa"/>
            <w:vAlign w:val="bottom"/>
          </w:tcPr>
          <w:p>
            <w:pPr>
              <w:spacing w:after="0"/>
              <w:rPr>
                <w:sz w:val="13"/>
                <w:szCs w:val="13"/>
                <w:color w:val="auto"/>
              </w:rPr>
            </w:pPr>
          </w:p>
        </w:tc>
        <w:tc>
          <w:tcPr>
            <w:tcW w:w="1040" w:type="dxa"/>
            <w:vAlign w:val="bottom"/>
            <w:gridSpan w:val="3"/>
          </w:tcPr>
          <w:p>
            <w:pPr>
              <w:jc w:val="right"/>
              <w:ind w:right="358"/>
              <w:spacing w:after="0"/>
              <w:rPr>
                <w:sz w:val="20"/>
                <w:szCs w:val="20"/>
                <w:color w:val="auto"/>
              </w:rPr>
            </w:pPr>
            <w:r>
              <w:rPr>
                <w:rFonts w:ascii="Times New Roman" w:cs="Times New Roman" w:eastAsia="Times New Roman" w:hAnsi="Times New Roman"/>
                <w:sz w:val="12"/>
                <w:szCs w:val="12"/>
                <w:b w:val="1"/>
                <w:bCs w:val="1"/>
                <w:color w:val="auto"/>
              </w:rPr>
              <w:t>(Historical)</w:t>
            </w:r>
          </w:p>
        </w:tc>
        <w:tc>
          <w:tcPr>
            <w:tcW w:w="1040" w:type="dxa"/>
            <w:vAlign w:val="bottom"/>
            <w:gridSpan w:val="3"/>
          </w:tcPr>
          <w:p>
            <w:pPr>
              <w:jc w:val="right"/>
              <w:ind w:right="358"/>
              <w:spacing w:after="0"/>
              <w:rPr>
                <w:sz w:val="20"/>
                <w:szCs w:val="20"/>
                <w:color w:val="auto"/>
              </w:rPr>
            </w:pPr>
            <w:r>
              <w:rPr>
                <w:rFonts w:ascii="Times New Roman" w:cs="Times New Roman" w:eastAsia="Times New Roman" w:hAnsi="Times New Roman"/>
                <w:sz w:val="12"/>
                <w:szCs w:val="12"/>
                <w:b w:val="1"/>
                <w:bCs w:val="1"/>
                <w:color w:val="auto"/>
              </w:rPr>
              <w:t>(Historical)</w:t>
            </w:r>
          </w:p>
        </w:tc>
        <w:tc>
          <w:tcPr>
            <w:tcW w:w="1020" w:type="dxa"/>
            <w:vAlign w:val="bottom"/>
            <w:gridSpan w:val="2"/>
          </w:tcPr>
          <w:p>
            <w:pPr>
              <w:jc w:val="center"/>
              <w:ind w:right="220"/>
              <w:spacing w:after="0"/>
              <w:rPr>
                <w:sz w:val="20"/>
                <w:szCs w:val="20"/>
                <w:color w:val="auto"/>
              </w:rPr>
            </w:pPr>
            <w:r>
              <w:rPr>
                <w:rFonts w:ascii="Times New Roman" w:cs="Times New Roman" w:eastAsia="Times New Roman" w:hAnsi="Times New Roman"/>
                <w:sz w:val="12"/>
                <w:szCs w:val="12"/>
                <w:b w:val="1"/>
                <w:bCs w:val="1"/>
                <w:color w:val="auto"/>
                <w:w w:val="97"/>
              </w:rPr>
              <w:t>Notes</w:t>
            </w:r>
          </w:p>
        </w:tc>
        <w:tc>
          <w:tcPr>
            <w:tcW w:w="1000" w:type="dxa"/>
            <w:vAlign w:val="bottom"/>
            <w:gridSpan w:val="3"/>
          </w:tcPr>
          <w:p>
            <w:pPr>
              <w:jc w:val="right"/>
              <w:ind w:right="360"/>
              <w:spacing w:after="0"/>
              <w:rPr>
                <w:sz w:val="20"/>
                <w:szCs w:val="20"/>
                <w:color w:val="auto"/>
              </w:rPr>
            </w:pPr>
            <w:r>
              <w:rPr>
                <w:rFonts w:ascii="Times New Roman" w:cs="Times New Roman" w:eastAsia="Times New Roman" w:hAnsi="Times New Roman"/>
                <w:sz w:val="12"/>
                <w:szCs w:val="12"/>
                <w:b w:val="1"/>
                <w:bCs w:val="1"/>
                <w:color w:val="auto"/>
              </w:rPr>
              <w:t>Adjustment</w:t>
            </w:r>
          </w:p>
        </w:tc>
        <w:tc>
          <w:tcPr>
            <w:tcW w:w="1000" w:type="dxa"/>
            <w:vAlign w:val="bottom"/>
            <w:gridSpan w:val="2"/>
          </w:tcPr>
          <w:p>
            <w:pPr>
              <w:jc w:val="center"/>
              <w:ind w:right="240"/>
              <w:spacing w:after="0"/>
              <w:rPr>
                <w:sz w:val="20"/>
                <w:szCs w:val="20"/>
                <w:color w:val="auto"/>
              </w:rPr>
            </w:pPr>
            <w:r>
              <w:rPr>
                <w:rFonts w:ascii="Times New Roman" w:cs="Times New Roman" w:eastAsia="Times New Roman" w:hAnsi="Times New Roman"/>
                <w:sz w:val="12"/>
                <w:szCs w:val="12"/>
                <w:b w:val="1"/>
                <w:bCs w:val="1"/>
                <w:color w:val="auto"/>
                <w:w w:val="97"/>
              </w:rPr>
              <w:t>Notes</w:t>
            </w:r>
          </w:p>
        </w:tc>
        <w:tc>
          <w:tcPr>
            <w:tcW w:w="60" w:type="dxa"/>
            <w:vAlign w:val="bottom"/>
          </w:tcPr>
          <w:p>
            <w:pPr>
              <w:spacing w:after="0"/>
              <w:rPr>
                <w:sz w:val="13"/>
                <w:szCs w:val="13"/>
                <w:color w:val="auto"/>
              </w:rPr>
            </w:pPr>
          </w:p>
        </w:tc>
        <w:tc>
          <w:tcPr>
            <w:tcW w:w="720" w:type="dxa"/>
            <w:vAlign w:val="bottom"/>
            <w:gridSpan w:val="2"/>
          </w:tcPr>
          <w:p>
            <w:pPr>
              <w:jc w:val="right"/>
              <w:ind w:right="174"/>
              <w:spacing w:after="0"/>
              <w:rPr>
                <w:sz w:val="20"/>
                <w:szCs w:val="20"/>
                <w:color w:val="auto"/>
              </w:rPr>
            </w:pPr>
            <w:r>
              <w:rPr>
                <w:rFonts w:ascii="Times New Roman" w:cs="Times New Roman" w:eastAsia="Times New Roman" w:hAnsi="Times New Roman"/>
                <w:sz w:val="12"/>
                <w:szCs w:val="12"/>
                <w:b w:val="1"/>
                <w:bCs w:val="1"/>
                <w:color w:val="auto"/>
                <w:w w:val="97"/>
              </w:rPr>
              <w:t>Combined</w:t>
            </w:r>
          </w:p>
        </w:tc>
      </w:tr>
      <w:tr>
        <w:trPr>
          <w:trHeight w:val="133"/>
        </w:trPr>
        <w:tc>
          <w:tcPr>
            <w:tcW w:w="5420" w:type="dxa"/>
            <w:vAlign w:val="bottom"/>
            <w:tcBorders>
              <w:top w:val="single" w:sz="8" w:color="CCEEFF"/>
            </w:tcBorders>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Operating income:</w:t>
            </w:r>
          </w:p>
        </w:tc>
        <w:tc>
          <w:tcPr>
            <w:tcW w:w="80" w:type="dxa"/>
            <w:vAlign w:val="bottom"/>
            <w:tcBorders>
              <w:top w:val="single" w:sz="8" w:color="auto"/>
            </w:tcBorders>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spacing w:after="0"/>
              <w:rPr>
                <w:sz w:val="11"/>
                <w:szCs w:val="11"/>
                <w:color w:val="auto"/>
              </w:rPr>
            </w:pPr>
          </w:p>
        </w:tc>
        <w:tc>
          <w:tcPr>
            <w:tcW w:w="34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560" w:type="dxa"/>
            <w:vAlign w:val="bottom"/>
            <w:tcBorders>
              <w:top w:val="single" w:sz="8" w:color="auto"/>
            </w:tcBorders>
            <w:shd w:val="clear" w:color="auto" w:fill="CCEEFF"/>
          </w:tcPr>
          <w:p>
            <w:pPr>
              <w:spacing w:after="0"/>
              <w:rPr>
                <w:sz w:val="11"/>
                <w:szCs w:val="11"/>
                <w:color w:val="auto"/>
              </w:rPr>
            </w:pPr>
          </w:p>
        </w:tc>
        <w:tc>
          <w:tcPr>
            <w:tcW w:w="360" w:type="dxa"/>
            <w:vAlign w:val="bottom"/>
            <w:tcBorders>
              <w:top w:val="single" w:sz="8" w:color="CCEEFF"/>
            </w:tcBorders>
            <w:shd w:val="clear" w:color="auto" w:fill="CCEEFF"/>
          </w:tcPr>
          <w:p>
            <w:pPr>
              <w:spacing w:after="0"/>
              <w:rPr>
                <w:sz w:val="11"/>
                <w:szCs w:val="11"/>
                <w:color w:val="auto"/>
              </w:rPr>
            </w:pPr>
          </w:p>
        </w:tc>
        <w:tc>
          <w:tcPr>
            <w:tcW w:w="780" w:type="dxa"/>
            <w:vAlign w:val="bottom"/>
            <w:tcBorders>
              <w:top w:val="single" w:sz="8" w:color="auto"/>
            </w:tcBorders>
            <w:shd w:val="clear" w:color="auto" w:fill="CCEEFF"/>
          </w:tcPr>
          <w:p>
            <w:pPr>
              <w:spacing w:after="0"/>
              <w:rPr>
                <w:sz w:val="11"/>
                <w:szCs w:val="11"/>
                <w:color w:val="auto"/>
              </w:rPr>
            </w:pPr>
          </w:p>
        </w:tc>
        <w:tc>
          <w:tcPr>
            <w:tcW w:w="240" w:type="dxa"/>
            <w:vAlign w:val="bottom"/>
            <w:tcBorders>
              <w:top w:val="single" w:sz="8" w:color="CCEEFF"/>
            </w:tcBorders>
            <w:shd w:val="clear" w:color="auto" w:fill="CCEEFF"/>
          </w:tcPr>
          <w:p>
            <w:pPr>
              <w:spacing w:after="0"/>
              <w:rPr>
                <w:sz w:val="11"/>
                <w:szCs w:val="11"/>
                <w:color w:val="auto"/>
              </w:rPr>
            </w:pPr>
          </w:p>
        </w:tc>
        <w:tc>
          <w:tcPr>
            <w:tcW w:w="300" w:type="dxa"/>
            <w:vAlign w:val="bottom"/>
            <w:tcBorders>
              <w:top w:val="single" w:sz="8" w:color="auto"/>
            </w:tcBorders>
            <w:shd w:val="clear" w:color="auto" w:fill="CCEEFF"/>
          </w:tcPr>
          <w:p>
            <w:pPr>
              <w:spacing w:after="0"/>
              <w:rPr>
                <w:sz w:val="11"/>
                <w:szCs w:val="11"/>
                <w:color w:val="auto"/>
              </w:rPr>
            </w:pPr>
          </w:p>
        </w:tc>
        <w:tc>
          <w:tcPr>
            <w:tcW w:w="360" w:type="dxa"/>
            <w:vAlign w:val="bottom"/>
            <w:tcBorders>
              <w:top w:val="single" w:sz="8" w:color="auto"/>
            </w:tcBorders>
            <w:shd w:val="clear" w:color="auto" w:fill="CCEEFF"/>
          </w:tcPr>
          <w:p>
            <w:pPr>
              <w:spacing w:after="0"/>
              <w:rPr>
                <w:sz w:val="11"/>
                <w:szCs w:val="11"/>
                <w:color w:val="auto"/>
              </w:rPr>
            </w:pPr>
          </w:p>
        </w:tc>
        <w:tc>
          <w:tcPr>
            <w:tcW w:w="340" w:type="dxa"/>
            <w:vAlign w:val="bottom"/>
            <w:tcBorders>
              <w:top w:val="single" w:sz="8" w:color="CCEEFF"/>
            </w:tcBorders>
            <w:shd w:val="clear" w:color="auto" w:fill="CCEEFF"/>
          </w:tcPr>
          <w:p>
            <w:pPr>
              <w:spacing w:after="0"/>
              <w:rPr>
                <w:sz w:val="11"/>
                <w:szCs w:val="11"/>
                <w:color w:val="auto"/>
              </w:rPr>
            </w:pPr>
          </w:p>
        </w:tc>
        <w:tc>
          <w:tcPr>
            <w:tcW w:w="780" w:type="dxa"/>
            <w:vAlign w:val="bottom"/>
            <w:tcBorders>
              <w:top w:val="single" w:sz="8" w:color="auto"/>
            </w:tcBorders>
            <w:shd w:val="clear" w:color="auto" w:fill="CCEEFF"/>
          </w:tcPr>
          <w:p>
            <w:pPr>
              <w:spacing w:after="0"/>
              <w:rPr>
                <w:sz w:val="11"/>
                <w:szCs w:val="11"/>
                <w:color w:val="auto"/>
              </w:rPr>
            </w:pPr>
          </w:p>
        </w:tc>
        <w:tc>
          <w:tcPr>
            <w:tcW w:w="22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620" w:type="dxa"/>
            <w:vAlign w:val="bottom"/>
            <w:tcBorders>
              <w:top w:val="single" w:sz="8" w:color="auto"/>
              <w:right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r>
      <w:tr>
        <w:trPr>
          <w:trHeight w:val="144"/>
        </w:trPr>
        <w:tc>
          <w:tcPr>
            <w:tcW w:w="542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Revenue</w:t>
            </w: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gridSpan w:val="2"/>
          </w:tcPr>
          <w:p>
            <w:pPr>
              <w:jc w:val="right"/>
              <w:ind w:right="298"/>
              <w:spacing w:after="0"/>
              <w:rPr>
                <w:sz w:val="20"/>
                <w:szCs w:val="20"/>
                <w:color w:val="auto"/>
              </w:rPr>
            </w:pPr>
            <w:r>
              <w:rPr>
                <w:rFonts w:ascii="Times New Roman" w:cs="Times New Roman" w:eastAsia="Times New Roman" w:hAnsi="Times New Roman"/>
                <w:sz w:val="12"/>
                <w:szCs w:val="12"/>
                <w:color w:val="auto"/>
              </w:rPr>
              <w:t>7,520</w:t>
            </w:r>
          </w:p>
        </w:tc>
        <w:tc>
          <w:tcPr>
            <w:tcW w:w="120" w:type="dxa"/>
            <w:vAlign w:val="bottom"/>
          </w:tcPr>
          <w:p>
            <w:pPr>
              <w:jc w:val="right"/>
              <w:ind w:right="5"/>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gridSpan w:val="2"/>
          </w:tcPr>
          <w:p>
            <w:pPr>
              <w:jc w:val="right"/>
              <w:ind w:right="318"/>
              <w:spacing w:after="0"/>
              <w:rPr>
                <w:sz w:val="20"/>
                <w:szCs w:val="20"/>
                <w:color w:val="auto"/>
              </w:rPr>
            </w:pPr>
            <w:r>
              <w:rPr>
                <w:rFonts w:ascii="Times New Roman" w:cs="Times New Roman" w:eastAsia="Times New Roman" w:hAnsi="Times New Roman"/>
                <w:sz w:val="12"/>
                <w:szCs w:val="12"/>
                <w:color w:val="auto"/>
              </w:rPr>
              <w:t>4,561</w:t>
            </w:r>
          </w:p>
        </w:tc>
        <w:tc>
          <w:tcPr>
            <w:tcW w:w="7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00" w:type="dxa"/>
            <w:vAlign w:val="bottom"/>
          </w:tcPr>
          <w:p>
            <w:pPr>
              <w:jc w:val="right"/>
              <w:ind w:right="183"/>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gridSpan w:val="2"/>
          </w:tcPr>
          <w:p>
            <w:pPr>
              <w:jc w:val="right"/>
              <w:ind w:right="340"/>
              <w:spacing w:after="0"/>
              <w:rPr>
                <w:sz w:val="20"/>
                <w:szCs w:val="20"/>
                <w:color w:val="auto"/>
              </w:rPr>
            </w:pPr>
            <w:r>
              <w:rPr>
                <w:rFonts w:ascii="Times New Roman" w:cs="Times New Roman" w:eastAsia="Times New Roman" w:hAnsi="Times New Roman"/>
                <w:sz w:val="12"/>
                <w:szCs w:val="12"/>
                <w:color w:val="auto"/>
              </w:rPr>
              <w:t>-</w:t>
            </w: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gridSpan w:val="2"/>
          </w:tcPr>
          <w:p>
            <w:pPr>
              <w:jc w:val="right"/>
              <w:ind w:right="114"/>
              <w:spacing w:after="0"/>
              <w:rPr>
                <w:sz w:val="20"/>
                <w:szCs w:val="20"/>
                <w:color w:val="auto"/>
              </w:rPr>
            </w:pPr>
            <w:r>
              <w:rPr>
                <w:rFonts w:ascii="Times New Roman" w:cs="Times New Roman" w:eastAsia="Times New Roman" w:hAnsi="Times New Roman"/>
                <w:sz w:val="12"/>
                <w:szCs w:val="12"/>
                <w:color w:val="auto"/>
              </w:rPr>
              <w:t>12,081</w:t>
            </w:r>
          </w:p>
        </w:tc>
      </w:tr>
      <w:tr>
        <w:trPr>
          <w:trHeight w:val="153"/>
        </w:trPr>
        <w:tc>
          <w:tcPr>
            <w:tcW w:w="54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Cost of revenue</w:t>
            </w:r>
          </w:p>
        </w:tc>
        <w:tc>
          <w:tcPr>
            <w:tcW w:w="8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298"/>
              <w:spacing w:after="0"/>
              <w:rPr>
                <w:sz w:val="20"/>
                <w:szCs w:val="20"/>
                <w:color w:val="auto"/>
              </w:rPr>
            </w:pPr>
            <w:r>
              <w:rPr>
                <w:rFonts w:ascii="Times New Roman" w:cs="Times New Roman" w:eastAsia="Times New Roman" w:hAnsi="Times New Roman"/>
                <w:sz w:val="12"/>
                <w:szCs w:val="12"/>
                <w:color w:val="auto"/>
              </w:rPr>
              <w:t>1,062</w:t>
            </w:r>
          </w:p>
        </w:tc>
        <w:tc>
          <w:tcPr>
            <w:tcW w:w="12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318"/>
              <w:spacing w:after="0"/>
              <w:rPr>
                <w:sz w:val="20"/>
                <w:szCs w:val="20"/>
                <w:color w:val="auto"/>
              </w:rPr>
            </w:pPr>
            <w:r>
              <w:rPr>
                <w:rFonts w:ascii="Times New Roman" w:cs="Times New Roman" w:eastAsia="Times New Roman" w:hAnsi="Times New Roman"/>
                <w:sz w:val="12"/>
                <w:szCs w:val="12"/>
                <w:color w:val="auto"/>
              </w:rPr>
              <w:t>1,445</w:t>
            </w:r>
          </w:p>
        </w:tc>
        <w:tc>
          <w:tcPr>
            <w:tcW w:w="7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2"/>
                <w:szCs w:val="12"/>
                <w:color w:val="auto"/>
              </w:rPr>
              <w:t>—</w:t>
            </w:r>
          </w:p>
        </w:tc>
        <w:tc>
          <w:tcPr>
            <w:tcW w:w="7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2,411</w:t>
            </w:r>
          </w:p>
        </w:tc>
        <w:tc>
          <w:tcPr>
            <w:tcW w:w="100" w:type="dxa"/>
            <w:vAlign w:val="bottom"/>
            <w:shd w:val="clear" w:color="auto" w:fill="CCEEFF"/>
          </w:tcPr>
          <w:p>
            <w:pPr>
              <w:spacing w:after="0"/>
              <w:rPr>
                <w:sz w:val="13"/>
                <w:szCs w:val="13"/>
                <w:color w:val="auto"/>
              </w:rPr>
            </w:pPr>
          </w:p>
        </w:tc>
      </w:tr>
      <w:tr>
        <w:trPr>
          <w:trHeight w:val="133"/>
        </w:trPr>
        <w:tc>
          <w:tcPr>
            <w:tcW w:w="5420" w:type="dxa"/>
            <w:vAlign w:val="bottom"/>
            <w:tcBorders>
              <w:bottom w:val="single" w:sz="8" w:color="CCEEFF"/>
            </w:tcBorders>
          </w:tcPr>
          <w:p>
            <w:pPr>
              <w:ind w:left="120"/>
              <w:spacing w:after="0" w:line="133" w:lineRule="exact"/>
              <w:rPr>
                <w:sz w:val="20"/>
                <w:szCs w:val="20"/>
                <w:color w:val="auto"/>
              </w:rPr>
            </w:pPr>
            <w:r>
              <w:rPr>
                <w:rFonts w:ascii="Times New Roman" w:cs="Times New Roman" w:eastAsia="Times New Roman" w:hAnsi="Times New Roman"/>
                <w:sz w:val="12"/>
                <w:szCs w:val="12"/>
                <w:color w:val="auto"/>
              </w:rPr>
              <w:t>Gross profit</w:t>
            </w:r>
          </w:p>
        </w:tc>
        <w:tc>
          <w:tcPr>
            <w:tcW w:w="80" w:type="dxa"/>
            <w:vAlign w:val="bottom"/>
            <w:tcBorders>
              <w:top w:val="single" w:sz="8" w:color="auto"/>
              <w:bottom w:val="single" w:sz="8" w:color="auto"/>
            </w:tcBorders>
          </w:tcPr>
          <w:p>
            <w:pPr>
              <w:spacing w:after="0"/>
              <w:rPr>
                <w:sz w:val="11"/>
                <w:szCs w:val="11"/>
                <w:color w:val="auto"/>
              </w:rPr>
            </w:pPr>
          </w:p>
        </w:tc>
        <w:tc>
          <w:tcPr>
            <w:tcW w:w="620" w:type="dxa"/>
            <w:vAlign w:val="bottom"/>
            <w:tcBorders>
              <w:top w:val="single" w:sz="8" w:color="auto"/>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6,458</w:t>
            </w:r>
          </w:p>
        </w:tc>
        <w:tc>
          <w:tcPr>
            <w:tcW w:w="340" w:type="dxa"/>
            <w:vAlign w:val="bottom"/>
            <w:tcBorders>
              <w:bottom w:val="single" w:sz="8" w:color="CCEEFF"/>
            </w:tcBorders>
          </w:tcPr>
          <w:p>
            <w:pPr>
              <w:spacing w:after="0"/>
              <w:rPr>
                <w:sz w:val="11"/>
                <w:szCs w:val="11"/>
                <w:color w:val="auto"/>
              </w:rPr>
            </w:pPr>
          </w:p>
        </w:tc>
        <w:tc>
          <w:tcPr>
            <w:tcW w:w="120" w:type="dxa"/>
            <w:vAlign w:val="bottom"/>
            <w:tcBorders>
              <w:top w:val="single" w:sz="8" w:color="auto"/>
              <w:bottom w:val="single" w:sz="8" w:color="auto"/>
            </w:tcBorders>
          </w:tcPr>
          <w:p>
            <w:pPr>
              <w:spacing w:after="0"/>
              <w:rPr>
                <w:sz w:val="11"/>
                <w:szCs w:val="11"/>
                <w:color w:val="auto"/>
              </w:rPr>
            </w:pPr>
          </w:p>
        </w:tc>
        <w:tc>
          <w:tcPr>
            <w:tcW w:w="560" w:type="dxa"/>
            <w:vAlign w:val="bottom"/>
            <w:tcBorders>
              <w:top w:val="single" w:sz="8" w:color="auto"/>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3,117</w:t>
            </w:r>
          </w:p>
        </w:tc>
        <w:tc>
          <w:tcPr>
            <w:tcW w:w="360" w:type="dxa"/>
            <w:vAlign w:val="bottom"/>
            <w:tcBorders>
              <w:bottom w:val="single" w:sz="8" w:color="CCEEFF"/>
            </w:tcBorders>
          </w:tcPr>
          <w:p>
            <w:pPr>
              <w:spacing w:after="0"/>
              <w:rPr>
                <w:sz w:val="11"/>
                <w:szCs w:val="11"/>
                <w:color w:val="auto"/>
              </w:rPr>
            </w:pPr>
          </w:p>
        </w:tc>
        <w:tc>
          <w:tcPr>
            <w:tcW w:w="780" w:type="dxa"/>
            <w:vAlign w:val="bottom"/>
            <w:tcBorders>
              <w:bottom w:val="single" w:sz="8" w:color="CCEEFF"/>
            </w:tcBorders>
          </w:tcPr>
          <w:p>
            <w:pPr>
              <w:spacing w:after="0"/>
              <w:rPr>
                <w:sz w:val="11"/>
                <w:szCs w:val="11"/>
                <w:color w:val="auto"/>
              </w:rPr>
            </w:pPr>
          </w:p>
        </w:tc>
        <w:tc>
          <w:tcPr>
            <w:tcW w:w="240" w:type="dxa"/>
            <w:vAlign w:val="bottom"/>
            <w:tcBorders>
              <w:bottom w:val="single" w:sz="8" w:color="CCEEFF"/>
            </w:tcBorders>
          </w:tcPr>
          <w:p>
            <w:pPr>
              <w:spacing w:after="0"/>
              <w:rPr>
                <w:sz w:val="11"/>
                <w:szCs w:val="11"/>
                <w:color w:val="auto"/>
              </w:rPr>
            </w:pPr>
          </w:p>
        </w:tc>
        <w:tc>
          <w:tcPr>
            <w:tcW w:w="300" w:type="dxa"/>
            <w:vAlign w:val="bottom"/>
            <w:tcBorders>
              <w:top w:val="single" w:sz="8" w:color="auto"/>
              <w:bottom w:val="single" w:sz="8" w:color="auto"/>
            </w:tcBorders>
          </w:tcPr>
          <w:p>
            <w:pPr>
              <w:spacing w:after="0"/>
              <w:rPr>
                <w:sz w:val="11"/>
                <w:szCs w:val="11"/>
                <w:color w:val="auto"/>
              </w:rPr>
            </w:pPr>
          </w:p>
        </w:tc>
        <w:tc>
          <w:tcPr>
            <w:tcW w:w="360" w:type="dxa"/>
            <w:vAlign w:val="bottom"/>
            <w:tcBorders>
              <w:top w:val="single" w:sz="8" w:color="auto"/>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w:t>
            </w:r>
          </w:p>
        </w:tc>
        <w:tc>
          <w:tcPr>
            <w:tcW w:w="340" w:type="dxa"/>
            <w:vAlign w:val="bottom"/>
            <w:tcBorders>
              <w:bottom w:val="single" w:sz="8" w:color="CCEEFF"/>
            </w:tcBorders>
          </w:tcPr>
          <w:p>
            <w:pPr>
              <w:spacing w:after="0"/>
              <w:rPr>
                <w:sz w:val="11"/>
                <w:szCs w:val="11"/>
                <w:color w:val="auto"/>
              </w:rPr>
            </w:pPr>
          </w:p>
        </w:tc>
        <w:tc>
          <w:tcPr>
            <w:tcW w:w="780" w:type="dxa"/>
            <w:vAlign w:val="bottom"/>
            <w:tcBorders>
              <w:bottom w:val="single" w:sz="8" w:color="CCEEFF"/>
            </w:tcBorders>
          </w:tcPr>
          <w:p>
            <w:pPr>
              <w:spacing w:after="0"/>
              <w:rPr>
                <w:sz w:val="11"/>
                <w:szCs w:val="11"/>
                <w:color w:val="auto"/>
              </w:rPr>
            </w:pPr>
          </w:p>
        </w:tc>
        <w:tc>
          <w:tcPr>
            <w:tcW w:w="220" w:type="dxa"/>
            <w:vAlign w:val="bottom"/>
            <w:tcBorders>
              <w:bottom w:val="single" w:sz="8" w:color="CCEEFF"/>
            </w:tcBorders>
          </w:tcPr>
          <w:p>
            <w:pPr>
              <w:spacing w:after="0"/>
              <w:rPr>
                <w:sz w:val="11"/>
                <w:szCs w:val="11"/>
                <w:color w:val="auto"/>
              </w:rPr>
            </w:pPr>
          </w:p>
        </w:tc>
        <w:tc>
          <w:tcPr>
            <w:tcW w:w="60" w:type="dxa"/>
            <w:vAlign w:val="bottom"/>
            <w:tcBorders>
              <w:top w:val="single" w:sz="8" w:color="auto"/>
              <w:bottom w:val="single" w:sz="8" w:color="auto"/>
            </w:tcBorders>
          </w:tcPr>
          <w:p>
            <w:pPr>
              <w:spacing w:after="0"/>
              <w:rPr>
                <w:sz w:val="11"/>
                <w:szCs w:val="11"/>
                <w:color w:val="auto"/>
              </w:rPr>
            </w:pPr>
          </w:p>
        </w:tc>
        <w:tc>
          <w:tcPr>
            <w:tcW w:w="620" w:type="dxa"/>
            <w:vAlign w:val="bottom"/>
            <w:tcBorders>
              <w:top w:val="single" w:sz="8" w:color="auto"/>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9,671</w:t>
            </w:r>
          </w:p>
        </w:tc>
        <w:tc>
          <w:tcPr>
            <w:tcW w:w="100" w:type="dxa"/>
            <w:vAlign w:val="bottom"/>
            <w:tcBorders>
              <w:bottom w:val="single" w:sz="8" w:color="CCEEFF"/>
            </w:tcBorders>
          </w:tcPr>
          <w:p>
            <w:pPr>
              <w:spacing w:after="0"/>
              <w:rPr>
                <w:sz w:val="11"/>
                <w:szCs w:val="11"/>
                <w:color w:val="auto"/>
              </w:rPr>
            </w:pPr>
          </w:p>
        </w:tc>
      </w:tr>
      <w:tr>
        <w:trPr>
          <w:trHeight w:val="133"/>
        </w:trPr>
        <w:tc>
          <w:tcPr>
            <w:tcW w:w="54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tcBorders>
              <w:right w:val="single" w:sz="8" w:color="CCEEFF"/>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r>
      <w:tr>
        <w:trPr>
          <w:trHeight w:val="144"/>
        </w:trPr>
        <w:tc>
          <w:tcPr>
            <w:tcW w:w="5420" w:type="dxa"/>
            <w:vAlign w:val="bottom"/>
          </w:tcPr>
          <w:p>
            <w:pPr>
              <w:spacing w:after="0"/>
              <w:rPr>
                <w:sz w:val="20"/>
                <w:szCs w:val="20"/>
                <w:color w:val="auto"/>
              </w:rPr>
            </w:pPr>
            <w:r>
              <w:rPr>
                <w:rFonts w:ascii="Times New Roman" w:cs="Times New Roman" w:eastAsia="Times New Roman" w:hAnsi="Times New Roman"/>
                <w:sz w:val="12"/>
                <w:szCs w:val="12"/>
                <w:color w:val="auto"/>
              </w:rPr>
              <w:t>Operating expenses:</w:t>
            </w: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53"/>
        </w:trPr>
        <w:tc>
          <w:tcPr>
            <w:tcW w:w="54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General and administrative expenses</w:t>
            </w:r>
          </w:p>
        </w:tc>
        <w:tc>
          <w:tcPr>
            <w:tcW w:w="8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298"/>
              <w:spacing w:after="0"/>
              <w:rPr>
                <w:sz w:val="20"/>
                <w:szCs w:val="20"/>
                <w:color w:val="auto"/>
              </w:rPr>
            </w:pPr>
            <w:r>
              <w:rPr>
                <w:rFonts w:ascii="Times New Roman" w:cs="Times New Roman" w:eastAsia="Times New Roman" w:hAnsi="Times New Roman"/>
                <w:sz w:val="12"/>
                <w:szCs w:val="12"/>
                <w:color w:val="auto"/>
              </w:rPr>
              <w:t>7,557</w:t>
            </w:r>
          </w:p>
        </w:tc>
        <w:tc>
          <w:tcPr>
            <w:tcW w:w="12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318"/>
              <w:spacing w:after="0"/>
              <w:rPr>
                <w:sz w:val="20"/>
                <w:szCs w:val="20"/>
                <w:color w:val="auto"/>
              </w:rPr>
            </w:pPr>
            <w:r>
              <w:rPr>
                <w:rFonts w:ascii="Times New Roman" w:cs="Times New Roman" w:eastAsia="Times New Roman" w:hAnsi="Times New Roman"/>
                <w:sz w:val="12"/>
                <w:szCs w:val="12"/>
                <w:color w:val="auto"/>
              </w:rPr>
              <w:t>12,905</w:t>
            </w:r>
          </w:p>
        </w:tc>
        <w:tc>
          <w:tcPr>
            <w:tcW w:w="7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2"/>
                <w:szCs w:val="12"/>
                <w:color w:val="auto"/>
              </w:rPr>
              <w:t>—</w:t>
            </w:r>
          </w:p>
        </w:tc>
        <w:tc>
          <w:tcPr>
            <w:tcW w:w="7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114"/>
              <w:spacing w:after="0"/>
              <w:rPr>
                <w:sz w:val="20"/>
                <w:szCs w:val="20"/>
                <w:color w:val="auto"/>
              </w:rPr>
            </w:pPr>
            <w:r>
              <w:rPr>
                <w:rFonts w:ascii="Times New Roman" w:cs="Times New Roman" w:eastAsia="Times New Roman" w:hAnsi="Times New Roman"/>
                <w:sz w:val="12"/>
                <w:szCs w:val="12"/>
                <w:color w:val="auto"/>
              </w:rPr>
              <w:t>20,557</w:t>
            </w:r>
          </w:p>
        </w:tc>
      </w:tr>
      <w:tr>
        <w:trPr>
          <w:trHeight w:val="133"/>
        </w:trPr>
        <w:tc>
          <w:tcPr>
            <w:tcW w:w="5420" w:type="dxa"/>
            <w:vAlign w:val="bottom"/>
            <w:tcBorders>
              <w:bottom w:val="single" w:sz="8" w:color="CCEEFF"/>
            </w:tcBorders>
          </w:tcPr>
          <w:p>
            <w:pPr>
              <w:ind w:left="120"/>
              <w:spacing w:after="0" w:line="133" w:lineRule="exact"/>
              <w:rPr>
                <w:sz w:val="20"/>
                <w:szCs w:val="20"/>
                <w:color w:val="auto"/>
              </w:rPr>
            </w:pPr>
            <w:r>
              <w:rPr>
                <w:rFonts w:ascii="Times New Roman" w:cs="Times New Roman" w:eastAsia="Times New Roman" w:hAnsi="Times New Roman"/>
                <w:sz w:val="12"/>
                <w:szCs w:val="12"/>
                <w:color w:val="auto"/>
              </w:rPr>
              <w:t>Depreciation expense</w:t>
            </w:r>
          </w:p>
        </w:tc>
        <w:tc>
          <w:tcPr>
            <w:tcW w:w="80" w:type="dxa"/>
            <w:vAlign w:val="bottom"/>
            <w:tcBorders>
              <w:top w:val="single" w:sz="8" w:color="auto"/>
              <w:bottom w:val="single" w:sz="8" w:color="auto"/>
            </w:tcBorders>
          </w:tcPr>
          <w:p>
            <w:pPr>
              <w:spacing w:after="0"/>
              <w:rPr>
                <w:sz w:val="11"/>
                <w:szCs w:val="11"/>
                <w:color w:val="auto"/>
              </w:rPr>
            </w:pPr>
          </w:p>
        </w:tc>
        <w:tc>
          <w:tcPr>
            <w:tcW w:w="620" w:type="dxa"/>
            <w:vAlign w:val="bottom"/>
            <w:tcBorders>
              <w:top w:val="single" w:sz="8" w:color="auto"/>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133</w:t>
            </w:r>
          </w:p>
        </w:tc>
        <w:tc>
          <w:tcPr>
            <w:tcW w:w="340" w:type="dxa"/>
            <w:vAlign w:val="bottom"/>
            <w:tcBorders>
              <w:bottom w:val="single" w:sz="8" w:color="CCEEFF"/>
            </w:tcBorders>
          </w:tcPr>
          <w:p>
            <w:pPr>
              <w:spacing w:after="0"/>
              <w:rPr>
                <w:sz w:val="11"/>
                <w:szCs w:val="11"/>
                <w:color w:val="auto"/>
              </w:rPr>
            </w:pPr>
          </w:p>
        </w:tc>
        <w:tc>
          <w:tcPr>
            <w:tcW w:w="120" w:type="dxa"/>
            <w:vAlign w:val="bottom"/>
            <w:tcBorders>
              <w:top w:val="single" w:sz="8" w:color="auto"/>
              <w:bottom w:val="single" w:sz="8" w:color="auto"/>
            </w:tcBorders>
          </w:tcPr>
          <w:p>
            <w:pPr>
              <w:spacing w:after="0"/>
              <w:rPr>
                <w:sz w:val="11"/>
                <w:szCs w:val="11"/>
                <w:color w:val="auto"/>
              </w:rPr>
            </w:pPr>
          </w:p>
        </w:tc>
        <w:tc>
          <w:tcPr>
            <w:tcW w:w="560" w:type="dxa"/>
            <w:vAlign w:val="bottom"/>
            <w:tcBorders>
              <w:top w:val="single" w:sz="8" w:color="auto"/>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7</w:t>
            </w:r>
          </w:p>
        </w:tc>
        <w:tc>
          <w:tcPr>
            <w:tcW w:w="360" w:type="dxa"/>
            <w:vAlign w:val="bottom"/>
            <w:tcBorders>
              <w:bottom w:val="single" w:sz="8" w:color="CCEEFF"/>
            </w:tcBorders>
          </w:tcPr>
          <w:p>
            <w:pPr>
              <w:spacing w:after="0"/>
              <w:rPr>
                <w:sz w:val="11"/>
                <w:szCs w:val="11"/>
                <w:color w:val="auto"/>
              </w:rPr>
            </w:pPr>
          </w:p>
        </w:tc>
        <w:tc>
          <w:tcPr>
            <w:tcW w:w="780" w:type="dxa"/>
            <w:vAlign w:val="bottom"/>
            <w:tcBorders>
              <w:bottom w:val="single" w:sz="8" w:color="CCEEFF"/>
            </w:tcBorders>
          </w:tcPr>
          <w:p>
            <w:pPr>
              <w:spacing w:after="0"/>
              <w:rPr>
                <w:sz w:val="11"/>
                <w:szCs w:val="11"/>
                <w:color w:val="auto"/>
              </w:rPr>
            </w:pPr>
          </w:p>
        </w:tc>
        <w:tc>
          <w:tcPr>
            <w:tcW w:w="240" w:type="dxa"/>
            <w:vAlign w:val="bottom"/>
            <w:tcBorders>
              <w:bottom w:val="single" w:sz="8" w:color="CCEEFF"/>
            </w:tcBorders>
          </w:tcPr>
          <w:p>
            <w:pPr>
              <w:spacing w:after="0"/>
              <w:rPr>
                <w:sz w:val="11"/>
                <w:szCs w:val="11"/>
                <w:color w:val="auto"/>
              </w:rPr>
            </w:pPr>
          </w:p>
        </w:tc>
        <w:tc>
          <w:tcPr>
            <w:tcW w:w="300" w:type="dxa"/>
            <w:vAlign w:val="bottom"/>
            <w:tcBorders>
              <w:top w:val="single" w:sz="8" w:color="auto"/>
              <w:bottom w:val="single" w:sz="8" w:color="auto"/>
            </w:tcBorders>
          </w:tcPr>
          <w:p>
            <w:pPr>
              <w:spacing w:after="0"/>
              <w:rPr>
                <w:sz w:val="11"/>
                <w:szCs w:val="11"/>
                <w:color w:val="auto"/>
              </w:rPr>
            </w:pPr>
          </w:p>
        </w:tc>
        <w:tc>
          <w:tcPr>
            <w:tcW w:w="360" w:type="dxa"/>
            <w:vAlign w:val="bottom"/>
            <w:tcBorders>
              <w:top w:val="single" w:sz="8" w:color="auto"/>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w:t>
            </w:r>
          </w:p>
        </w:tc>
        <w:tc>
          <w:tcPr>
            <w:tcW w:w="340" w:type="dxa"/>
            <w:vAlign w:val="bottom"/>
            <w:tcBorders>
              <w:bottom w:val="single" w:sz="8" w:color="CCEEFF"/>
            </w:tcBorders>
          </w:tcPr>
          <w:p>
            <w:pPr>
              <w:spacing w:after="0"/>
              <w:rPr>
                <w:sz w:val="11"/>
                <w:szCs w:val="11"/>
                <w:color w:val="auto"/>
              </w:rPr>
            </w:pPr>
          </w:p>
        </w:tc>
        <w:tc>
          <w:tcPr>
            <w:tcW w:w="780" w:type="dxa"/>
            <w:vAlign w:val="bottom"/>
            <w:tcBorders>
              <w:bottom w:val="single" w:sz="8" w:color="CCEEFF"/>
            </w:tcBorders>
          </w:tcPr>
          <w:p>
            <w:pPr>
              <w:spacing w:after="0"/>
              <w:rPr>
                <w:sz w:val="11"/>
                <w:szCs w:val="11"/>
                <w:color w:val="auto"/>
              </w:rPr>
            </w:pPr>
          </w:p>
        </w:tc>
        <w:tc>
          <w:tcPr>
            <w:tcW w:w="220" w:type="dxa"/>
            <w:vAlign w:val="bottom"/>
            <w:tcBorders>
              <w:bottom w:val="single" w:sz="8" w:color="CCEEFF"/>
            </w:tcBorders>
          </w:tcPr>
          <w:p>
            <w:pPr>
              <w:spacing w:after="0"/>
              <w:rPr>
                <w:sz w:val="11"/>
                <w:szCs w:val="11"/>
                <w:color w:val="auto"/>
              </w:rPr>
            </w:pPr>
          </w:p>
        </w:tc>
        <w:tc>
          <w:tcPr>
            <w:tcW w:w="60" w:type="dxa"/>
            <w:vAlign w:val="bottom"/>
            <w:tcBorders>
              <w:top w:val="single" w:sz="8" w:color="auto"/>
              <w:bottom w:val="single" w:sz="8" w:color="auto"/>
            </w:tcBorders>
          </w:tcPr>
          <w:p>
            <w:pPr>
              <w:spacing w:after="0"/>
              <w:rPr>
                <w:sz w:val="11"/>
                <w:szCs w:val="11"/>
                <w:color w:val="auto"/>
              </w:rPr>
            </w:pPr>
          </w:p>
        </w:tc>
        <w:tc>
          <w:tcPr>
            <w:tcW w:w="620" w:type="dxa"/>
            <w:vAlign w:val="bottom"/>
            <w:tcBorders>
              <w:top w:val="single" w:sz="8" w:color="auto"/>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141</w:t>
            </w:r>
          </w:p>
        </w:tc>
        <w:tc>
          <w:tcPr>
            <w:tcW w:w="100" w:type="dxa"/>
            <w:vAlign w:val="bottom"/>
            <w:tcBorders>
              <w:bottom w:val="single" w:sz="8" w:color="CCEEFF"/>
            </w:tcBorders>
          </w:tcPr>
          <w:p>
            <w:pPr>
              <w:spacing w:after="0"/>
              <w:rPr>
                <w:sz w:val="11"/>
                <w:szCs w:val="11"/>
                <w:color w:val="auto"/>
              </w:rPr>
            </w:pPr>
          </w:p>
        </w:tc>
      </w:tr>
      <w:tr>
        <w:trPr>
          <w:trHeight w:val="133"/>
        </w:trPr>
        <w:tc>
          <w:tcPr>
            <w:tcW w:w="5420" w:type="dxa"/>
            <w:vAlign w:val="bottom"/>
            <w:shd w:val="clear" w:color="auto" w:fill="CCEEFF"/>
          </w:tcPr>
          <w:p>
            <w:pPr>
              <w:ind w:left="120"/>
              <w:spacing w:after="0" w:line="133" w:lineRule="exact"/>
              <w:rPr>
                <w:sz w:val="20"/>
                <w:szCs w:val="20"/>
                <w:color w:val="auto"/>
              </w:rPr>
            </w:pPr>
            <w:r>
              <w:rPr>
                <w:rFonts w:ascii="Times New Roman" w:cs="Times New Roman" w:eastAsia="Times New Roman" w:hAnsi="Times New Roman"/>
                <w:sz w:val="12"/>
                <w:szCs w:val="12"/>
                <w:color w:val="auto"/>
              </w:rPr>
              <w:t>Total operating expenses</w:t>
            </w:r>
          </w:p>
        </w:tc>
        <w:tc>
          <w:tcPr>
            <w:tcW w:w="80" w:type="dxa"/>
            <w:vAlign w:val="bottom"/>
            <w:tcBorders>
              <w:bottom w:val="single" w:sz="8" w:color="auto"/>
            </w:tcBorders>
            <w:shd w:val="clear" w:color="auto" w:fill="CCEEFF"/>
          </w:tcPr>
          <w:p>
            <w:pPr>
              <w:spacing w:after="0"/>
              <w:rPr>
                <w:sz w:val="11"/>
                <w:szCs w:val="11"/>
                <w:color w:val="auto"/>
              </w:rPr>
            </w:pPr>
          </w:p>
        </w:tc>
        <w:tc>
          <w:tcPr>
            <w:tcW w:w="620" w:type="dxa"/>
            <w:vAlign w:val="bottom"/>
            <w:tcBorders>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7,690</w:t>
            </w:r>
          </w:p>
        </w:tc>
        <w:tc>
          <w:tcPr>
            <w:tcW w:w="340" w:type="dxa"/>
            <w:vAlign w:val="bottom"/>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spacing w:after="0"/>
              <w:rPr>
                <w:sz w:val="11"/>
                <w:szCs w:val="11"/>
                <w:color w:val="auto"/>
              </w:rPr>
            </w:pPr>
          </w:p>
        </w:tc>
        <w:tc>
          <w:tcPr>
            <w:tcW w:w="560" w:type="dxa"/>
            <w:vAlign w:val="bottom"/>
            <w:tcBorders>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12,912</w:t>
            </w:r>
          </w:p>
        </w:tc>
        <w:tc>
          <w:tcPr>
            <w:tcW w:w="3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300" w:type="dxa"/>
            <w:vAlign w:val="bottom"/>
            <w:tcBorders>
              <w:bottom w:val="single" w:sz="8" w:color="auto"/>
            </w:tcBorders>
            <w:shd w:val="clear" w:color="auto" w:fill="CCEEFF"/>
          </w:tcPr>
          <w:p>
            <w:pPr>
              <w:spacing w:after="0"/>
              <w:rPr>
                <w:sz w:val="11"/>
                <w:szCs w:val="11"/>
                <w:color w:val="auto"/>
              </w:rPr>
            </w:pPr>
          </w:p>
        </w:tc>
        <w:tc>
          <w:tcPr>
            <w:tcW w:w="360" w:type="dxa"/>
            <w:vAlign w:val="bottom"/>
            <w:tcBorders>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w:t>
            </w:r>
          </w:p>
        </w:tc>
        <w:tc>
          <w:tcPr>
            <w:tcW w:w="3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0" w:type="dxa"/>
            <w:vAlign w:val="bottom"/>
            <w:tcBorders>
              <w:bottom w:val="single" w:sz="8" w:color="auto"/>
            </w:tcBorders>
            <w:shd w:val="clear" w:color="auto" w:fill="CCEEFF"/>
          </w:tcPr>
          <w:p>
            <w:pPr>
              <w:spacing w:after="0"/>
              <w:rPr>
                <w:sz w:val="11"/>
                <w:szCs w:val="11"/>
                <w:color w:val="auto"/>
              </w:rPr>
            </w:pPr>
          </w:p>
        </w:tc>
        <w:tc>
          <w:tcPr>
            <w:tcW w:w="620" w:type="dxa"/>
            <w:vAlign w:val="bottom"/>
            <w:tcBorders>
              <w:bottom w:val="single" w:sz="8" w:color="auto"/>
              <w:right w:val="single" w:sz="8" w:color="CCEEFF"/>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20,698</w:t>
            </w:r>
          </w:p>
        </w:tc>
        <w:tc>
          <w:tcPr>
            <w:tcW w:w="100" w:type="dxa"/>
            <w:vAlign w:val="bottom"/>
            <w:shd w:val="clear" w:color="auto" w:fill="CCEEFF"/>
          </w:tcPr>
          <w:p>
            <w:pPr>
              <w:spacing w:after="0"/>
              <w:rPr>
                <w:sz w:val="11"/>
                <w:szCs w:val="11"/>
                <w:color w:val="auto"/>
              </w:rPr>
            </w:pPr>
          </w:p>
        </w:tc>
      </w:tr>
      <w:tr>
        <w:trPr>
          <w:trHeight w:val="133"/>
        </w:trPr>
        <w:tc>
          <w:tcPr>
            <w:tcW w:w="5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53"/>
        </w:trPr>
        <w:tc>
          <w:tcPr>
            <w:tcW w:w="54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Operating Income (loss)</w:t>
            </w:r>
          </w:p>
        </w:tc>
        <w:tc>
          <w:tcPr>
            <w:tcW w:w="8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258"/>
              <w:spacing w:after="0"/>
              <w:rPr>
                <w:sz w:val="20"/>
                <w:szCs w:val="20"/>
                <w:color w:val="auto"/>
              </w:rPr>
            </w:pPr>
            <w:r>
              <w:rPr>
                <w:rFonts w:ascii="Times New Roman" w:cs="Times New Roman" w:eastAsia="Times New Roman" w:hAnsi="Times New Roman"/>
                <w:sz w:val="12"/>
                <w:szCs w:val="12"/>
                <w:color w:val="auto"/>
              </w:rPr>
              <w:t>(1,232)</w:t>
            </w:r>
          </w:p>
        </w:tc>
        <w:tc>
          <w:tcPr>
            <w:tcW w:w="12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278"/>
              <w:spacing w:after="0"/>
              <w:rPr>
                <w:sz w:val="20"/>
                <w:szCs w:val="20"/>
                <w:color w:val="auto"/>
              </w:rPr>
            </w:pPr>
            <w:r>
              <w:rPr>
                <w:rFonts w:ascii="Times New Roman" w:cs="Times New Roman" w:eastAsia="Times New Roman" w:hAnsi="Times New Roman"/>
                <w:sz w:val="12"/>
                <w:szCs w:val="12"/>
                <w:color w:val="auto"/>
              </w:rPr>
              <w:t>(9,796)</w:t>
            </w:r>
          </w:p>
        </w:tc>
        <w:tc>
          <w:tcPr>
            <w:tcW w:w="7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2"/>
                <w:szCs w:val="12"/>
                <w:color w:val="auto"/>
              </w:rPr>
              <w:t>—</w:t>
            </w:r>
          </w:p>
        </w:tc>
        <w:tc>
          <w:tcPr>
            <w:tcW w:w="7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74"/>
              <w:spacing w:after="0"/>
              <w:rPr>
                <w:sz w:val="20"/>
                <w:szCs w:val="20"/>
                <w:color w:val="auto"/>
              </w:rPr>
            </w:pPr>
            <w:r>
              <w:rPr>
                <w:rFonts w:ascii="Times New Roman" w:cs="Times New Roman" w:eastAsia="Times New Roman" w:hAnsi="Times New Roman"/>
                <w:sz w:val="12"/>
                <w:szCs w:val="12"/>
                <w:color w:val="auto"/>
              </w:rPr>
              <w:t>(11,028)</w:t>
            </w:r>
          </w:p>
        </w:tc>
      </w:tr>
      <w:tr>
        <w:trPr>
          <w:trHeight w:val="133"/>
        </w:trPr>
        <w:tc>
          <w:tcPr>
            <w:tcW w:w="542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3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360" w:type="dxa"/>
            <w:vAlign w:val="bottom"/>
            <w:tcBorders>
              <w:top w:val="single" w:sz="8" w:color="auto"/>
            </w:tcBorders>
          </w:tcPr>
          <w:p>
            <w:pPr>
              <w:spacing w:after="0"/>
              <w:rPr>
                <w:sz w:val="11"/>
                <w:szCs w:val="11"/>
                <w:color w:val="auto"/>
              </w:rPr>
            </w:pPr>
          </w:p>
        </w:tc>
        <w:tc>
          <w:tcPr>
            <w:tcW w:w="3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r>
      <w:tr>
        <w:trPr>
          <w:trHeight w:val="144"/>
        </w:trPr>
        <w:tc>
          <w:tcPr>
            <w:tcW w:w="54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Other expenses (income):</w:t>
            </w: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2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53"/>
        </w:trPr>
        <w:tc>
          <w:tcPr>
            <w:tcW w:w="542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Total other expenses (income), net</w:t>
            </w:r>
          </w:p>
        </w:tc>
        <w:tc>
          <w:tcPr>
            <w:tcW w:w="80" w:type="dxa"/>
            <w:vAlign w:val="bottom"/>
          </w:tcPr>
          <w:p>
            <w:pPr>
              <w:spacing w:after="0"/>
              <w:rPr>
                <w:sz w:val="13"/>
                <w:szCs w:val="13"/>
                <w:color w:val="auto"/>
              </w:rPr>
            </w:pPr>
          </w:p>
        </w:tc>
        <w:tc>
          <w:tcPr>
            <w:tcW w:w="960" w:type="dxa"/>
            <w:vAlign w:val="bottom"/>
            <w:gridSpan w:val="2"/>
          </w:tcPr>
          <w:p>
            <w:pPr>
              <w:jc w:val="right"/>
              <w:ind w:right="298"/>
              <w:spacing w:after="0"/>
              <w:rPr>
                <w:sz w:val="20"/>
                <w:szCs w:val="20"/>
                <w:color w:val="auto"/>
              </w:rPr>
            </w:pPr>
            <w:r>
              <w:rPr>
                <w:rFonts w:ascii="Times New Roman" w:cs="Times New Roman" w:eastAsia="Times New Roman" w:hAnsi="Times New Roman"/>
                <w:sz w:val="12"/>
                <w:szCs w:val="12"/>
                <w:color w:val="auto"/>
              </w:rPr>
              <w:t>51</w:t>
            </w:r>
          </w:p>
        </w:tc>
        <w:tc>
          <w:tcPr>
            <w:tcW w:w="120" w:type="dxa"/>
            <w:vAlign w:val="bottom"/>
          </w:tcPr>
          <w:p>
            <w:pPr>
              <w:spacing w:after="0"/>
              <w:rPr>
                <w:sz w:val="13"/>
                <w:szCs w:val="13"/>
                <w:color w:val="auto"/>
              </w:rPr>
            </w:pPr>
          </w:p>
        </w:tc>
        <w:tc>
          <w:tcPr>
            <w:tcW w:w="920" w:type="dxa"/>
            <w:vAlign w:val="bottom"/>
            <w:gridSpan w:val="2"/>
          </w:tcPr>
          <w:p>
            <w:pPr>
              <w:jc w:val="right"/>
              <w:ind w:right="318"/>
              <w:spacing w:after="0"/>
              <w:rPr>
                <w:sz w:val="20"/>
                <w:szCs w:val="20"/>
                <w:color w:val="auto"/>
              </w:rPr>
            </w:pPr>
            <w:r>
              <w:rPr>
                <w:rFonts w:ascii="Times New Roman" w:cs="Times New Roman" w:eastAsia="Times New Roman" w:hAnsi="Times New Roman"/>
                <w:sz w:val="12"/>
                <w:szCs w:val="12"/>
                <w:color w:val="auto"/>
              </w:rPr>
              <w:t>4,611</w:t>
            </w:r>
          </w:p>
        </w:tc>
        <w:tc>
          <w:tcPr>
            <w:tcW w:w="7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gridSpan w:val="2"/>
          </w:tcPr>
          <w:p>
            <w:pPr>
              <w:jc w:val="right"/>
              <w:ind w:right="340"/>
              <w:spacing w:after="0"/>
              <w:rPr>
                <w:sz w:val="20"/>
                <w:szCs w:val="20"/>
                <w:color w:val="auto"/>
              </w:rPr>
            </w:pPr>
            <w:r>
              <w:rPr>
                <w:rFonts w:ascii="Times New Roman" w:cs="Times New Roman" w:eastAsia="Times New Roman" w:hAnsi="Times New Roman"/>
                <w:sz w:val="12"/>
                <w:szCs w:val="12"/>
                <w:color w:val="auto"/>
              </w:rPr>
              <w:t>—</w:t>
            </w:r>
          </w:p>
        </w:tc>
        <w:tc>
          <w:tcPr>
            <w:tcW w:w="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4,662</w:t>
            </w:r>
          </w:p>
        </w:tc>
        <w:tc>
          <w:tcPr>
            <w:tcW w:w="100" w:type="dxa"/>
            <w:vAlign w:val="bottom"/>
          </w:tcPr>
          <w:p>
            <w:pPr>
              <w:spacing w:after="0"/>
              <w:rPr>
                <w:sz w:val="13"/>
                <w:szCs w:val="13"/>
                <w:color w:val="auto"/>
              </w:rPr>
            </w:pPr>
          </w:p>
        </w:tc>
      </w:tr>
      <w:tr>
        <w:trPr>
          <w:trHeight w:val="133"/>
        </w:trPr>
        <w:tc>
          <w:tcPr>
            <w:tcW w:w="5420" w:type="dxa"/>
            <w:vAlign w:val="bottom"/>
            <w:tcBorders>
              <w:top w:val="single" w:sz="8" w:color="CCEEFF"/>
            </w:tcBorders>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Loss before income taxes</w:t>
            </w:r>
          </w:p>
        </w:tc>
        <w:tc>
          <w:tcPr>
            <w:tcW w:w="80" w:type="dxa"/>
            <w:vAlign w:val="bottom"/>
            <w:tcBorders>
              <w:top w:val="single" w:sz="8" w:color="auto"/>
              <w:bottom w:val="single" w:sz="8" w:color="auto"/>
            </w:tcBorders>
            <w:shd w:val="clear" w:color="auto" w:fill="CCEEFF"/>
          </w:tcPr>
          <w:p>
            <w:pPr>
              <w:spacing w:after="0"/>
              <w:rPr>
                <w:sz w:val="11"/>
                <w:szCs w:val="11"/>
                <w:color w:val="auto"/>
              </w:rPr>
            </w:pPr>
          </w:p>
        </w:tc>
        <w:tc>
          <w:tcPr>
            <w:tcW w:w="62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(1,283)</w:t>
            </w:r>
          </w:p>
        </w:tc>
        <w:tc>
          <w:tcPr>
            <w:tcW w:w="34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bottom w:val="single" w:sz="8" w:color="auto"/>
            </w:tcBorders>
            <w:shd w:val="clear" w:color="auto" w:fill="CCEEFF"/>
          </w:tcPr>
          <w:p>
            <w:pPr>
              <w:spacing w:after="0"/>
              <w:rPr>
                <w:sz w:val="11"/>
                <w:szCs w:val="11"/>
                <w:color w:val="auto"/>
              </w:rPr>
            </w:pPr>
          </w:p>
        </w:tc>
        <w:tc>
          <w:tcPr>
            <w:tcW w:w="56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(14,406)</w:t>
            </w:r>
          </w:p>
        </w:tc>
        <w:tc>
          <w:tcPr>
            <w:tcW w:w="360" w:type="dxa"/>
            <w:vAlign w:val="bottom"/>
            <w:tcBorders>
              <w:top w:val="single" w:sz="8" w:color="CCEEFF"/>
            </w:tcBorders>
            <w:shd w:val="clear" w:color="auto" w:fill="CCEEFF"/>
          </w:tcPr>
          <w:p>
            <w:pPr>
              <w:spacing w:after="0"/>
              <w:rPr>
                <w:sz w:val="11"/>
                <w:szCs w:val="11"/>
                <w:color w:val="auto"/>
              </w:rPr>
            </w:pPr>
          </w:p>
        </w:tc>
        <w:tc>
          <w:tcPr>
            <w:tcW w:w="780" w:type="dxa"/>
            <w:vAlign w:val="bottom"/>
            <w:tcBorders>
              <w:top w:val="single" w:sz="8" w:color="CCEEFF"/>
            </w:tcBorders>
            <w:shd w:val="clear" w:color="auto" w:fill="CCEEFF"/>
          </w:tcPr>
          <w:p>
            <w:pPr>
              <w:spacing w:after="0"/>
              <w:rPr>
                <w:sz w:val="11"/>
                <w:szCs w:val="11"/>
                <w:color w:val="auto"/>
              </w:rPr>
            </w:pPr>
          </w:p>
        </w:tc>
        <w:tc>
          <w:tcPr>
            <w:tcW w:w="240" w:type="dxa"/>
            <w:vAlign w:val="bottom"/>
            <w:tcBorders>
              <w:top w:val="single" w:sz="8" w:color="CCEEFF"/>
            </w:tcBorders>
            <w:shd w:val="clear" w:color="auto" w:fill="CCEEFF"/>
          </w:tcPr>
          <w:p>
            <w:pPr>
              <w:spacing w:after="0"/>
              <w:rPr>
                <w:sz w:val="11"/>
                <w:szCs w:val="11"/>
                <w:color w:val="auto"/>
              </w:rPr>
            </w:pPr>
          </w:p>
        </w:tc>
        <w:tc>
          <w:tcPr>
            <w:tcW w:w="300" w:type="dxa"/>
            <w:vAlign w:val="bottom"/>
            <w:tcBorders>
              <w:top w:val="single" w:sz="8" w:color="auto"/>
              <w:bottom w:val="single" w:sz="8" w:color="auto"/>
            </w:tcBorders>
            <w:shd w:val="clear" w:color="auto" w:fill="CCEEFF"/>
          </w:tcPr>
          <w:p>
            <w:pPr>
              <w:spacing w:after="0"/>
              <w:rPr>
                <w:sz w:val="11"/>
                <w:szCs w:val="11"/>
                <w:color w:val="auto"/>
              </w:rPr>
            </w:pPr>
          </w:p>
        </w:tc>
        <w:tc>
          <w:tcPr>
            <w:tcW w:w="36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w:t>
            </w:r>
          </w:p>
        </w:tc>
        <w:tc>
          <w:tcPr>
            <w:tcW w:w="340" w:type="dxa"/>
            <w:vAlign w:val="bottom"/>
            <w:tcBorders>
              <w:top w:val="single" w:sz="8" w:color="CCEEFF"/>
            </w:tcBorders>
            <w:shd w:val="clear" w:color="auto" w:fill="CCEEFF"/>
          </w:tcPr>
          <w:p>
            <w:pPr>
              <w:spacing w:after="0"/>
              <w:rPr>
                <w:sz w:val="11"/>
                <w:szCs w:val="11"/>
                <w:color w:val="auto"/>
              </w:rPr>
            </w:pPr>
          </w:p>
        </w:tc>
        <w:tc>
          <w:tcPr>
            <w:tcW w:w="780" w:type="dxa"/>
            <w:vAlign w:val="bottom"/>
            <w:tcBorders>
              <w:top w:val="single" w:sz="8" w:color="CCEEFF"/>
            </w:tcBorders>
            <w:shd w:val="clear" w:color="auto" w:fill="CCEEFF"/>
          </w:tcPr>
          <w:p>
            <w:pPr>
              <w:spacing w:after="0"/>
              <w:rPr>
                <w:sz w:val="11"/>
                <w:szCs w:val="11"/>
                <w:color w:val="auto"/>
              </w:rPr>
            </w:pPr>
          </w:p>
        </w:tc>
        <w:tc>
          <w:tcPr>
            <w:tcW w:w="22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bottom w:val="single" w:sz="8" w:color="auto"/>
            </w:tcBorders>
            <w:shd w:val="clear" w:color="auto" w:fill="CCEEFF"/>
          </w:tcPr>
          <w:p>
            <w:pPr>
              <w:spacing w:after="0"/>
              <w:rPr>
                <w:sz w:val="11"/>
                <w:szCs w:val="11"/>
                <w:color w:val="auto"/>
              </w:rPr>
            </w:pPr>
          </w:p>
        </w:tc>
        <w:tc>
          <w:tcPr>
            <w:tcW w:w="620" w:type="dxa"/>
            <w:vAlign w:val="bottom"/>
            <w:tcBorders>
              <w:top w:val="single" w:sz="8" w:color="auto"/>
              <w:bottom w:val="single" w:sz="8" w:color="auto"/>
              <w:right w:val="single" w:sz="8" w:color="CCEEFF"/>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(15,690)</w:t>
            </w:r>
          </w:p>
        </w:tc>
        <w:tc>
          <w:tcPr>
            <w:tcW w:w="100" w:type="dxa"/>
            <w:vAlign w:val="bottom"/>
            <w:tcBorders>
              <w:top w:val="single" w:sz="8" w:color="CCEEFF"/>
            </w:tcBorders>
            <w:shd w:val="clear" w:color="auto" w:fill="CCEEFF"/>
          </w:tcPr>
          <w:p>
            <w:pPr>
              <w:spacing w:after="0"/>
              <w:rPr>
                <w:sz w:val="11"/>
                <w:szCs w:val="11"/>
                <w:color w:val="auto"/>
              </w:rPr>
            </w:pPr>
          </w:p>
        </w:tc>
      </w:tr>
      <w:tr>
        <w:trPr>
          <w:trHeight w:val="133"/>
        </w:trPr>
        <w:tc>
          <w:tcPr>
            <w:tcW w:w="5420" w:type="dxa"/>
            <w:vAlign w:val="bottom"/>
            <w:tcBorders>
              <w:bottom w:val="single" w:sz="8" w:color="CCEEFF"/>
            </w:tcBorders>
          </w:tcPr>
          <w:p>
            <w:pPr>
              <w:ind w:left="120"/>
              <w:spacing w:after="0" w:line="133" w:lineRule="exact"/>
              <w:rPr>
                <w:sz w:val="20"/>
                <w:szCs w:val="20"/>
                <w:color w:val="auto"/>
              </w:rPr>
            </w:pPr>
            <w:r>
              <w:rPr>
                <w:rFonts w:ascii="Times New Roman" w:cs="Times New Roman" w:eastAsia="Times New Roman" w:hAnsi="Times New Roman"/>
                <w:sz w:val="12"/>
                <w:szCs w:val="12"/>
                <w:color w:val="auto"/>
              </w:rPr>
              <w:t>Income tax expense</w:t>
            </w:r>
          </w:p>
        </w:tc>
        <w:tc>
          <w:tcPr>
            <w:tcW w:w="8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w:t>
            </w:r>
          </w:p>
        </w:tc>
        <w:tc>
          <w:tcPr>
            <w:tcW w:w="34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w:t>
            </w:r>
          </w:p>
        </w:tc>
        <w:tc>
          <w:tcPr>
            <w:tcW w:w="360" w:type="dxa"/>
            <w:vAlign w:val="bottom"/>
            <w:tcBorders>
              <w:bottom w:val="single" w:sz="8" w:color="CCEEFF"/>
            </w:tcBorders>
          </w:tcPr>
          <w:p>
            <w:pPr>
              <w:spacing w:after="0"/>
              <w:rPr>
                <w:sz w:val="11"/>
                <w:szCs w:val="11"/>
                <w:color w:val="auto"/>
              </w:rPr>
            </w:pPr>
          </w:p>
        </w:tc>
        <w:tc>
          <w:tcPr>
            <w:tcW w:w="1020" w:type="dxa"/>
            <w:vAlign w:val="bottom"/>
            <w:tcBorders>
              <w:bottom w:val="single" w:sz="8" w:color="CCEEFF"/>
            </w:tcBorders>
            <w:gridSpan w:val="2"/>
          </w:tcPr>
          <w:p>
            <w:pPr>
              <w:jc w:val="center"/>
              <w:ind w:right="220"/>
              <w:spacing w:after="0" w:line="133" w:lineRule="exact"/>
              <w:rPr>
                <w:sz w:val="20"/>
                <w:szCs w:val="20"/>
                <w:color w:val="auto"/>
              </w:rPr>
            </w:pPr>
            <w:r>
              <w:rPr>
                <w:rFonts w:ascii="Times New Roman" w:cs="Times New Roman" w:eastAsia="Times New Roman" w:hAnsi="Times New Roman"/>
                <w:sz w:val="12"/>
                <w:szCs w:val="12"/>
                <w:color w:val="auto"/>
                <w:w w:val="99"/>
              </w:rPr>
              <w:t>(CC)</w:t>
            </w:r>
          </w:p>
        </w:tc>
        <w:tc>
          <w:tcPr>
            <w:tcW w:w="30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w:t>
            </w:r>
          </w:p>
        </w:tc>
        <w:tc>
          <w:tcPr>
            <w:tcW w:w="340" w:type="dxa"/>
            <w:vAlign w:val="bottom"/>
            <w:tcBorders>
              <w:bottom w:val="single" w:sz="8" w:color="CCEEFF"/>
            </w:tcBorders>
          </w:tcPr>
          <w:p>
            <w:pPr>
              <w:spacing w:after="0"/>
              <w:rPr>
                <w:sz w:val="11"/>
                <w:szCs w:val="11"/>
                <w:color w:val="auto"/>
              </w:rPr>
            </w:pPr>
          </w:p>
        </w:tc>
        <w:tc>
          <w:tcPr>
            <w:tcW w:w="1000" w:type="dxa"/>
            <w:vAlign w:val="bottom"/>
            <w:tcBorders>
              <w:bottom w:val="single" w:sz="8" w:color="CCEEFF"/>
            </w:tcBorders>
            <w:gridSpan w:val="2"/>
          </w:tcPr>
          <w:p>
            <w:pPr>
              <w:jc w:val="center"/>
              <w:ind w:right="220"/>
              <w:spacing w:after="0" w:line="133" w:lineRule="exact"/>
              <w:rPr>
                <w:sz w:val="20"/>
                <w:szCs w:val="20"/>
                <w:color w:val="auto"/>
              </w:rPr>
            </w:pPr>
            <w:r>
              <w:rPr>
                <w:rFonts w:ascii="Times New Roman" w:cs="Times New Roman" w:eastAsia="Times New Roman" w:hAnsi="Times New Roman"/>
                <w:sz w:val="12"/>
                <w:szCs w:val="12"/>
                <w:color w:val="auto"/>
              </w:rPr>
              <w:t>(DD)</w:t>
            </w:r>
          </w:p>
        </w:tc>
        <w:tc>
          <w:tcPr>
            <w:tcW w:w="6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tcBorders>
              <w:bottom w:val="single" w:sz="8" w:color="CCEEFF"/>
            </w:tcBorders>
          </w:tcPr>
          <w:p>
            <w:pPr>
              <w:spacing w:after="0"/>
              <w:rPr>
                <w:sz w:val="11"/>
                <w:szCs w:val="11"/>
                <w:color w:val="auto"/>
              </w:rPr>
            </w:pPr>
          </w:p>
        </w:tc>
      </w:tr>
      <w:tr>
        <w:trPr>
          <w:trHeight w:val="149"/>
        </w:trPr>
        <w:tc>
          <w:tcPr>
            <w:tcW w:w="5420" w:type="dxa"/>
            <w:vAlign w:val="bottom"/>
            <w:tcBorders>
              <w:bottom w:val="single" w:sz="8" w:color="CCEEFF"/>
            </w:tcBorders>
            <w:shd w:val="clear" w:color="auto" w:fill="CCEEFF"/>
          </w:tcPr>
          <w:p>
            <w:pPr>
              <w:spacing w:after="0" w:line="135" w:lineRule="exact"/>
              <w:rPr>
                <w:sz w:val="20"/>
                <w:szCs w:val="20"/>
                <w:color w:val="auto"/>
              </w:rPr>
            </w:pPr>
            <w:r>
              <w:rPr>
                <w:rFonts w:ascii="Times New Roman" w:cs="Times New Roman" w:eastAsia="Times New Roman" w:hAnsi="Times New Roman"/>
                <w:sz w:val="12"/>
                <w:szCs w:val="12"/>
                <w:color w:val="auto"/>
              </w:rPr>
              <w:t>Net income (loss)</w:t>
            </w: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(1,283</w:t>
            </w:r>
          </w:p>
        </w:tc>
        <w:tc>
          <w:tcPr>
            <w:tcW w:w="340" w:type="dxa"/>
            <w:vAlign w:val="bottom"/>
            <w:tcBorders>
              <w:bottom w:val="single" w:sz="8" w:color="CCEEFF"/>
            </w:tcBorders>
            <w:shd w:val="clear" w:color="auto" w:fill="CCEEFF"/>
          </w:tcPr>
          <w:p>
            <w:pPr>
              <w:jc w:val="right"/>
              <w:ind w:right="258"/>
              <w:spacing w:after="0"/>
              <w:rPr>
                <w:sz w:val="20"/>
                <w:szCs w:val="20"/>
                <w:color w:val="auto"/>
              </w:rPr>
            </w:pPr>
            <w:r>
              <w:rPr>
                <w:rFonts w:ascii="Times New Roman" w:cs="Times New Roman" w:eastAsia="Times New Roman" w:hAnsi="Times New Roman"/>
                <w:sz w:val="8"/>
                <w:szCs w:val="8"/>
                <w:color w:val="auto"/>
                <w:w w:val="73"/>
              </w:rPr>
              <w:t>)</w:t>
            </w:r>
          </w:p>
        </w:tc>
        <w:tc>
          <w:tcPr>
            <w:tcW w:w="120" w:type="dxa"/>
            <w:vAlign w:val="bottom"/>
            <w:tcBorders>
              <w:bottom w:val="single" w:sz="8" w:color="auto"/>
            </w:tcBorders>
            <w:shd w:val="clear" w:color="auto" w:fill="CCEEFF"/>
          </w:tcPr>
          <w:p>
            <w:pPr>
              <w:jc w:val="right"/>
              <w:ind w:right="5"/>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(14,406</w:t>
            </w:r>
          </w:p>
        </w:tc>
        <w:tc>
          <w:tcPr>
            <w:tcW w:w="360" w:type="dxa"/>
            <w:vAlign w:val="bottom"/>
            <w:tcBorders>
              <w:bottom w:val="single" w:sz="8" w:color="CCEEFF"/>
            </w:tcBorders>
            <w:shd w:val="clear" w:color="auto" w:fill="CCEEFF"/>
          </w:tcPr>
          <w:p>
            <w:pPr>
              <w:jc w:val="right"/>
              <w:ind w:right="278"/>
              <w:spacing w:after="0"/>
              <w:rPr>
                <w:sz w:val="20"/>
                <w:szCs w:val="20"/>
                <w:color w:val="auto"/>
              </w:rPr>
            </w:pPr>
            <w:r>
              <w:rPr>
                <w:rFonts w:ascii="Times New Roman" w:cs="Times New Roman" w:eastAsia="Times New Roman" w:hAnsi="Times New Roman"/>
                <w:sz w:val="8"/>
                <w:szCs w:val="8"/>
                <w:color w:val="auto"/>
                <w:w w:val="73"/>
              </w:rPr>
              <w:t>)</w:t>
            </w:r>
          </w:p>
        </w:tc>
        <w:tc>
          <w:tcPr>
            <w:tcW w:w="780" w:type="dxa"/>
            <w:vAlign w:val="bottom"/>
            <w:tcBorders>
              <w:bottom w:val="single" w:sz="8" w:color="CCEEFF"/>
            </w:tcBorders>
            <w:shd w:val="clear" w:color="auto" w:fill="CCEEFF"/>
          </w:tcPr>
          <w:p>
            <w:pPr>
              <w:spacing w:after="0"/>
              <w:rPr>
                <w:sz w:val="12"/>
                <w:szCs w:val="12"/>
                <w:color w:val="auto"/>
              </w:rPr>
            </w:pPr>
          </w:p>
        </w:tc>
        <w:tc>
          <w:tcPr>
            <w:tcW w:w="240" w:type="dxa"/>
            <w:vAlign w:val="bottom"/>
            <w:tcBorders>
              <w:bottom w:val="single" w:sz="8" w:color="CCEEFF"/>
            </w:tcBorders>
            <w:shd w:val="clear" w:color="auto" w:fill="CCEEFF"/>
          </w:tcPr>
          <w:p>
            <w:pPr>
              <w:spacing w:after="0"/>
              <w:rPr>
                <w:sz w:val="12"/>
                <w:szCs w:val="12"/>
                <w:color w:val="auto"/>
              </w:rPr>
            </w:pPr>
          </w:p>
        </w:tc>
        <w:tc>
          <w:tcPr>
            <w:tcW w:w="300" w:type="dxa"/>
            <w:vAlign w:val="bottom"/>
            <w:tcBorders>
              <w:bottom w:val="single" w:sz="8" w:color="auto"/>
            </w:tcBorders>
            <w:shd w:val="clear" w:color="auto" w:fill="CCEEFF"/>
          </w:tcPr>
          <w:p>
            <w:pPr>
              <w:jc w:val="right"/>
              <w:ind w:right="183"/>
              <w:spacing w:after="0"/>
              <w:rPr>
                <w:sz w:val="20"/>
                <w:szCs w:val="20"/>
                <w:color w:val="auto"/>
              </w:rPr>
            </w:pPr>
            <w:r>
              <w:rPr>
                <w:rFonts w:ascii="Times New Roman" w:cs="Times New Roman" w:eastAsia="Times New Roman" w:hAnsi="Times New Roman"/>
                <w:sz w:val="11"/>
                <w:szCs w:val="11"/>
                <w:color w:val="auto"/>
                <w:w w:val="71"/>
              </w:rPr>
              <w:t>$</w:t>
            </w: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340" w:type="dxa"/>
            <w:vAlign w:val="bottom"/>
            <w:tcBorders>
              <w:bottom w:val="single" w:sz="8" w:color="CCEEFF"/>
            </w:tcBorders>
            <w:shd w:val="clear" w:color="auto" w:fill="CCEEFF"/>
          </w:tcPr>
          <w:p>
            <w:pPr>
              <w:spacing w:after="0"/>
              <w:rPr>
                <w:sz w:val="12"/>
                <w:szCs w:val="12"/>
                <w:color w:val="auto"/>
              </w:rPr>
            </w:pPr>
          </w:p>
        </w:tc>
        <w:tc>
          <w:tcPr>
            <w:tcW w:w="780" w:type="dxa"/>
            <w:vAlign w:val="bottom"/>
            <w:tcBorders>
              <w:bottom w:val="single" w:sz="8" w:color="CCEEFF"/>
            </w:tcBorders>
            <w:shd w:val="clear" w:color="auto" w:fill="CCEEFF"/>
          </w:tcPr>
          <w:p>
            <w:pPr>
              <w:spacing w:after="0"/>
              <w:rPr>
                <w:sz w:val="12"/>
                <w:szCs w:val="12"/>
                <w:color w:val="auto"/>
              </w:rPr>
            </w:pPr>
          </w:p>
        </w:tc>
        <w:tc>
          <w:tcPr>
            <w:tcW w:w="22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(15,690</w:t>
            </w:r>
          </w:p>
        </w:tc>
        <w:tc>
          <w:tcPr>
            <w:tcW w:w="100" w:type="dxa"/>
            <w:vAlign w:val="bottom"/>
            <w:tcBorders>
              <w:bottom w:val="single" w:sz="8" w:color="CCEEFF"/>
            </w:tcBorders>
            <w:shd w:val="clear" w:color="auto" w:fill="CCEEFF"/>
          </w:tcPr>
          <w:p>
            <w:pPr>
              <w:jc w:val="right"/>
              <w:ind w:right="74"/>
              <w:spacing w:after="0"/>
              <w:rPr>
                <w:sz w:val="20"/>
                <w:szCs w:val="20"/>
                <w:color w:val="auto"/>
              </w:rPr>
            </w:pPr>
            <w:r>
              <w:rPr>
                <w:rFonts w:ascii="Times New Roman" w:cs="Times New Roman" w:eastAsia="Times New Roman" w:hAnsi="Times New Roman"/>
                <w:sz w:val="1"/>
                <w:szCs w:val="1"/>
                <w:color w:val="auto"/>
                <w:w w:val="4294967281"/>
              </w:rPr>
              <w:t>)</w:t>
            </w:r>
          </w:p>
        </w:tc>
      </w:tr>
      <w:tr>
        <w:trPr>
          <w:trHeight w:val="144"/>
        </w:trPr>
        <w:tc>
          <w:tcPr>
            <w:tcW w:w="5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4"/>
        </w:trPr>
        <w:tc>
          <w:tcPr>
            <w:tcW w:w="54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Net loss per share</w:t>
            </w: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2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44"/>
        </w:trPr>
        <w:tc>
          <w:tcPr>
            <w:tcW w:w="542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Basic and diluted</w:t>
            </w: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jc w:val="right"/>
              <w:ind w:right="5"/>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gridSpan w:val="2"/>
          </w:tcPr>
          <w:p>
            <w:pPr>
              <w:jc w:val="right"/>
              <w:ind w:right="278"/>
              <w:spacing w:after="0"/>
              <w:rPr>
                <w:sz w:val="20"/>
                <w:szCs w:val="20"/>
                <w:color w:val="auto"/>
              </w:rPr>
            </w:pPr>
            <w:r>
              <w:rPr>
                <w:rFonts w:ascii="Times New Roman" w:cs="Times New Roman" w:eastAsia="Times New Roman" w:hAnsi="Times New Roman"/>
                <w:sz w:val="12"/>
                <w:szCs w:val="12"/>
                <w:color w:val="auto"/>
              </w:rPr>
              <w:t>(6.00)</w:t>
            </w:r>
          </w:p>
        </w:tc>
        <w:tc>
          <w:tcPr>
            <w:tcW w:w="7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gridSpan w:val="2"/>
          </w:tcPr>
          <w:p>
            <w:pPr>
              <w:jc w:val="right"/>
              <w:ind w:right="74"/>
              <w:spacing w:after="0"/>
              <w:rPr>
                <w:sz w:val="20"/>
                <w:szCs w:val="20"/>
                <w:color w:val="auto"/>
              </w:rPr>
            </w:pPr>
            <w:r>
              <w:rPr>
                <w:rFonts w:ascii="Times New Roman" w:cs="Times New Roman" w:eastAsia="Times New Roman" w:hAnsi="Times New Roman"/>
                <w:sz w:val="12"/>
                <w:szCs w:val="12"/>
                <w:color w:val="auto"/>
              </w:rPr>
              <w:t>(6.53)</w:t>
            </w:r>
          </w:p>
        </w:tc>
      </w:tr>
      <w:tr>
        <w:trPr>
          <w:trHeight w:val="144"/>
        </w:trPr>
        <w:tc>
          <w:tcPr>
            <w:tcW w:w="54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Weighted average common shares outstanding</w:t>
            </w: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2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62"/>
        </w:trPr>
        <w:tc>
          <w:tcPr>
            <w:tcW w:w="542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Basic and diluted</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2"/>
          </w:tcPr>
          <w:p>
            <w:pPr>
              <w:jc w:val="right"/>
              <w:ind w:right="318"/>
              <w:spacing w:after="0"/>
              <w:rPr>
                <w:sz w:val="20"/>
                <w:szCs w:val="20"/>
                <w:color w:val="auto"/>
              </w:rPr>
            </w:pPr>
            <w:r>
              <w:rPr>
                <w:rFonts w:ascii="Times New Roman" w:cs="Times New Roman" w:eastAsia="Times New Roman" w:hAnsi="Times New Roman"/>
                <w:sz w:val="12"/>
                <w:szCs w:val="12"/>
                <w:color w:val="auto"/>
              </w:rPr>
              <w:t>2,402</w:t>
            </w:r>
          </w:p>
        </w:tc>
        <w:tc>
          <w:tcPr>
            <w:tcW w:w="7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2,402</w:t>
            </w:r>
          </w:p>
        </w:tc>
        <w:tc>
          <w:tcPr>
            <w:tcW w:w="100" w:type="dxa"/>
            <w:vAlign w:val="bottom"/>
          </w:tcPr>
          <w:p>
            <w:pPr>
              <w:spacing w:after="0"/>
              <w:rPr>
                <w:sz w:val="14"/>
                <w:szCs w:val="14"/>
                <w:color w:val="auto"/>
              </w:rPr>
            </w:pPr>
          </w:p>
        </w:tc>
      </w:tr>
      <w:tr>
        <w:trPr>
          <w:trHeight w:val="27"/>
        </w:trPr>
        <w:tc>
          <w:tcPr>
            <w:tcW w:w="542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360" w:type="dxa"/>
            <w:vAlign w:val="bottom"/>
          </w:tcPr>
          <w:p>
            <w:pPr>
              <w:spacing w:after="0"/>
              <w:rPr>
                <w:sz w:val="2"/>
                <w:szCs w:val="2"/>
                <w:color w:val="auto"/>
              </w:rPr>
            </w:pPr>
          </w:p>
        </w:tc>
        <w:tc>
          <w:tcPr>
            <w:tcW w:w="340" w:type="dxa"/>
            <w:vAlign w:val="bottom"/>
          </w:tcPr>
          <w:p>
            <w:pPr>
              <w:spacing w:after="0"/>
              <w:rPr>
                <w:sz w:val="2"/>
                <w:szCs w:val="2"/>
                <w:color w:val="auto"/>
              </w:rPr>
            </w:pPr>
          </w:p>
        </w:tc>
        <w:tc>
          <w:tcPr>
            <w:tcW w:w="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620" w:type="dxa"/>
            <w:vAlign w:val="bottom"/>
            <w:tcBorders>
              <w:right w:val="single" w:sz="8" w:color="auto"/>
            </w:tcBorders>
            <w:shd w:val="clear" w:color="auto" w:fill="000000"/>
          </w:tcPr>
          <w:p>
            <w:pPr>
              <w:spacing w:after="0"/>
              <w:rPr>
                <w:sz w:val="2"/>
                <w:szCs w:val="2"/>
                <w:color w:val="auto"/>
              </w:rPr>
            </w:pPr>
          </w:p>
        </w:tc>
        <w:tc>
          <w:tcPr>
            <w:tcW w:w="100" w:type="dxa"/>
            <w:vAlign w:val="bottom"/>
          </w:tcPr>
          <w:p>
            <w:pPr>
              <w:spacing w:after="0"/>
              <w:rPr>
                <w:sz w:val="2"/>
                <w:szCs w:val="2"/>
                <w:color w:val="auto"/>
              </w:rPr>
            </w:pPr>
          </w:p>
        </w:tc>
      </w:tr>
    </w:tbl>
    <w:p>
      <w:pPr>
        <w:spacing w:after="0" w:line="13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color w:val="auto"/>
        </w:rPr>
        <w:t>See Notes to Unaudited Pro Forma Condensed Combined Financial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193675</wp:posOffset>
            </wp:positionV>
            <wp:extent cx="7178040" cy="571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503" w:right="299" w:bottom="1440" w:gutter="0" w:footer="0" w:header="0"/>
        </w:sectPr>
      </w:pPr>
    </w:p>
    <w:bookmarkStart w:id="52" w:name="page53"/>
    <w:bookmarkEnd w:id="52"/>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NOTES TO UNAUDITED PRO FORMA CONDENSED COMBINED FINANCIAL INFORMATION</w:t>
      </w:r>
    </w:p>
    <w:p>
      <w:pPr>
        <w:spacing w:after="0" w:line="150" w:lineRule="exact"/>
        <w:rPr>
          <w:sz w:val="20"/>
          <w:szCs w:val="20"/>
          <w:color w:val="auto"/>
        </w:rPr>
      </w:pPr>
    </w:p>
    <w:p>
      <w:pPr>
        <w:ind w:left="428" w:hanging="428"/>
        <w:spacing w:after="0"/>
        <w:tabs>
          <w:tab w:leader="none" w:pos="428" w:val="left"/>
        </w:tabs>
        <w:numPr>
          <w:ilvl w:val="0"/>
          <w:numId w:val="17"/>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Basis of Presentation</w:t>
      </w:r>
    </w:p>
    <w:p>
      <w:pPr>
        <w:spacing w:after="0" w:line="154" w:lineRule="exact"/>
        <w:rPr>
          <w:sz w:val="20"/>
          <w:szCs w:val="20"/>
          <w:color w:val="auto"/>
        </w:rPr>
      </w:pPr>
    </w:p>
    <w:p>
      <w:pPr>
        <w:jc w:val="both"/>
        <w:ind w:left="8" w:right="20"/>
        <w:spacing w:after="0" w:line="265" w:lineRule="auto"/>
        <w:rPr>
          <w:sz w:val="20"/>
          <w:szCs w:val="20"/>
          <w:color w:val="auto"/>
        </w:rPr>
      </w:pPr>
      <w:r>
        <w:rPr>
          <w:rFonts w:ascii="Times New Roman" w:cs="Times New Roman" w:eastAsia="Times New Roman" w:hAnsi="Times New Roman"/>
          <w:sz w:val="12"/>
          <w:szCs w:val="12"/>
          <w:color w:val="auto"/>
        </w:rPr>
        <w:t>The unaudited pro forma condensed combined financial information has been prepared in accordance with accounting principles generally accepted in the United States of America (“GAAP”) and Article 11 of Regulation S-X. The accompanying pro forma financial information is based on the historical consolidated financial statements of Banzai and the historical consolidated financial statements of OpenReel after giving effect to the Acquisition as well as certain reclassifications (see Note 3).</w:t>
      </w:r>
    </w:p>
    <w:p>
      <w:pPr>
        <w:spacing w:after="0" w:line="119" w:lineRule="exact"/>
        <w:rPr>
          <w:sz w:val="20"/>
          <w:szCs w:val="20"/>
          <w:color w:val="auto"/>
        </w:rPr>
      </w:pPr>
    </w:p>
    <w:p>
      <w:pPr>
        <w:jc w:val="both"/>
        <w:ind w:left="8"/>
        <w:spacing w:after="0" w:line="254" w:lineRule="auto"/>
        <w:rPr>
          <w:sz w:val="20"/>
          <w:szCs w:val="20"/>
          <w:color w:val="auto"/>
        </w:rPr>
      </w:pPr>
      <w:r>
        <w:rPr>
          <w:rFonts w:ascii="Times New Roman" w:cs="Times New Roman" w:eastAsia="Times New Roman" w:hAnsi="Times New Roman"/>
          <w:sz w:val="12"/>
          <w:szCs w:val="12"/>
          <w:color w:val="auto"/>
        </w:rPr>
        <w:t>The pro forma financial information was prepared using the acquisition method of accounting in accordance with ASC 805 with Banzai as the acquirer of OpenReel. Under the acquisition method of accounting, Banzai recorded the preliminary estimated fair value of assets acquired and liabilities assumed from OpenReel upon acquisition, December 18, 2024. Fair value is defined in ASC 820, Fair Value Measurements and Disclosures (“ASC 820”) as “the price that would be received to sell an asset or paid to transfer a liability in an orderly transaction between market participants at the measurement date.” Fair value measurements can be highly subjective, and it is possible the application of reasonable judgment could result in different assumptions resulting in a range of alternative estimates using the same facts and circumstances. The preliminary allocation of the estimated purchase price is based upon management’s estimates based on information currently available and is subject to revision as a more detailed analysis is completed and additional information on the fair value of the assets and liabilities become available and final appraisals and analysis are completed. The Company is still evaluating the fair value intangible assets, and income taxes, in addition to ensuring all other assets and liabilities and contingencies have been identified and recorded. Differences between these preliminary estimates and the final acquisition accounting could occur and these differences could be material. A change in the fair value of the net assets of OpenReel may change the amount of the purchase price allocable to goodwill and could have a material impact on the accompanying unaudited pro forma condensed combined statements of operations.</w:t>
      </w:r>
    </w:p>
    <w:p>
      <w:pPr>
        <w:spacing w:after="0" w:line="128" w:lineRule="exact"/>
        <w:rPr>
          <w:sz w:val="20"/>
          <w:szCs w:val="20"/>
          <w:color w:val="auto"/>
        </w:rPr>
      </w:pPr>
    </w:p>
    <w:p>
      <w:pPr>
        <w:jc w:val="both"/>
        <w:ind w:left="8"/>
        <w:spacing w:after="0" w:line="265" w:lineRule="auto"/>
        <w:rPr>
          <w:sz w:val="20"/>
          <w:szCs w:val="20"/>
          <w:color w:val="auto"/>
        </w:rPr>
      </w:pPr>
      <w:r>
        <w:rPr>
          <w:rFonts w:ascii="Times New Roman" w:cs="Times New Roman" w:eastAsia="Times New Roman" w:hAnsi="Times New Roman"/>
          <w:sz w:val="12"/>
          <w:szCs w:val="12"/>
          <w:color w:val="auto"/>
        </w:rPr>
        <w:t>The unaudited pro forma condensed combined balance sheet, statements of operations for the nine months ended September 30, 2024, and fiscal year ended December 31, 2023, give pro forma effect to the Acquisition as if they had been consummated on January 1, 2023. Both Banzai’s and OpenReel’s fiscal year ends on December 31. The pro forma condensed combined financial information is presented on the basis of Banzai’s fiscal year and combines the historical results of the fiscal periods of Banzai and OpenReel.</w:t>
      </w:r>
    </w:p>
    <w:p>
      <w:pPr>
        <w:spacing w:after="0" w:line="119"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The unaudited pro forma condensed combined balance sheet as of the nine months ended September 30, 2024 has been prepared using, and should be read in conjunction with, the following:</w:t>
      </w:r>
    </w:p>
    <w:p>
      <w:pPr>
        <w:spacing w:after="0" w:line="150" w:lineRule="exact"/>
        <w:rPr>
          <w:sz w:val="20"/>
          <w:szCs w:val="20"/>
          <w:color w:val="auto"/>
        </w:rPr>
      </w:pPr>
    </w:p>
    <w:p>
      <w:pPr>
        <w:ind w:left="428" w:right="20" w:hanging="212"/>
        <w:spacing w:after="0" w:line="279" w:lineRule="auto"/>
        <w:tabs>
          <w:tab w:leader="none" w:pos="428" w:val="left"/>
        </w:tabs>
        <w:numPr>
          <w:ilvl w:val="0"/>
          <w:numId w:val="1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Banzai’s unaudited condensed consolidated balance sheet as of the nine months ended September 30, 2024, and the related notes as included in Banzai’s interim report on Form 10-Q for the nine months ended September 30, 2024; and</w:t>
      </w:r>
    </w:p>
    <w:p>
      <w:pPr>
        <w:spacing w:after="0" w:line="111" w:lineRule="exact"/>
        <w:rPr>
          <w:rFonts w:ascii="Times New Roman" w:cs="Times New Roman" w:eastAsia="Times New Roman" w:hAnsi="Times New Roman"/>
          <w:sz w:val="12"/>
          <w:szCs w:val="12"/>
          <w:color w:val="auto"/>
        </w:rPr>
      </w:pPr>
    </w:p>
    <w:p>
      <w:pPr>
        <w:ind w:left="428" w:hanging="212"/>
        <w:spacing w:after="0"/>
        <w:tabs>
          <w:tab w:leader="none" w:pos="428" w:val="left"/>
        </w:tabs>
        <w:numPr>
          <w:ilvl w:val="0"/>
          <w:numId w:val="1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OpenReel’s unaudited consolidated balance sheet data as of the nine months ended September 30, 2024, and the related notes as filed as an exhibit to this Current Report on Form 8-K/A.</w:t>
      </w:r>
    </w:p>
    <w:p>
      <w:pPr>
        <w:spacing w:after="0" w:line="150"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The unaudited pro forma condensed combined statement of operations for the nine months ended September 30, 2024 has been prepared using, and should be read in conjunction with, the following:</w:t>
      </w:r>
    </w:p>
    <w:p>
      <w:pPr>
        <w:spacing w:after="0" w:line="150" w:lineRule="exact"/>
        <w:rPr>
          <w:sz w:val="20"/>
          <w:szCs w:val="20"/>
          <w:color w:val="auto"/>
        </w:rPr>
      </w:pPr>
    </w:p>
    <w:p>
      <w:pPr>
        <w:ind w:left="428" w:hanging="212"/>
        <w:spacing w:after="0" w:line="279" w:lineRule="auto"/>
        <w:tabs>
          <w:tab w:leader="none" w:pos="428" w:val="left"/>
        </w:tabs>
        <w:numPr>
          <w:ilvl w:val="0"/>
          <w:numId w:val="1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Banzai’s unaudited condensed consolidated statement of operations for the nine months ended September 30, 2024, and the related notes as included in Banzai’s interim report on Form 10-Q for the nine months ended September 30, 2024; and</w:t>
      </w:r>
    </w:p>
    <w:p>
      <w:pPr>
        <w:spacing w:after="0" w:line="111" w:lineRule="exact"/>
        <w:rPr>
          <w:rFonts w:ascii="Times New Roman" w:cs="Times New Roman" w:eastAsia="Times New Roman" w:hAnsi="Times New Roman"/>
          <w:sz w:val="12"/>
          <w:szCs w:val="12"/>
          <w:color w:val="auto"/>
        </w:rPr>
      </w:pPr>
    </w:p>
    <w:p>
      <w:pPr>
        <w:ind w:left="428" w:hanging="212"/>
        <w:spacing w:after="0"/>
        <w:tabs>
          <w:tab w:leader="none" w:pos="428" w:val="left"/>
        </w:tabs>
        <w:numPr>
          <w:ilvl w:val="0"/>
          <w:numId w:val="1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OpenReel’s unaudited consolidated statement of operations data for the nine months ended September 30, 2024 and the related notes as filed as an exhibit to this Current Report on Form 8-K/A.</w:t>
      </w:r>
    </w:p>
    <w:p>
      <w:pPr>
        <w:spacing w:after="0" w:line="150"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The unaudited pro forma condensed combined balance sheet as of year ended December 31, 2023, has been prepared using, and should be read in conjunction with, the following:</w:t>
      </w:r>
    </w:p>
    <w:p>
      <w:pPr>
        <w:spacing w:after="0" w:line="150" w:lineRule="exact"/>
        <w:rPr>
          <w:sz w:val="20"/>
          <w:szCs w:val="20"/>
          <w:color w:val="auto"/>
        </w:rPr>
      </w:pPr>
    </w:p>
    <w:p>
      <w:pPr>
        <w:ind w:left="428" w:hanging="212"/>
        <w:spacing w:after="0" w:line="279" w:lineRule="auto"/>
        <w:tabs>
          <w:tab w:leader="none" w:pos="428" w:val="left"/>
        </w:tabs>
        <w:numPr>
          <w:ilvl w:val="0"/>
          <w:numId w:val="2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Banzai’s audited condensed consolidated balance sheet for the fiscal year ended December 31, 2023, and the related notes included in Banzai’s annual report on Form 10-K as filed for the fiscal year ended December 31, 2023, and</w:t>
      </w:r>
    </w:p>
    <w:p>
      <w:pPr>
        <w:spacing w:after="0" w:line="111" w:lineRule="exact"/>
        <w:rPr>
          <w:rFonts w:ascii="Times New Roman" w:cs="Times New Roman" w:eastAsia="Times New Roman" w:hAnsi="Times New Roman"/>
          <w:sz w:val="12"/>
          <w:szCs w:val="12"/>
          <w:color w:val="auto"/>
        </w:rPr>
      </w:pPr>
    </w:p>
    <w:p>
      <w:pPr>
        <w:ind w:left="428" w:hanging="212"/>
        <w:spacing w:after="0"/>
        <w:tabs>
          <w:tab w:leader="none" w:pos="428" w:val="left"/>
        </w:tabs>
        <w:numPr>
          <w:ilvl w:val="0"/>
          <w:numId w:val="2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OpenReel’s audited consolidated balance sheet for the fiscal year ended December 31, 2023, and the related notes as filed as an exhibit to this Current Report on Form 8-K/A.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193675</wp:posOffset>
            </wp:positionV>
            <wp:extent cx="7178040" cy="571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503" w:right="299" w:bottom="1440" w:gutter="0" w:footer="0" w:header="0"/>
        </w:sectPr>
      </w:pPr>
    </w:p>
    <w:bookmarkStart w:id="53" w:name="page54"/>
    <w:bookmarkEnd w:id="53"/>
    <w:p>
      <w:pPr>
        <w:ind w:left="8"/>
        <w:spacing w:after="0"/>
        <w:rPr>
          <w:sz w:val="20"/>
          <w:szCs w:val="20"/>
          <w:color w:val="auto"/>
        </w:rPr>
      </w:pPr>
      <w:r>
        <w:rPr>
          <w:rFonts w:ascii="Times New Roman" w:cs="Times New Roman" w:eastAsia="Times New Roman" w:hAnsi="Times New Roman"/>
          <w:sz w:val="12"/>
          <w:szCs w:val="12"/>
          <w:color w:val="auto"/>
        </w:rPr>
        <w:t>The unaudited pro forma condensed combined statement of operations for the fiscal year ended December 31, 2023, has been prepared using, and should be read in conjunction with, the following:</w:t>
      </w:r>
    </w:p>
    <w:p>
      <w:pPr>
        <w:spacing w:after="0" w:line="150" w:lineRule="exact"/>
        <w:rPr>
          <w:sz w:val="20"/>
          <w:szCs w:val="20"/>
          <w:color w:val="auto"/>
        </w:rPr>
      </w:pPr>
    </w:p>
    <w:p>
      <w:pPr>
        <w:ind w:left="428" w:hanging="212"/>
        <w:spacing w:after="0"/>
        <w:tabs>
          <w:tab w:leader="none" w:pos="428" w:val="left"/>
        </w:tabs>
        <w:numPr>
          <w:ilvl w:val="0"/>
          <w:numId w:val="2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Banzai’s audited consolidated statement of operations for the fiscal year ended December 31, 2023, and the related notes included in Banzai’s annual report on Form 10-K for the fiscal year ended December 31, 2023;</w:t>
      </w:r>
    </w:p>
    <w:p>
      <w:pPr>
        <w:spacing w:after="0" w:line="150" w:lineRule="exact"/>
        <w:rPr>
          <w:rFonts w:ascii="Times New Roman" w:cs="Times New Roman" w:eastAsia="Times New Roman" w:hAnsi="Times New Roman"/>
          <w:sz w:val="12"/>
          <w:szCs w:val="12"/>
          <w:color w:val="auto"/>
        </w:rPr>
      </w:pPr>
    </w:p>
    <w:p>
      <w:pPr>
        <w:ind w:left="428" w:hanging="212"/>
        <w:spacing w:after="0"/>
        <w:tabs>
          <w:tab w:leader="none" w:pos="428" w:val="left"/>
        </w:tabs>
        <w:numPr>
          <w:ilvl w:val="0"/>
          <w:numId w:val="2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OpenReel’s audited consolidated statement of operations for the fiscal year ended December 31, 2023, and the related notes filed as an exhibit to this Current Report on Form 8-K/A.</w:t>
      </w:r>
    </w:p>
    <w:p>
      <w:pPr>
        <w:spacing w:after="0" w:line="150" w:lineRule="exact"/>
        <w:rPr>
          <w:sz w:val="20"/>
          <w:szCs w:val="20"/>
          <w:color w:val="auto"/>
        </w:rPr>
      </w:pPr>
    </w:p>
    <w:p>
      <w:pPr>
        <w:jc w:val="both"/>
        <w:ind w:left="8"/>
        <w:spacing w:after="0" w:line="265" w:lineRule="auto"/>
        <w:rPr>
          <w:sz w:val="20"/>
          <w:szCs w:val="20"/>
          <w:color w:val="auto"/>
        </w:rPr>
      </w:pPr>
      <w:r>
        <w:rPr>
          <w:rFonts w:ascii="Times New Roman" w:cs="Times New Roman" w:eastAsia="Times New Roman" w:hAnsi="Times New Roman"/>
          <w:sz w:val="12"/>
          <w:szCs w:val="12"/>
          <w:color w:val="auto"/>
        </w:rPr>
        <w:t>The foregoing historical financial statements have been prepared in accordance with GAAP. The unaudited pro forma condensed combined financial information has been prepared based on the aforementioned historical financial statements and the assumptions and adjustments as described in the notes to the unaudited pro forma condensed combined financial information. Management has made significant estimates and assumptions in its determination of the pro forma adjustments. As the unaudited pro forma condensed combined financial information has been prepared based on these preliminary estimates, the final amounts recorded may differ materially from the information presented.</w:t>
      </w:r>
    </w:p>
    <w:p>
      <w:pPr>
        <w:spacing w:after="0" w:line="119"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The unaudited pro forma condensed combined financial information does not give effect to any synergies, operating efficiencies, tax savings or cost savings that may be associated with the Acquisition.</w:t>
      </w:r>
    </w:p>
    <w:p>
      <w:pPr>
        <w:spacing w:after="0" w:line="150" w:lineRule="exact"/>
        <w:rPr>
          <w:sz w:val="20"/>
          <w:szCs w:val="20"/>
          <w:color w:val="auto"/>
        </w:rPr>
      </w:pPr>
    </w:p>
    <w:p>
      <w:pPr>
        <w:jc w:val="both"/>
        <w:ind w:left="8"/>
        <w:spacing w:after="0" w:line="260" w:lineRule="auto"/>
        <w:rPr>
          <w:sz w:val="20"/>
          <w:szCs w:val="20"/>
          <w:color w:val="auto"/>
        </w:rPr>
      </w:pPr>
      <w:r>
        <w:rPr>
          <w:rFonts w:ascii="Times New Roman" w:cs="Times New Roman" w:eastAsia="Times New Roman" w:hAnsi="Times New Roman"/>
          <w:sz w:val="12"/>
          <w:szCs w:val="12"/>
          <w:color w:val="auto"/>
        </w:rPr>
        <w:t>The pro forma adjustments reflecting the completion of Acquisition are based on currently available information and assumptions and methodologies that management believes are reasonable under the circumstances. The pro forma adjustments, which are described in the accompanying notes, may be revised as additional information becomes available and is evaluated. Therefore, it is likely that the actual adjustments will differ from the pro forma adjustments, and it is possible the difference may be material. Management believes that its assumptions and methodologies provide a reasonable basis for presenting all of the significant effects of the Acquisition based on information available to management at the current time and that the pro forma adjustments give appropriate effect to those assumptions and are properly applied in the unaudited pro forma condensed combined financial information.</w:t>
      </w:r>
    </w:p>
    <w:p>
      <w:pPr>
        <w:spacing w:after="0" w:line="122" w:lineRule="exact"/>
        <w:rPr>
          <w:sz w:val="20"/>
          <w:szCs w:val="20"/>
          <w:color w:val="auto"/>
        </w:rPr>
      </w:pPr>
    </w:p>
    <w:p>
      <w:pPr>
        <w:jc w:val="both"/>
        <w:ind w:left="8"/>
        <w:spacing w:after="0" w:line="255" w:lineRule="auto"/>
        <w:rPr>
          <w:sz w:val="20"/>
          <w:szCs w:val="20"/>
          <w:color w:val="auto"/>
        </w:rPr>
      </w:pPr>
      <w:r>
        <w:rPr>
          <w:rFonts w:ascii="Times New Roman" w:cs="Times New Roman" w:eastAsia="Times New Roman" w:hAnsi="Times New Roman"/>
          <w:sz w:val="12"/>
          <w:szCs w:val="12"/>
          <w:color w:val="auto"/>
        </w:rPr>
        <w:t>The unaudited pro forma condensed combined financial information is not necessarily indicative of what the actual results of operations would have been had the Acquisition taken place on the date indicated, nor are they indicative of the future consolidated results of operations or financial position of the post-combination company. The unaudited pro forma condensed combined financial information should be read together with Banzai’s historical consolidated financial statements and accompanying notes and Management’s Discussion and Analysis of Financial Condition and Results of Operations included in its annual report on Form 10-K for the fiscal year ended December 31, 2023, and interim report on Form 10-Q for the nine months ended September 30, 2024. The unaudited pro forma condensed combined financial information should be read together with OpenReel’s historical audited consolidated balance sheet, statement of operations for the fiscal ended December 31, 2023, and unaudited consolidated financial statements as of and for the nine months ended September 30, 2024, and the related notes filed as exhibit 99.1 and 99.2, respectively, to this Current Report on Form 8-K/A. These historical OpenReel financial statements have been adjusted to conform to Banzai’s account classification policies, as described in the notes to the pro forma financial statements. See Note 3.</w:t>
      </w:r>
    </w:p>
    <w:p>
      <w:pPr>
        <w:spacing w:after="0" w:line="122" w:lineRule="exact"/>
        <w:rPr>
          <w:sz w:val="20"/>
          <w:szCs w:val="20"/>
          <w:color w:val="auto"/>
        </w:rPr>
      </w:pPr>
    </w:p>
    <w:p>
      <w:pPr>
        <w:ind w:left="428" w:hanging="428"/>
        <w:spacing w:after="0"/>
        <w:tabs>
          <w:tab w:leader="none" w:pos="428" w:val="left"/>
        </w:tabs>
        <w:numPr>
          <w:ilvl w:val="0"/>
          <w:numId w:val="22"/>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Accounting Policies</w:t>
      </w:r>
    </w:p>
    <w:p>
      <w:pPr>
        <w:spacing w:after="0" w:line="154" w:lineRule="exact"/>
        <w:rPr>
          <w:sz w:val="20"/>
          <w:szCs w:val="20"/>
          <w:color w:val="auto"/>
        </w:rPr>
      </w:pPr>
    </w:p>
    <w:p>
      <w:pPr>
        <w:jc w:val="both"/>
        <w:ind w:left="8"/>
        <w:spacing w:after="0" w:line="260" w:lineRule="auto"/>
        <w:rPr>
          <w:sz w:val="20"/>
          <w:szCs w:val="20"/>
          <w:color w:val="auto"/>
        </w:rPr>
      </w:pPr>
      <w:r>
        <w:rPr>
          <w:rFonts w:ascii="Times New Roman" w:cs="Times New Roman" w:eastAsia="Times New Roman" w:hAnsi="Times New Roman"/>
          <w:sz w:val="12"/>
          <w:szCs w:val="12"/>
          <w:color w:val="auto"/>
        </w:rPr>
        <w:t>As part of preparing the unaudited pro forma condensed combined financial information, Banzai conducted an initial review of the accounting policies and practices of OpenReel to determine if differences in accounting policies and practices require reclassification of results of operations to conform to Banzai’s accounting policies and practices. Preliminary reclassifications were determined not necessary to be made in the unaudited pro forma condensed combined financial information (see Note 3). Banzai will continue its detailed review of OpenReel’s accounting policies and practices following the Acquisition. As a result of that review, Banzai may identify additional differences between the accounting policies and practices of the companies that, when conformed, could have a material impact on the consolidated financial statements of the combined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175895</wp:posOffset>
            </wp:positionV>
            <wp:extent cx="7178040" cy="571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507" w:right="299" w:bottom="1440" w:gutter="0" w:footer="0" w:header="0"/>
        </w:sectPr>
      </w:pPr>
    </w:p>
    <w:bookmarkStart w:id="54" w:name="page55"/>
    <w:bookmarkEnd w:id="54"/>
    <w:p>
      <w:pPr>
        <w:ind w:left="428" w:hanging="428"/>
        <w:spacing w:after="0"/>
        <w:tabs>
          <w:tab w:leader="none" w:pos="428" w:val="left"/>
        </w:tabs>
        <w:numPr>
          <w:ilvl w:val="0"/>
          <w:numId w:val="23"/>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OpenReel Historical Financial Statement Reclasses</w:t>
      </w:r>
    </w:p>
    <w:p>
      <w:pPr>
        <w:spacing w:after="0" w:line="154" w:lineRule="exact"/>
        <w:rPr>
          <w:sz w:val="20"/>
          <w:szCs w:val="20"/>
          <w:color w:val="auto"/>
        </w:rPr>
      </w:pPr>
    </w:p>
    <w:p>
      <w:pPr>
        <w:ind w:left="8"/>
        <w:spacing w:after="0" w:line="279" w:lineRule="auto"/>
        <w:rPr>
          <w:sz w:val="20"/>
          <w:szCs w:val="20"/>
          <w:color w:val="auto"/>
        </w:rPr>
      </w:pPr>
      <w:r>
        <w:rPr>
          <w:rFonts w:ascii="Times New Roman" w:cs="Times New Roman" w:eastAsia="Times New Roman" w:hAnsi="Times New Roman"/>
          <w:sz w:val="12"/>
          <w:szCs w:val="12"/>
          <w:color w:val="auto"/>
        </w:rPr>
        <w:t>Upon Banzai’s initial review. No preliminary reclassification adjustments deemed necessary to be made to the historical presentation of OpenReel financial information in order to conform to a combined Banzai statement of operations, see Note 2.</w:t>
      </w:r>
    </w:p>
    <w:p>
      <w:pPr>
        <w:spacing w:after="0" w:line="107" w:lineRule="exact"/>
        <w:rPr>
          <w:sz w:val="20"/>
          <w:szCs w:val="20"/>
          <w:color w:val="auto"/>
        </w:rPr>
      </w:pPr>
    </w:p>
    <w:p>
      <w:pPr>
        <w:ind w:left="428" w:hanging="428"/>
        <w:spacing w:after="0"/>
        <w:tabs>
          <w:tab w:leader="none" w:pos="428" w:val="left"/>
        </w:tabs>
        <w:numPr>
          <w:ilvl w:val="0"/>
          <w:numId w:val="24"/>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Preliminary Consideration and Fair Value Estimate of Assets Acquired and Liabilities Assumed</w:t>
      </w:r>
    </w:p>
    <w:p>
      <w:pPr>
        <w:spacing w:after="0" w:line="154" w:lineRule="exact"/>
        <w:rPr>
          <w:sz w:val="20"/>
          <w:szCs w:val="20"/>
          <w:color w:val="auto"/>
        </w:rPr>
      </w:pPr>
    </w:p>
    <w:p>
      <w:pPr>
        <w:jc w:val="both"/>
        <w:ind w:left="8"/>
        <w:spacing w:after="0" w:line="260" w:lineRule="auto"/>
        <w:rPr>
          <w:sz w:val="20"/>
          <w:szCs w:val="20"/>
          <w:color w:val="auto"/>
        </w:rPr>
      </w:pPr>
      <w:r>
        <w:rPr>
          <w:rFonts w:ascii="Times New Roman" w:cs="Times New Roman" w:eastAsia="Times New Roman" w:hAnsi="Times New Roman"/>
          <w:sz w:val="12"/>
          <w:szCs w:val="12"/>
          <w:color w:val="auto"/>
        </w:rPr>
        <w:t>Banzai accounted for the Acquisition as a business combination in accordance with GAAP. Accordingly, the purchase price attributable to the Acquisition is to be allocated to the assets acquired and liabilities assumed based on their preliminary estimated fair values. As of the current report on 8K/A, the fair value of purchase price allocation analysis is in progress and will be completed upon Banzai’s financial audited reports of 2024 is completed to be included in the 2024 annual report on Form 10K. In the interim, goodwill amount was estimated reflected in the unaudited pro forma condensed combined balance sheet prior to the valuation of the fair value of the assets acquired and liabilities assumed are completed.</w:t>
      </w:r>
    </w:p>
    <w:p>
      <w:pPr>
        <w:spacing w:after="0" w:line="118" w:lineRule="exact"/>
        <w:rPr>
          <w:sz w:val="20"/>
          <w:szCs w:val="20"/>
          <w:color w:val="auto"/>
        </w:rPr>
      </w:pPr>
    </w:p>
    <w:p>
      <w:pPr>
        <w:ind w:left="428" w:hanging="428"/>
        <w:spacing w:after="0"/>
        <w:tabs>
          <w:tab w:leader="none" w:pos="428" w:val="left"/>
        </w:tabs>
        <w:numPr>
          <w:ilvl w:val="0"/>
          <w:numId w:val="25"/>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Adjustments to unaudited pro forma condensed combined financial information</w:t>
      </w:r>
    </w:p>
    <w:p>
      <w:pPr>
        <w:spacing w:after="0" w:line="154" w:lineRule="exact"/>
        <w:rPr>
          <w:sz w:val="20"/>
          <w:szCs w:val="20"/>
          <w:color w:val="auto"/>
        </w:rPr>
      </w:pPr>
    </w:p>
    <w:p>
      <w:pPr>
        <w:ind w:left="8"/>
        <w:spacing w:after="0" w:line="279" w:lineRule="auto"/>
        <w:rPr>
          <w:sz w:val="20"/>
          <w:szCs w:val="20"/>
          <w:color w:val="auto"/>
        </w:rPr>
      </w:pPr>
      <w:r>
        <w:rPr>
          <w:rFonts w:ascii="Times New Roman" w:cs="Times New Roman" w:eastAsia="Times New Roman" w:hAnsi="Times New Roman"/>
          <w:sz w:val="12"/>
          <w:szCs w:val="12"/>
          <w:color w:val="auto"/>
        </w:rPr>
        <w:t>The following unaudited pro forma condensed combined financial information has been prepared in accordance with Article 11 of Regulation S-X. The unaudited pro forma condensed combined financial information has been prepared to illustrate the effect of the Acquisition and has been prepared for informational purposes only.</w:t>
      </w:r>
    </w:p>
    <w:p>
      <w:pPr>
        <w:spacing w:after="0" w:line="107"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i w:val="1"/>
          <w:iCs w:val="1"/>
          <w:color w:val="auto"/>
        </w:rPr>
        <w:t>Transaction adjustments to the unaudited pro forma condensed combined balance sheet and statements of operations</w:t>
      </w:r>
    </w:p>
    <w:p>
      <w:pPr>
        <w:spacing w:after="0" w:line="154"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The unaudited pro forma condensed combined statement of operations for the nine months ended September 30, 2024, and the fiscal year ended December 31, 2023, includes the following adjustments:</w:t>
      </w:r>
    </w:p>
    <w:p>
      <w:pPr>
        <w:spacing w:after="0" w:line="150" w:lineRule="exact"/>
        <w:rPr>
          <w:sz w:val="20"/>
          <w:szCs w:val="20"/>
          <w:color w:val="auto"/>
        </w:rPr>
      </w:pPr>
    </w:p>
    <w:p>
      <w:pPr>
        <w:ind w:left="428" w:hanging="428"/>
        <w:spacing w:after="0" w:line="279" w:lineRule="auto"/>
        <w:tabs>
          <w:tab w:leader="none" w:pos="428" w:val="left"/>
        </w:tabs>
        <w:numPr>
          <w:ilvl w:val="0"/>
          <w:numId w:val="2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Reflects accounting estimates of the initial investment based on the total purchase consideration of OpenReel of the $19.6 million as of nine months ended September 30, 2024, and the fiscal year ended December 31, 2023, respectively.</w:t>
      </w:r>
    </w:p>
    <w:p>
      <w:pPr>
        <w:spacing w:after="0" w:line="111" w:lineRule="exact"/>
        <w:rPr>
          <w:rFonts w:ascii="Times New Roman" w:cs="Times New Roman" w:eastAsia="Times New Roman" w:hAnsi="Times New Roman"/>
          <w:sz w:val="12"/>
          <w:szCs w:val="12"/>
          <w:color w:val="auto"/>
        </w:rPr>
      </w:pPr>
    </w:p>
    <w:p>
      <w:pPr>
        <w:ind w:left="428" w:right="20" w:hanging="428"/>
        <w:spacing w:after="0" w:line="279" w:lineRule="auto"/>
        <w:tabs>
          <w:tab w:leader="none" w:pos="428" w:val="left"/>
        </w:tabs>
        <w:numPr>
          <w:ilvl w:val="0"/>
          <w:numId w:val="2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Reflects estimates to account for the acquisition resulting in a preliminary amount of goodwill. The preliminary amount of goodwill is subject to change once the acquisition accounting is finalized with respect to the fair value assessments of assets acquired and liabilities assumed to be allocated between tangible assets and intangible assets once the 2024 audited financial statements are completed for inclusion in the annual report on Form 10K.</w:t>
      </w:r>
    </w:p>
    <w:p>
      <w:pPr>
        <w:spacing w:after="0" w:line="111" w:lineRule="exact"/>
        <w:rPr>
          <w:rFonts w:ascii="Times New Roman" w:cs="Times New Roman" w:eastAsia="Times New Roman" w:hAnsi="Times New Roman"/>
          <w:sz w:val="12"/>
          <w:szCs w:val="12"/>
          <w:color w:val="auto"/>
        </w:rPr>
      </w:pPr>
    </w:p>
    <w:p>
      <w:pPr>
        <w:ind w:left="428" w:right="20" w:hanging="428"/>
        <w:spacing w:after="0" w:line="279" w:lineRule="auto"/>
        <w:tabs>
          <w:tab w:leader="none" w:pos="428" w:val="left"/>
        </w:tabs>
        <w:numPr>
          <w:ilvl w:val="0"/>
          <w:numId w:val="2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No income tax adjustment is reflected for the nine months ended September 30, 2024, and the fiscal year ended December 31, 2023, based on Banzai’s estimated annual effective tax rate for the fiscal years ending December 31, 2024, and 2023, respectively, and Banzai having a full valuation allowance on its net deferred tax asset.</w:t>
      </w:r>
    </w:p>
    <w:p>
      <w:pPr>
        <w:spacing w:after="0" w:line="111" w:lineRule="exact"/>
        <w:rPr>
          <w:rFonts w:ascii="Times New Roman" w:cs="Times New Roman" w:eastAsia="Times New Roman" w:hAnsi="Times New Roman"/>
          <w:sz w:val="12"/>
          <w:szCs w:val="12"/>
          <w:color w:val="auto"/>
        </w:rPr>
      </w:pPr>
    </w:p>
    <w:p>
      <w:pPr>
        <w:ind w:left="428" w:hanging="428"/>
        <w:spacing w:after="0" w:line="279" w:lineRule="auto"/>
        <w:tabs>
          <w:tab w:leader="none" w:pos="428" w:val="left"/>
        </w:tabs>
        <w:numPr>
          <w:ilvl w:val="0"/>
          <w:numId w:val="2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No adjustment is reflected for the nine months ended September 30, 2024 and fiscal year ended December 31, 2023 based on Banzai’s estimated annual effective tax rate for the fiscal year ending December 31, 2024 and 2023 and Banzai having a full valuation allowance on its net deferred tax asset.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168910</wp:posOffset>
            </wp:positionV>
            <wp:extent cx="7178040" cy="571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sectPr>
      <w:pgSz w:w="11900" w:h="16838" w:orient="portrait"/>
      <w:cols w:equalWidth="0" w:num="1">
        <w:col w:w="11308"/>
      </w:cols>
      <w:pgMar w:left="292" w:top="503" w:right="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09CF92E"/>
    <w:multiLevelType w:val="hybridMultilevel"/>
    <w:lvl w:ilvl="0">
      <w:lvlJc w:val="left"/>
      <w:lvlText w:val="☐"/>
      <w:numFmt w:val="bullet"/>
      <w:start w:val="1"/>
    </w:lvl>
  </w:abstractNum>
  <w:abstractNum w:abstractNumId="1">
    <w:nsid w:val="DED7263"/>
    <w:multiLevelType w:val="hybridMultilevel"/>
    <w:lvl w:ilvl="0">
      <w:lvlJc w:val="left"/>
      <w:lvlText w:val="●"/>
      <w:numFmt w:val="bullet"/>
      <w:start w:val="1"/>
    </w:lvl>
  </w:abstractNum>
  <w:abstractNum w:abstractNumId="2">
    <w:nsid w:val="7FDCC233"/>
    <w:multiLevelType w:val="hybridMultilevel"/>
    <w:lvl w:ilvl="0">
      <w:lvlJc w:val="left"/>
      <w:lvlText w:val="●"/>
      <w:numFmt w:val="bullet"/>
      <w:start w:val="1"/>
    </w:lvl>
  </w:abstractNum>
  <w:abstractNum w:abstractNumId="3">
    <w:nsid w:val="1BEFD79F"/>
    <w:multiLevelType w:val="hybridMultilevel"/>
    <w:lvl w:ilvl="0">
      <w:lvlJc w:val="left"/>
      <w:lvlText w:val="●"/>
      <w:numFmt w:val="bullet"/>
      <w:start w:val="1"/>
    </w:lvl>
  </w:abstractNum>
  <w:abstractNum w:abstractNumId="4">
    <w:nsid w:val="41A7C4C9"/>
    <w:multiLevelType w:val="hybridMultilevel"/>
    <w:lvl w:ilvl="0">
      <w:lvlJc w:val="left"/>
      <w:lvlText w:val="(%1)"/>
      <w:numFmt w:val="decimal"/>
      <w:start w:val="1"/>
    </w:lvl>
  </w:abstractNum>
  <w:abstractNum w:abstractNumId="5">
    <w:nsid w:val="6B68079A"/>
    <w:multiLevelType w:val="hybridMultilevel"/>
    <w:lvl w:ilvl="0">
      <w:lvlJc w:val="left"/>
      <w:lvlText w:val="(%1)"/>
      <w:numFmt w:val="decimal"/>
      <w:start w:val="1"/>
    </w:lvl>
  </w:abstractNum>
  <w:abstractNum w:abstractNumId="6">
    <w:nsid w:val="4E6AFB66"/>
    <w:multiLevelType w:val="hybridMultilevel"/>
    <w:lvl w:ilvl="0">
      <w:lvlJc w:val="left"/>
      <w:lvlText w:val="(%1)"/>
      <w:numFmt w:val="decimal"/>
      <w:start w:val="1"/>
    </w:lvl>
  </w:abstractNum>
  <w:abstractNum w:abstractNumId="7">
    <w:nsid w:val="25E45D32"/>
    <w:multiLevelType w:val="hybridMultilevel"/>
    <w:lvl w:ilvl="0">
      <w:lvlJc w:val="left"/>
      <w:lvlText w:val="(%1)"/>
      <w:numFmt w:val="decimal"/>
      <w:start w:val="1"/>
    </w:lvl>
  </w:abstractNum>
  <w:abstractNum w:abstractNumId="8">
    <w:nsid w:val="519B500D"/>
    <w:multiLevelType w:val="hybridMultilevel"/>
    <w:lvl w:ilvl="0">
      <w:lvlJc w:val="left"/>
      <w:lvlText w:val="●"/>
      <w:numFmt w:val="bullet"/>
      <w:start w:val="1"/>
    </w:lvl>
  </w:abstractNum>
  <w:abstractNum w:abstractNumId="9">
    <w:nsid w:val="431BD7B7"/>
    <w:multiLevelType w:val="hybridMultilevel"/>
    <w:lvl w:ilvl="0">
      <w:lvlJc w:val="left"/>
      <w:lvlText w:val="(%1)"/>
      <w:numFmt w:val="decimal"/>
      <w:start w:val="1"/>
    </w:lvl>
  </w:abstractNum>
  <w:abstractNum w:abstractNumId="10">
    <w:nsid w:val="3F2DBA31"/>
    <w:multiLevelType w:val="hybridMultilevel"/>
    <w:lvl w:ilvl="0">
      <w:lvlJc w:val="left"/>
      <w:lvlText w:val="(%1)"/>
      <w:numFmt w:val="decimal"/>
      <w:start w:val="3"/>
    </w:lvl>
  </w:abstractNum>
  <w:abstractNum w:abstractNumId="11">
    <w:nsid w:val="7C83E458"/>
    <w:multiLevelType w:val="hybridMultilevel"/>
    <w:lvl w:ilvl="0">
      <w:lvlJc w:val="left"/>
      <w:lvlText w:val="(%1)"/>
      <w:numFmt w:val="decimal"/>
      <w:start w:val="4"/>
    </w:lvl>
  </w:abstractNum>
  <w:abstractNum w:abstractNumId="12">
    <w:nsid w:val="257130A3"/>
    <w:multiLevelType w:val="hybridMultilevel"/>
    <w:lvl w:ilvl="0">
      <w:lvlJc w:val="left"/>
      <w:lvlText w:val="(%1)"/>
      <w:numFmt w:val="decimal"/>
      <w:start w:val="4"/>
    </w:lvl>
  </w:abstractNum>
  <w:abstractNum w:abstractNumId="13">
    <w:nsid w:val="62BBD95A"/>
    <w:multiLevelType w:val="hybridMultilevel"/>
    <w:lvl w:ilvl="0">
      <w:lvlJc w:val="left"/>
      <w:lvlText w:val="(%1)"/>
      <w:numFmt w:val="decimal"/>
      <w:start w:val="5"/>
    </w:lvl>
  </w:abstractNum>
  <w:abstractNum w:abstractNumId="14">
    <w:nsid w:val="436C6125"/>
    <w:multiLevelType w:val="hybridMultilevel"/>
    <w:lvl w:ilvl="0">
      <w:lvlJc w:val="left"/>
      <w:lvlText w:val="(%1)"/>
      <w:numFmt w:val="decimal"/>
      <w:start w:val="8"/>
    </w:lvl>
  </w:abstractNum>
  <w:abstractNum w:abstractNumId="15">
    <w:nsid w:val="628C895D"/>
    <w:multiLevelType w:val="hybridMultilevel"/>
    <w:lvl w:ilvl="0">
      <w:lvlJc w:val="left"/>
      <w:lvlText w:val="●"/>
      <w:numFmt w:val="bullet"/>
      <w:start w:val="1"/>
    </w:lvl>
  </w:abstractNum>
  <w:abstractNum w:abstractNumId="16">
    <w:nsid w:val="333AB105"/>
    <w:multiLevelType w:val="hybridMultilevel"/>
    <w:lvl w:ilvl="0">
      <w:lvlJc w:val="left"/>
      <w:lvlText w:val="1"/>
      <w:numFmt w:val="bullet"/>
      <w:start w:val="1"/>
    </w:lvl>
  </w:abstractNum>
  <w:abstractNum w:abstractNumId="17">
    <w:nsid w:val="721DA317"/>
    <w:multiLevelType w:val="hybridMultilevel"/>
    <w:lvl w:ilvl="0">
      <w:lvlJc w:val="left"/>
      <w:lvlText w:val="●"/>
      <w:numFmt w:val="bullet"/>
      <w:start w:val="1"/>
    </w:lvl>
  </w:abstractNum>
  <w:abstractNum w:abstractNumId="18">
    <w:nsid w:val="2443A858"/>
    <w:multiLevelType w:val="hybridMultilevel"/>
    <w:lvl w:ilvl="0">
      <w:lvlJc w:val="left"/>
      <w:lvlText w:val="●"/>
      <w:numFmt w:val="bullet"/>
      <w:start w:val="1"/>
    </w:lvl>
  </w:abstractNum>
  <w:abstractNum w:abstractNumId="19">
    <w:nsid w:val="2D1D5AE9"/>
    <w:multiLevelType w:val="hybridMultilevel"/>
    <w:lvl w:ilvl="0">
      <w:lvlJc w:val="left"/>
      <w:lvlText w:val="●"/>
      <w:numFmt w:val="bullet"/>
      <w:start w:val="1"/>
    </w:lvl>
  </w:abstractNum>
  <w:abstractNum w:abstractNumId="20">
    <w:nsid w:val="6763845E"/>
    <w:multiLevelType w:val="hybridMultilevel"/>
    <w:lvl w:ilvl="0">
      <w:lvlJc w:val="left"/>
      <w:lvlText w:val="●"/>
      <w:numFmt w:val="bullet"/>
      <w:start w:val="1"/>
    </w:lvl>
  </w:abstractNum>
  <w:abstractNum w:abstractNumId="21">
    <w:nsid w:val="75A2A8D4"/>
    <w:multiLevelType w:val="hybridMultilevel"/>
    <w:lvl w:ilvl="0">
      <w:lvlJc w:val="left"/>
      <w:lvlText w:val="2"/>
      <w:numFmt w:val="bullet"/>
      <w:start w:val="1"/>
    </w:lvl>
  </w:abstractNum>
  <w:abstractNum w:abstractNumId="22">
    <w:nsid w:val="8EDBDAB"/>
    <w:multiLevelType w:val="hybridMultilevel"/>
    <w:lvl w:ilvl="0">
      <w:lvlJc w:val="left"/>
      <w:lvlText w:val="3"/>
      <w:numFmt w:val="bullet"/>
      <w:start w:val="1"/>
    </w:lvl>
  </w:abstractNum>
  <w:abstractNum w:abstractNumId="23">
    <w:nsid w:val="79838CB2"/>
    <w:multiLevelType w:val="hybridMultilevel"/>
    <w:lvl w:ilvl="0">
      <w:lvlJc w:val="left"/>
      <w:lvlText w:val="4"/>
      <w:numFmt w:val="bullet"/>
      <w:start w:val="1"/>
    </w:lvl>
  </w:abstractNum>
  <w:abstractNum w:abstractNumId="24">
    <w:nsid w:val="4353D0CD"/>
    <w:multiLevelType w:val="hybridMultilevel"/>
    <w:lvl w:ilvl="0">
      <w:lvlJc w:val="left"/>
      <w:lvlText w:val="5"/>
      <w:numFmt w:val="bullet"/>
      <w:start w:val="1"/>
    </w:lvl>
  </w:abstractNum>
  <w:abstractNum w:abstractNumId="25">
    <w:nsid w:val="B03E0C6"/>
    <w:multiLevelType w:val="hybridMultilevel"/>
    <w:lvl w:ilvl="0">
      <w:lvlJc w:val="left"/>
      <w:lvlText w:val="(%1)"/>
      <w:numFmt w:val="upperLetter"/>
      <w:start w:val="27"/>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2025-03-03T05:12:02Z</dcterms:created>
  <dcterms:modified xsi:type="dcterms:W3CDTF">2025-03-03T05:12:02Z</dcterms:modified>
</cp:coreProperties>
</file>