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424b3.htm"/>
      <w:bookmarkStart w:id="1" w:name="ksform424b3"/>
      <w:bookmarkEnd w:id="0"/>
      <w:bookmarkEnd w:id="1"/>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355"/>
        <w:gridCol w:w="120"/>
        <w:gridCol w:w="2765"/>
      </w:tblGrid>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2765"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xml:space="preserve">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333-290241</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238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25,000,000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filing this prospectus for the offer and sale from time to time by the selling securityholder named in this prospectus (the “Selling Securityholders”) of up to 25,000,000 shares of Class A Common Stock, consisting of shares of Class A Common Stock issuable pursuant to Advances (as defined below) under that certain standby equity purchase agreement (the “Original SEPA”), dated December 14, 2023, by and among Legacy Banzai, 7GC and YA II PN, LTD, a Cayman Islands exempt limited partnership managed by Yorkville Advisors Global, LP (“Yorkville”), as amended by that certain supplemental agreement (the “SEPA Supplemental Agreement” and, together with the Original SEPA, the “SEPA”), dated February 5, 2024. On December 29, 2023, we filed a registration statement on Form S-1 (File No. 333-276307) to register up to 11,453 shares of Class A Common Stock issuable pursuant to Advances under the SEPA; the registration statement was declared effective on February 2, 2024 (the “First SEPA Registration Statement”). On September 20, 2024, we filed another registration statement on Form S-1 (File No. 333-282232) to register an additional 2,500,000 shares of Class A Common Stock issuable pursuant to Advances under the SEPA; the registration statement was declared effective on September 26, 2024 (the “2024 Additional SEPA Registration Statement,” together with the First SEPA Registration Statement,” the “Prior SEPA Registration Statements”). We are filing this registration statement to register additional shares of Class A Common Stock issuable pursuant to Advances under the SEPA for resale.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Selling Securityholder pursuant to this prospectus. However, we will pay the expenses, other than underwriting discounts and commissions and expenses incurred by the Selling Securityholder for brokerage, accounting, tax or legal services or any other expenses incurred by the Selling Securityholder in disposing of the securities, associated with the sale of securities pursuant to this prospectus. Additional details regarding the securities to which this prospectus relates and the Selling Securityholder is set forth in this prospectus in the Prospectus Summary under the heading “</w:t>
      </w:r>
      <w:r>
        <w:rPr>
          <w:rFonts w:ascii="Times New Roman;Times;Serif" w:hAnsi="Times New Roman;Times;Serif"/>
          <w:b w:val="false"/>
          <w:i/>
          <w:caps w:val="false"/>
          <w:smallCaps w:val="false"/>
          <w:sz w:val="20"/>
        </w:rPr>
        <w:t xml:space="preserve">Material Financing Arrangements – SEPA,”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Information Related to Offered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 will offer or sell any of the shares of Class A Common Stock. The Selling Securityholder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 pursuant to this prospectus. We provide more information about how the Selling Securityholder may sell the shares in the section entitled “Plan of Distribution.”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including the resale of the shares of Class A Common Stock held by our stockholders pursuant to this prospectus or pursuant to Rule 144, could occur at any time. These sales, or the perception in the market that the holders of a large number of shares of Class A Common Stock intend to sell shares, could reduce the market price of the Class A Common Stock and make it more difficult for you to sell your holdings at times and prices that you determine are appropriate. We expect that, because there is a large number of shares being registered pursuant to the registration statement of which this prospectus forms a part, the Selling Securityholder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9 of this prospectus to read about factors you should consider before buying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April 27,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470" w:type="dxa"/>
            <w:tcBorders/>
            <w:shd w:fill="CCEE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70" w:type="dxa"/>
            <w:tcBorders/>
            <w:shd w:fill="FFFFFF" w:val="clear"/>
            <w:vAlign w:val="center"/>
          </w:tcPr>
          <w:p>
            <w:pPr>
              <w:pStyle w:val="TableContents"/>
              <w:bidi w:val="0"/>
              <w:spacing w:before="0" w:after="283"/>
              <w:jc w:val="both"/>
              <w:rPr/>
            </w:pPr>
            <w:hyperlink w:anchor="Y-006">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70" w:type="dxa"/>
            <w:tcBorders/>
            <w:shd w:fill="CCEE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70" w:type="dxa"/>
            <w:tcBorders/>
            <w:shd w:fill="FFFFFF" w:val="clear"/>
            <w:vAlign w:val="center"/>
          </w:tcPr>
          <w:p>
            <w:pPr>
              <w:pStyle w:val="TableContents"/>
              <w:bidi w:val="0"/>
              <w:spacing w:before="0" w:after="283"/>
              <w:jc w:val="both"/>
              <w:rPr/>
            </w:pPr>
            <w:hyperlink w:anchor="sd_001">
              <w:r>
                <w:rPr>
                  <w:rStyle w:val="InternetLink"/>
                  <w:rFonts w:ascii="Times New Roman;Times;Serif" w:hAnsi="Times New Roman;Times;Serif"/>
                  <w:b w:val="false"/>
                  <w:i w:val="false"/>
                  <w:caps w:val="false"/>
                  <w:smallCaps w:val="false"/>
                  <w:sz w:val="20"/>
                </w:rPr>
                <w:t>BUSINESS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470" w:type="dxa"/>
            <w:tcBorders/>
            <w:shd w:fill="CCEEFF" w:val="clear"/>
            <w:vAlign w:val="center"/>
          </w:tcPr>
          <w:p>
            <w:pPr>
              <w:pStyle w:val="TableContents"/>
              <w:bidi w:val="0"/>
              <w:spacing w:before="0" w:after="283"/>
              <w:jc w:val="both"/>
              <w:rPr/>
            </w:pPr>
            <w:hyperlink w:anchor="sd_002">
              <w:r>
                <w:rPr>
                  <w:rStyle w:val="InternetLink"/>
                  <w:rFonts w:ascii="Times New Roman;Times;Serif" w:hAnsi="Times New Roman;Times;Serif"/>
                  <w:b w:val="false"/>
                  <w:i w:val="false"/>
                  <w:caps w:val="false"/>
                  <w:smallCaps w:val="false"/>
                  <w:sz w:val="20"/>
                </w:rPr>
                <w:t>MANAGEMENT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470" w:type="dxa"/>
            <w:tcBorders/>
            <w:shd w:fill="FFFFFF" w:val="clear"/>
            <w:vAlign w:val="center"/>
          </w:tcPr>
          <w:p>
            <w:pPr>
              <w:pStyle w:val="TableContents"/>
              <w:bidi w:val="0"/>
              <w:spacing w:before="0" w:after="283"/>
              <w:jc w:val="both"/>
              <w:rPr/>
            </w:pPr>
            <w:hyperlink w:anchor="sd_003">
              <w:r>
                <w:rPr>
                  <w:rStyle w:val="InternetLink"/>
                  <w:rFonts w:ascii="Times New Roman;Times;Serif" w:hAnsi="Times New Roman;Times;Serif"/>
                  <w:b w:val="false"/>
                  <w:i w:val="false"/>
                  <w:caps w:val="false"/>
                  <w:smallCaps w:val="false"/>
                  <w:sz w:val="20"/>
                </w:rPr>
                <w:t>EXECUTIVE AND DIRECTOR COMPENSATION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470" w:type="dxa"/>
            <w:tcBorders/>
            <w:shd w:fill="CCEEFF" w:val="clear"/>
            <w:vAlign w:val="center"/>
          </w:tcPr>
          <w:p>
            <w:pPr>
              <w:pStyle w:val="TableContents"/>
              <w:bidi w:val="0"/>
              <w:spacing w:before="0" w:after="283"/>
              <w:jc w:val="both"/>
              <w:rPr/>
            </w:pPr>
            <w:hyperlink w:anchor="sd_004">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470" w:type="dxa"/>
            <w:tcBorders/>
            <w:shd w:fill="FFFFFF" w:val="clear"/>
            <w:vAlign w:val="center"/>
          </w:tcPr>
          <w:p>
            <w:pPr>
              <w:pStyle w:val="TableContents"/>
              <w:bidi w:val="0"/>
              <w:spacing w:before="0" w:after="283"/>
              <w:jc w:val="both"/>
              <w:rPr/>
            </w:pPr>
            <w:hyperlink w:anchor="sd_005">
              <w:r>
                <w:rPr>
                  <w:rStyle w:val="InternetLink"/>
                  <w:rFonts w:ascii="Times New Roman;Times;Serif" w:hAnsi="Times New Roman;Times;Serif"/>
                  <w:b w:val="false"/>
                  <w:i w:val="false"/>
                  <w:caps w:val="false"/>
                  <w:smallCaps w:val="false"/>
                  <w:sz w:val="20"/>
                </w:rPr>
                <w:t>PRINCIPAL SECURITYHOLDERS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470" w:type="dxa"/>
            <w:tcBorders/>
            <w:shd w:fill="CCEEFF" w:val="clear"/>
            <w:vAlign w:val="center"/>
          </w:tcPr>
          <w:p>
            <w:pPr>
              <w:pStyle w:val="TableContents"/>
              <w:bidi w:val="0"/>
              <w:spacing w:before="0" w:after="283"/>
              <w:jc w:val="both"/>
              <w:rPr/>
            </w:pPr>
            <w:hyperlink w:anchor="sd_006">
              <w:r>
                <w:rPr>
                  <w:rStyle w:val="InternetLink"/>
                  <w:rFonts w:ascii="Times New Roman;Times;Serif" w:hAnsi="Times New Roman;Times;Serif"/>
                  <w:b w:val="false"/>
                  <w:i w:val="false"/>
                  <w:caps w:val="false"/>
                  <w:smallCaps w:val="false"/>
                  <w:sz w:val="20"/>
                </w:rPr>
                <w:t>SELLING SECURITYHOLDER</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470" w:type="dxa"/>
            <w:tcBorders/>
            <w:shd w:fill="FFFFFF" w:val="clear"/>
            <w:vAlign w:val="center"/>
          </w:tcPr>
          <w:p>
            <w:pPr>
              <w:pStyle w:val="TableContents"/>
              <w:bidi w:val="0"/>
              <w:spacing w:before="0" w:after="283"/>
              <w:jc w:val="both"/>
              <w:rPr/>
            </w:pPr>
            <w:hyperlink w:anchor="sd_007">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9470" w:type="dxa"/>
            <w:tcBorders/>
            <w:shd w:fill="CCEEFF" w:val="clear"/>
            <w:vAlign w:val="center"/>
          </w:tcPr>
          <w:p>
            <w:pPr>
              <w:pStyle w:val="TableContents"/>
              <w:bidi w:val="0"/>
              <w:spacing w:before="0" w:after="283"/>
              <w:jc w:val="both"/>
              <w:rPr/>
            </w:pPr>
            <w:hyperlink w:anchor="sd_009">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470" w:type="dxa"/>
            <w:tcBorders/>
            <w:shd w:fill="FFFFFF" w:val="clear"/>
            <w:vAlign w:val="center"/>
          </w:tcPr>
          <w:p>
            <w:pPr>
              <w:pStyle w:val="TableContents"/>
              <w:bidi w:val="0"/>
              <w:spacing w:before="0" w:after="283"/>
              <w:jc w:val="both"/>
              <w:rPr/>
            </w:pPr>
            <w:hyperlink w:anchor="sd_010">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9470" w:type="dxa"/>
            <w:tcBorders/>
            <w:shd w:fill="CCEEFF" w:val="clear"/>
            <w:vAlign w:val="center"/>
          </w:tcPr>
          <w:p>
            <w:pPr>
              <w:pStyle w:val="TableContents"/>
              <w:bidi w:val="0"/>
              <w:spacing w:before="0" w:after="283"/>
              <w:jc w:val="both"/>
              <w:rPr/>
            </w:pPr>
            <w:hyperlink w:anchor="sd_011">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470" w:type="dxa"/>
            <w:tcBorders/>
            <w:shd w:fill="FFFFFF" w:val="clear"/>
            <w:vAlign w:val="center"/>
          </w:tcPr>
          <w:p>
            <w:pPr>
              <w:pStyle w:val="TableContents"/>
              <w:bidi w:val="0"/>
              <w:spacing w:before="0" w:after="283"/>
              <w:jc w:val="both"/>
              <w:rPr/>
            </w:pPr>
            <w:hyperlink w:anchor="sd_012">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470" w:type="dxa"/>
            <w:tcBorders/>
            <w:shd w:fill="CCEEFF" w:val="clear"/>
            <w:vAlign w:val="center"/>
          </w:tcPr>
          <w:p>
            <w:pPr>
              <w:pStyle w:val="TableContents"/>
              <w:bidi w:val="0"/>
              <w:spacing w:before="0" w:after="283"/>
              <w:jc w:val="both"/>
              <w:rPr/>
            </w:pPr>
            <w:hyperlink w:anchor="sd_01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470" w:type="dxa"/>
            <w:tcBorders/>
            <w:shd w:fill="FFFFFF" w:val="clear"/>
            <w:vAlign w:val="center"/>
          </w:tcPr>
          <w:p>
            <w:pPr>
              <w:pStyle w:val="TableContents"/>
              <w:bidi w:val="0"/>
              <w:spacing w:before="0" w:after="283"/>
              <w:jc w:val="both"/>
              <w:rPr/>
            </w:pPr>
            <w:hyperlink w:anchor="jw_001">
              <w:r>
                <w:rPr>
                  <w:rStyle w:val="InternetLink"/>
                  <w:rFonts w:ascii="Times New Roman;Times;Serif" w:hAnsi="Times New Roman;Times;Serif"/>
                  <w:b w:val="false"/>
                  <w:i w:val="false"/>
                  <w:caps w:val="false"/>
                  <w:smallCaps w:val="false"/>
                  <w:sz w:val="20"/>
                </w:rPr>
                <w:t>INDEX TO FINANCIAL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in connection with this offering is accurate only as of the date of such free writing prospectus.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shares, share data, per share data and related information depict the effect of the 1-for-10 reverse stock split of the shares of our outstanding common stock, effective as of July 8, 2025 (the “July Reverse Stock Split”), as if it had occurred at the beginning of the earliest period presented. The July Reverse Stock Split combined each ten shares of our outstanding shares of common stock into one share of common stock, without any change in the par value per share, and the July Reverse Stock Split correspondingly adjusted, among other things, the number of shares of outstanding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Y-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our 2025 Annual Report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Y-003"/>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and in November 2025 we acquired the assets of Superblocks, in order to expand our product offerings and customer base. Our </w:t>
      </w:r>
      <w:r>
        <w:rPr>
          <w:rFonts w:ascii="Times New Roman;Times;Serif" w:hAnsi="Times New Roman;Times;Serif"/>
          <w:b w:val="false"/>
          <w:i w:val="false"/>
          <w:caps w:val="false"/>
          <w:smallCaps w:val="false"/>
          <w:sz w:val="20"/>
          <w:shd w:fill="FFFFFF" w:val="clear"/>
        </w:rPr>
        <w:t xml:space="preserve">platform currently includes several products, ranging across demand generation, webinar hosting, video creation and email newsletters.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February 9, 2026, February 25, 2026, and March 30, 2026, the Company entered into exchange agreements with Agile pursuant to which the Company issued an aggregate of approximately 586,000 shares of its Class A Common Stock in exchange for aggregate reductions of approximately $660,000 in the outstanding balance of the March Agile Note. Following these exchanges, the outstanding balance of the March Agile Note was reduced to approximately $1.3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684,000 RSUs granted to employees vested into shares of Class A Common Stock. In addition, the Company will issue 446,004 shares of Class B Common Stock to the Company’s CEO, of which, approximately 297,336 shares relate to a tranche of the CEO Award vesting upon achieving a market capitalization threshold, and the remaining 148,668 shares relate to the CEO’s 2025 bonus payment. See Note 16,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Company issued Advance Notices to Yorkville pursuant to the SEPA in which the Company requested the purchase of approximately 635,000 shares of the Company’s Class A Common Stock at an aggregate gross value of approximately $700 thousand, and net proceeds of approximately $670 thousand were applied against the outstanding Yorkville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Offering (3i,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$1.11 per share and issuance date of February 13, 2026 (the “February 3i Note,” together with the August Note, the October Note, and the Initial Note, are collectively referred to herein as the “Notes”), and additional warrants to purchase up to 420,000 shares of Common Stock, at an initial exercise price equal to $2.50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$0.254.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Buyer exercised its contractual conversion option multiple times under the August 3i Note, the October 3i Note, and the February 3i Note and received an aggregate of approximately 2.9 million shares of Class A Common Stock at conversion prices per share ranging from $0.83 to $1.10 in satisfaction of approximately $2.7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Conversions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476 thousand shares of Class A Common Stock at conversion prices ranging from $0.825 to $0.930 in satisfaction of approximately $392 thousand of the Company’s obligations under the respective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2.1 million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Yorkville has committed to purchase up to $100 million of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Common Stock to be issued pursuant to such Advance Notice, and (z) the Company complies with other customary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 As of June 30, 2025, these notes were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Common Stock at an aggregate purchase price based on a price per share equal to the lower of (a) the Fixed Price of $103.83 per share or (b) the Variable Price of 90% of the lowest daily VWAP of the shares of Common Stock on The Nasdaq Capital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Common Stock is less than $103.83 (subject to adjustment from time to time,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Common Stock to be issued to Yorkville from time to time under the SEPA will be issued at one of two pricing options, at the election of the Company. Under Pricing Option 1, the Company will sell Common Stock at 95% of the VWAP of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Common Stock at 96% of the lowest daily VWAP of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Common Stock under the SEPA if those shares of Common Stock, when aggregated with all other shares of Common Stock acquired by Yorkville under the SEPA, would result in Yorkville beneficially owning more than 9.99% of the then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 SEPA Registration Statements have been fully utilized and as of the date hereof, nothing remains available under the SEPA.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w:t>
      </w:r>
      <w:r>
        <w:rPr>
          <w:rFonts w:ascii="Times New Roman;Times;Serif" w:hAnsi="Times New Roman;Times;Serif"/>
          <w:b/>
          <w:i w:val="false"/>
          <w:caps w:val="false"/>
          <w:smallCaps w:val="false"/>
          <w:sz w:val="20"/>
        </w:rPr>
        <w:t>Amended Debt Repayment Agreement</w:t>
      </w:r>
      <w:r>
        <w:rPr>
          <w:rFonts w:ascii="Times New Roman;Times;Serif" w:hAnsi="Times New Roman;Times;Serif"/>
          <w:b w:val="false"/>
          <w:i w:val="false"/>
          <w:caps w:val="false"/>
          <w:smallCaps w:val="false"/>
          <w:sz w:val="20"/>
        </w:rPr>
        <w:t>”) with Yorkville with respect to the unsecured promissory note in the principal amount of $2,000,000 issued to Yorkville on December 14, 2023 (the “</w:t>
      </w:r>
      <w:r>
        <w:rPr>
          <w:rFonts w:ascii="Times New Roman;Times;Serif" w:hAnsi="Times New Roman;Times;Serif"/>
          <w:b/>
          <w:i w:val="false"/>
          <w:caps w:val="false"/>
          <w:smallCaps w:val="false"/>
          <w:sz w:val="20"/>
        </w:rPr>
        <w:t>December Promissory Note</w:t>
      </w:r>
      <w:r>
        <w:rPr>
          <w:rFonts w:ascii="Times New Roman;Times;Serif" w:hAnsi="Times New Roman;Times;Serif"/>
          <w:b w:val="false"/>
          <w:i w:val="false"/>
          <w:caps w:val="false"/>
          <w:smallCaps w:val="false"/>
          <w:sz w:val="20"/>
        </w:rPr>
        <w:t>”) and the unsecured promissory note in the principal amount of $1,500,000 issued to Yorkville on March 26, 2024 (the “</w:t>
      </w:r>
      <w:r>
        <w:rPr>
          <w:rFonts w:ascii="Times New Roman;Times;Serif" w:hAnsi="Times New Roman;Times;Serif"/>
          <w:b/>
          <w:i w:val="false"/>
          <w:caps w:val="false"/>
          <w:smallCaps w:val="false"/>
          <w:sz w:val="20"/>
        </w:rPr>
        <w:t>March Promissory Note</w:t>
      </w:r>
      <w:r>
        <w:rPr>
          <w:rFonts w:ascii="Times New Roman;Times;Serif" w:hAnsi="Times New Roman;Times;Serif"/>
          <w:b w:val="false"/>
          <w:i w:val="false"/>
          <w:caps w:val="false"/>
          <w:smallCaps w:val="false"/>
          <w:sz w:val="20"/>
        </w:rPr>
        <w:t>,” together with the December Promissory Note, the “</w:t>
      </w:r>
      <w:r>
        <w:rPr>
          <w:rFonts w:ascii="Times New Roman;Times;Serif" w:hAnsi="Times New Roman;Times;Serif"/>
          <w:b/>
          <w:i w:val="false"/>
          <w:caps w:val="false"/>
          <w:smallCaps w:val="false"/>
          <w:sz w:val="20"/>
        </w:rPr>
        <w:t>Promissory Notes</w:t>
      </w:r>
      <w:r>
        <w:rPr>
          <w:rFonts w:ascii="Times New Roman;Times;Serif" w:hAnsi="Times New Roman;Times;Serif"/>
          <w:b w:val="false"/>
          <w:i w:val="false"/>
          <w:caps w:val="false"/>
          <w:smallCaps w:val="false"/>
          <w:sz w:val="20"/>
        </w:rPr>
        <w:t>”).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As of the date hereof, there is no outstanding balance under the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for shares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we entered into a Convertible Promissory Note (the “</w:t>
      </w:r>
      <w:r>
        <w:rPr>
          <w:rFonts w:ascii="Times New Roman;Times;Serif" w:hAnsi="Times New Roman;Times;Serif"/>
          <w:b/>
          <w:i w:val="false"/>
          <w:caps w:val="false"/>
          <w:smallCaps w:val="false"/>
          <w:sz w:val="20"/>
        </w:rPr>
        <w:t>September 2025 Note</w:t>
      </w:r>
      <w:r>
        <w:rPr>
          <w:rFonts w:ascii="Times New Roman;Times;Serif" w:hAnsi="Times New Roman;Times;Serif"/>
          <w:b w:val="false"/>
          <w:i w:val="false"/>
          <w:caps w:val="false"/>
          <w:smallCaps w:val="false"/>
          <w:sz w:val="20"/>
        </w:rPr>
        <w:t>”) in the principal amount of $2,000,000 (the “</w:t>
      </w:r>
      <w:r>
        <w:rPr>
          <w:rFonts w:ascii="Times New Roman;Times;Serif" w:hAnsi="Times New Roman;Times;Serif"/>
          <w:b/>
          <w:i w:val="false"/>
          <w:caps w:val="false"/>
          <w:smallCaps w:val="false"/>
          <w:sz w:val="20"/>
        </w:rPr>
        <w:t>Original Principal Amount</w:t>
      </w:r>
      <w:r>
        <w:rPr>
          <w:rFonts w:ascii="Times New Roman;Times;Serif" w:hAnsi="Times New Roman;Times;Serif"/>
          <w:b w:val="false"/>
          <w:i w:val="false"/>
          <w:caps w:val="false"/>
          <w:smallCaps w:val="false"/>
          <w:sz w:val="20"/>
        </w:rPr>
        <w:t>”) with Yorkville, to be used as an advance under the SEPA. The Company received $890,000 from Yorkville on that same date (“Advance #1), which reflects 50% of the Original Principal Amount, 10% discount and certain fees owed at such time. Upon the effectiveness of the registration statement on Form S-1, originally filed with the SEC on September 12, 2025 (File No. 333-290241) and the delivery of a closing statement, Yorkville shall remit an amount equal to 50% of the remaining Original Principal Amount, or $1,000,000, less a discount equal to 10% of the Original Principal Amount, netted from the purchase price due and structured as a purchase discount (“</w:t>
      </w:r>
      <w:r>
        <w:rPr>
          <w:rFonts w:ascii="Times New Roman;Times;Serif" w:hAnsi="Times New Roman;Times;Serif"/>
          <w:b/>
          <w:i w:val="false"/>
          <w:caps w:val="false"/>
          <w:smallCaps w:val="false"/>
          <w:sz w:val="20"/>
        </w:rPr>
        <w:t>Advance #2</w:t>
      </w:r>
      <w:r>
        <w:rPr>
          <w:rFonts w:ascii="Times New Roman;Times;Serif" w:hAnsi="Times New Roman;Times;Serif"/>
          <w:b w:val="false"/>
          <w:i w:val="false"/>
          <w:caps w:val="false"/>
          <w:smallCaps w:val="false"/>
          <w:sz w:val="20"/>
        </w:rPr>
        <w:t>”). As of the date of this prospectus, the Company received net proceeds of $900,000 from Yorkville (“</w:t>
      </w:r>
      <w:r>
        <w:rPr>
          <w:rFonts w:ascii="Times New Roman;Times;Serif" w:hAnsi="Times New Roman;Times;Serif"/>
          <w:b/>
          <w:i w:val="false"/>
          <w:caps w:val="false"/>
          <w:smallCaps w:val="false"/>
          <w:sz w:val="20"/>
        </w:rPr>
        <w:t>Advance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 was issued on September 16, 2025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and the maturity date of the Note is March 16, 2026, but may be extended at the option of the Company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from the Issuance Date, and continuing on the same day of each successive calendar month thereafter, (each, an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the Company shall repay a portion of the outstanding balance of the Note in an amount equal to the sum of (i) $500,000 of principal (or the outstanding Principal if less than such amount), plus (ii) a payment premium in an amount equal to 4% of the Principal amount being paid (the “</w:t>
      </w:r>
      <w:r>
        <w:rPr>
          <w:rFonts w:ascii="Times New Roman;Times;Serif" w:hAnsi="Times New Roman;Times;Serif"/>
          <w:b/>
          <w:i w:val="false"/>
          <w:caps w:val="false"/>
          <w:smallCaps w:val="false"/>
          <w:sz w:val="20"/>
        </w:rPr>
        <w:t>Payment Premium</w:t>
      </w:r>
      <w:r>
        <w:rPr>
          <w:rFonts w:ascii="Times New Roman;Times;Serif" w:hAnsi="Times New Roman;Times;Serif"/>
          <w:b w:val="false"/>
          <w:i w:val="false"/>
          <w:caps w:val="false"/>
          <w:smallCaps w:val="false"/>
          <w:sz w:val="20"/>
        </w:rPr>
        <w:t>”), and (iii) accrued and unpaid interest hereunder as of each Installment Date (collectively, the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The Company maintains the right to pay each Installment Amount in cash or via an Advance Notice pursuant to the SEPA or any combination thereof. The September 2025 Note bears an interest annual rate of 6%, which shall increase to 18% upon the occurrence of an Event of Default, as defined in the September 2025 Note. The September 2025 Note is convertible into shares of the Company’s Class A common stock, at a conversion price of $2.50 per share (the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Yorkville may elect to convert part or all of the outstanding balance of the September 2025 Note at any time or from time to time after the Issuance Date. The Company maintains the right to redeem all or any part of the September 2025 Note, at any time, provided that (i) the Company provides Yorkville with at least 10 trading days’ prior written notice (each,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of its desire to prepay the outstanding amount (an “</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and (ii) on the date the Redemption Notice is issued, the VWAP of the Class A Common Stock is less than the Conversion Price.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issued multiple Advance Notices to Yorkville pursuant to the SEPA, pursuant to which Yorkville purchased an aggregate of 437,000 shares of the Company’s Class A Common Stock for total gross proceeds of approximately $874,665, with such proceeds applied against outstanding balances under the Yorkville Convertible Notes. The shares were issued at per-share prices ranging from $1.23 to $3.08, with settlements occurring between October and December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 issued an Advance Notice to Yorkville pursuant to the SEPA in which the Company requested the purchase of 70,000 shares of the Company’s Class A Common Stock at a purchase price of $1.2148 for a total purchase price of $85,036 to be applied against the outstanding Yorkville Convertible Notes. Upon the settlement on January 26, 2026, the Company issued to Yorkville 70,000 shares of Class A Common Stock.</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issued an Advance Notice to Yorkville pursuant to the SEPA in which the Company requested the purchase of 300,000 shares of the Company’s Class A Common Stock at a purchase price of $1.131 for a total purchase price of $339,300 to be applied against the outstanding Yorkville Convertible Notes. Upon the settlement on February 10, 2026, the Company issued to Yorkville 300,000 shares of Class A Common Stock.</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Company issued an Advance Notice to Yorkville pursuant to the SEPA in which the Company requested the purchase of 150,000 shares of the Company’s Class A Common Stock at a purchase price of $1.0856 for a total purchase price of $162,840 to be applied against the outstanding Yorkville Convertible Notes. Upon the settlement on February 26, 2026, the Company issued to Yorkville 150,000 shares of Class A Common Stock.</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the Company issued an Advance Notice to Yorkville pursuant to the SEPA in which the Company requested the purchase of 65,000 shares of the Company’s Class A Common Stock at a purchase price of $1.0345 for a total purchase price of $67,243 to be applied against the outstanding Yorkville Convertible Notes. Upon the settlement on March 16, 2026, the Company issued to Yorkville 65,000 shares of Class A Common Stock.</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issued an Advance Notice to Yorkville pursuant to the SEPA in which the Company requested the purchase of 50,000 shares of the Company’s Class A Common Stock at a purchase price of $0.9258 for a total purchase price of $46,292 to be applied against the outstanding Yorkville Convertible Notes. Upon the settlement on March 26, 2026, the Company issued to Yorkville 50,000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Termination of the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Common Stock equal to the commitment amount of $100.0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Effect of Issuances of Common Stock Under the SEPA on our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that may be issued by us to Yorkville under the SEPA that were registered under the Securities Act for resale by Yorkville on the Prior SEPA Registration Statements are expected to be freely tradable. The shares of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Common Stock to decline. Issuances of shares of Common Stock, if any, to Yorkville under the SEPA will depend upon market conditions and other factors. We may ultimately decide to issue to Yorkville all, some, or none of the shares of Common Stock that may be available for issuance to Yorkville pursuant to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subscription price per shares of Common Stock to be paid by Yorkville for Common Stock will fluctuate based on the market prices of our Common Stock during the applicable pricing period, as of the date of this prospectus we cannot reliably predict the number of shares of Common Stock that we will issue to Yorkville under the SEPA, the actual subscription price per share of Common Stock to be paid by Yorkville for those shares of Common Stock, or the actual gross proceeds to be raised by us from those issuances,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Common Stock to Yorkville pursuant to the SEPA would not affect the rights or privileges of our existing stockholders, except that the economic and voting interests of each of our existing stockholders would be diluted. Although the number of shares of Common Stock that our existing stockholders own would not decrease as a result of issuances, if any, under the SEPA, the shares of Common Stock owned by our existing stockholders would represent a smaller percentage of our total issued shares of Common Stock after any such issuance.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in the past and may never achieve or maintain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with our current offerings, which makes it difficult to evaluate our current and future business prospects and increases the risk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new customers on a cost-effective basis, our business will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growth, our business, results of operations, and financial condition may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our growth initiatives, business strategies, or operating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assumptions, analyses, and estimates upon which our forecasts, projections and outlook are based prove to be incorrect or inaccurate, our actual results may differ materially from those forecasted or projected.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and retain qualified personnel, our business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a limited history working together operating the Company and, as a result, our past results may not be indicative of future operating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adequately fund our development efforts, we may not be able to compete effectively and our business and operating results may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can be lengthy and unpredictable, which may cause our operating results to vary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data security breaches and ransomware attacks may create financial liabilities for us, damage our reputation, and harm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and regulations could impose additional costs and reduce demand for our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solutions, and internal systems, as well as external internet infrastructure, may be subject to disruption that could harm our reputation and future sales or result in claims against us.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in our product offerings could harm our reputation or decrease market acceptance of our product offerings, which would harm our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maintain and enhance our brands, our business may suffer.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to offset future taxable income may be subject to certain limitations.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continue making significant investments in software development and equipment to improve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results could have a material adverse impact on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or enforce our intellectual property rights could harm our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or otherwise violating their intellectual property rights, the outcome of which would be uncertain and could harm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 could adversely affect our ability to offer our solutions and subject us to possible litigation.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may depress their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(as defined below) may delist our securities from trading on its exchange, which could limit investors’ ability to make transactions in our securities and subject us to additional trading restrictions.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on a national securities exchange it will become subject to the so-called “penny stock” rules that impose restrictive sales practice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has the effect of concentrating voting power with our Chief Executive Officer and Co-Founder, Joseph Davy, which may limit an investor’s ability to influence the outcome of important transactions, including a change in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our dual class structure will have on the market price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Class A Common Stock is likely to be highly volatile, and you may lose some or all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Class A Common Stock could subject us to securities class action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us, or publish negative reports, then our stock price and trading volume could decline.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increased costs and demands upon management as a result of complying with the laws and regulations affecting public companies, which could adversely affect our business,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collectively beneficially own approximately 27.2% of the voting power of our outstanding Common Stock and may have significant influence over the outcome of important transactions, including a change in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currently anticipated that we will pay dividends on shares of Class A Common Stock, and, consequently, your ability to achieve a return on your investment will depend on appreciation, if any, in the market price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(“DGCL”) and our Second Amended and Restated Certificate of Incorporation (“Charter”) and Second Amended and Restated Bylaws (“Bylaws”) contain certain provisions, including anti-takeover provisions, that limit the ability of stockholders to take certain actions and could delay or discourage takeover attempts that stockholders may consider favorable.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clause set forth in certain of the agreements covering certain outstanding warrants may have the effect of limiting an investor’s rights to bring legal action and could limit the investor’s ability to obtain a favorable judicial forum.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prove to be incorrect or financial reporting standards or interpretations change, our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your unexpired Public Warrants (as hereinafter defined) prior to their exercise at a time that is disadvantageous to you, thereby making your Public Warrants worthless.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Class A Common Stock or Preferred Stock, including under our equity incentive plan. Any such issuances would dilute the interest of our stockholders and likely present other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effective registration statement could reduce the market price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435 Ericksen Ave NE, Suite 250, Bainbridge Island, WA 98110. Our telephone number is (206) 414-1777. Our website address is www.banzai.io. The information on our corporate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9"/>
        <w:gridCol w:w="60"/>
        <w:gridCol w:w="7206"/>
      </w:tblGrid>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 shares of Class A Common Stock that may be issued pursuant to Advances under the SEPA</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outstanding on April 17,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18,790,422</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and other information included in this prospectus for a discussion of factors you should consider before investing in our securities.</w:t>
            </w:r>
          </w:p>
        </w:tc>
      </w:tr>
      <w:tr>
        <w:trPr/>
        <w:tc>
          <w:tcPr>
            <w:tcW w:w="2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traded on The Nasdaq Capital Market under the symbol “BNZI.”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A Common Stock that are and will be outstanding immediately before and after this registration statement is effective is based on 18,790,422 shares of our Class A Common Stock outstanding as of April 17, 2026, which excludes: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23,000 shares issuable upon exercise of outstanding Public Warrants with an exercise price of $5,750.00;</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1,657 shares issuable upon exercise of the warrant issued on December 14, 2023 (the “GEM Warrant”), to GEM Global Yield LLC SCS and GEM Yield Bahamas Limited (collectively, “GEM”), with an exercise price of $3,407.25 per share, which will be adjusted downward to 105% of the per share consideration received in this offering pursuant to anti-dilution price protections contained within those warrants;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pPr>
            <w:r>
              <w:rPr>
                <w:sz w:val="20"/>
              </w:rPr>
              <w:t>5,293</w:t>
            </w:r>
            <w:r>
              <w:rPr/>
              <w:t xml:space="preserve"> </w:t>
            </w:r>
            <w:r>
              <w:rPr>
                <w:sz w:val="20"/>
              </w:rPr>
              <w:t>shares issuable within 60 days from the report date upon exercise of outstanding stock options with a weighted average exercise price of $791.50 granted through April 17,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1,037,644 shares issuable within 60 days from the report date upon vesting of outstanding restricted stock units granted through April 17,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677,118 shares issuable upon conversion of outstanding shares of Class B common stock;</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 xml:space="preserve">27,778 shares issuable upon exercise of outstanding common stock purchase warrants with an exercise price of $90.00 that were issued May 2024 pursuant to a “best efforts” offering of our Class A common stock (“Best Efforts Offering”);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1,667 shares issuable upon exercise of warrants issued to the placement agent of the Best Efforts Offering with an exercise price of $100.00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56,555 shares are issuable upon exercise of the CPBF common stock warrant with an exercise price of $2.50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133,134 shares are issuable upon exercise of the Alco common stock warrant with an exercise price of $40.20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117,647 shares issuable upon exercise of outstanding Class A common stock purchase warrants that were issued on November 6, 2024, with an exercise price of $25.00;</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117,647 shares issuable upon exercise of outstanding Class B common stock purchase warrants that were issued on November 6, 2024, with an exercise price of $25.00;</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8,824 shares issuable upon exercise of warrants issued to the placement agent pursuant to the “PIPE” that closed in June 2025, with an exercise price of $53.13;</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pPr>
            <w:r>
              <w:rPr>
                <w:sz w:val="20"/>
              </w:rPr>
              <w:t>399,120</w:t>
            </w:r>
            <w:r>
              <w:rPr/>
              <w:t xml:space="preserve"> </w:t>
            </w:r>
            <w:r>
              <w:rPr>
                <w:sz w:val="20"/>
              </w:rPr>
              <w:t>shares issuable upon exercise of common stock purchase of 3i LP warrants issued on June 30, 2025, with an exercise price of 1.11 as per exercise adjusted and reset as of February 13,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50,157 shares issuable upon exercise of warrants issued to the financial advisor of the transaction that closed on June 30, 2025, with an exercise price of $3.4891;</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pPr>
            <w:r>
              <w:rPr>
                <w:sz w:val="20"/>
              </w:rPr>
              <w:t>396,396</w:t>
            </w:r>
            <w:r>
              <w:rPr/>
              <w:t xml:space="preserve"> </w:t>
            </w:r>
            <w:r>
              <w:rPr>
                <w:sz w:val="20"/>
              </w:rPr>
              <w:t>shares issuable upon exercise of common stock purchase of 3i LP warrants issued on August 19, 2025, with an exercise price of $1.11 as per exercise price adjusted and reset as of February 13,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40,125 shares issuable upon exercise of warrants issued to the financial advisor of 3i LP of the transaction that closed on August 19, 2025, with an exercise price of $4.36.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450,450 shares issuable upon exercise of common stock purchase of 3i LP warrants issued on October 8, 2025, with an exercise price of $1.11 as per exercise price adjusted and reset as of February 13,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63,636 shares issuable upon exercise of warrants issued to the financial advisor of 3i LP of the transaction that closed on October 8, 2025, with an exercise price of $3.13;</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420,420 shares issuable upon exercise of common stock purchase of 3i LP warrants issued on February 13, 2026, with an exercise price of $1.11;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sz w:val="20"/>
              </w:rPr>
            </w:pPr>
            <w:r>
              <w:rPr>
                <w:sz w:val="20"/>
              </w:rPr>
              <w:t>133,771 shares issuable upon exercise of warrants issued to the financial advisor of 3i LP of the transaction that closed on February 13, 2026 with an exercise price of $1.39.</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Y-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$18.5 million, and $13.5 million, in the years ended December 31, 2025, and 2024,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Times;Serif" w:hAnsi="Times New Roman;Times;Serif"/>
          <w:b w:val="false"/>
          <w:i w:val="false"/>
          <w:caps w:val="false"/>
          <w:smallCaps w:val="false"/>
          <w:color w:val="212529"/>
          <w:sz w:val="20"/>
          <w:shd w:fill="FFFFFF" w:val="clear"/>
        </w:rPr>
        <w:t>i</w:t>
      </w:r>
      <w:r>
        <w:rPr>
          <w:rFonts w:ascii="Times New Roman;Times;Serif" w:hAnsi="Times New Roman;Times;Serif"/>
          <w:b w:val="false"/>
          <w:i w:val="false"/>
          <w:caps w:val="false"/>
          <w:smallCaps w:val="false"/>
          <w:sz w:val="20"/>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including OpenReel in 2024 and Vidello in 2025.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firstLine="36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110"/>
        <w:gridCol w:w="938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resulting from our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from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acquired operations, personnel, technologies, or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 from existing business operations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resources that are needed in other parts of our business, including integration of other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write-offs of acquired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relationships with customers and partners of the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of transitioning acquired technology and related infrastructures into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maintaining security and privacy standards of acquired technology consistent with our existing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financial and credit risks associated with the acquired businesses or their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implement internal controls, procedures, and policies at the acquired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comply with additional laws and regulations applicable to the acquired businesses;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and indirect tax impacts of any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find attractive targets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firstLine="36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10"/>
        <w:gridCol w:w="6335"/>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Vimeo, Zoom, and GoToWebinar with respect to video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Mailchimp and Constant Contact with respect to email marketing;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Marketo, Hubspot, and Braze with respect to marketing automation platforms.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condition of our current and potential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sales and implementation cycles;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and expansions of our product offerings, or challenges with their introduction;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or fee structures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offering introductions by us or our competitors or any other change in the competitive landscape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expenses that we may incur to grow and expand our operations and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information security or privacy;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stock-based compensation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costs and capital expenditures related to the expansion of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ongoing or future regulatory investigations or examinations, or of future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accurate accounting estimates and appropriately recognize revenue for our existing and future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both domestic and international;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global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 including terrorist activities and outbreaks of public health threats, such as coronavirus, influenza, or other highly communicable diseases or viruses, and any disruption these events may cause to the global economy;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the years ended December 31, 2025 and 2024, our net cash used in operating activities was $15.7 million and $9.6 million, respectively. As of December 31, 2025 and 2024, we had $0.3 million and $1.1 million of cash, respectively, which were held for working capital purposes. As of December 31, 2025 and 2024, we had borrowings totaling $10.6 million and $12.4 million, respectively, outstanding under our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10"/>
        <w:gridCol w:w="710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w:t>
      </w:r>
      <w:r>
        <w:rPr>
          <w:rFonts w:ascii="Times New Roman;Times;Serif" w:hAnsi="Times New Roman;Times;Serif"/>
          <w:b w:val="false"/>
          <w:i/>
          <w:caps w:val="false"/>
          <w:smallCaps w:val="false"/>
          <w:sz w:val="20"/>
        </w:rPr>
        <w:t>Risk Factors – Sales of a substantial number of shares of Class A Common Stock in the public market pursuant to our registration statements could reduce the market price of Class A Common Stock.”</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the consolidated financial statements elsewhere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and subsequently we effected the July Reverse Stock Split on July 8, 2025. Following the July Reverse Stock Split, the bid price of our Class A Common Stock surpassed $1.00 per share.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we were not in compliance with certain Nasdaq listing rules and had a hearing before The Nasdaq Panel, on September 19, 2024. Following that hearing, the Panel determined to phase our Class A Common Stock down from The Nasdaq Global Market to The Nasdaq Capital Market. Since October 31, 2024, our Class A Common Stock trades on The Nasdaq Capital Market, under the same symbol, BNZI. Later, we fell out of compliance with Listing Rule 5450(b)(2)(A) (the (“Market Value of Listed Securities”), but the Nasdaq Stock Market LLC, Office of the General Counsel ultimately determined we demonstrated compliance therewith. There can be no assurance that we will be able to maintain compliance with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regulation in each state in which we offer our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26.6% of our outstanding voting power as of April 17,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 including fluctuations in its quarterly and annual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involving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its competitors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its other public announcements and its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estimates and projections of the investment community or that it may otherwise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Common Stock by us or our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pandemics, epidemics, or other public health emergencies;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 other events or factors, many of which are beyond our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27.2% of the voting power of our outstanding Common Stock and may have significant influence over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27.2% of the voting power of our outstanding shares of Common Stock as of the date of this prospectus, based on the number of shares outstanding as of April 17,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shares of our Class B Common Stock are entitled to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stockholders to take action by written consent in lieu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the liability of, and the indemnification of, our directors and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amend the Bylaws, which may allow the Board to take additional actions to prevent an unsolicited takeover and inhibit the ability of an acquirer to amend the Bylaws to facilitate an unsolicited takeover attempt;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a smaller reporting company. We cannot be certain whether the reduced disclosure requirements applicable to smaller reporting companies will make our common stock less attractive to investors or otherwise limit our ability to raise additional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Any such issuances of additional shares of Common Stock or Preferred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Common Stock and/or Public Warrants.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to the consolidated financial statements and “</w:t>
      </w:r>
      <w:r>
        <w:rPr>
          <w:rFonts w:ascii="Times New Roman;Times;Serif" w:hAnsi="Times New Roman;Times;Serif"/>
          <w:b w:val="false"/>
          <w:i/>
          <w:caps w:val="false"/>
          <w:smallCaps w:val="false"/>
          <w:sz w:val="20"/>
        </w:rPr>
        <w:t>Management’s Discussion and Analysis — Liquidity and Capital Resources”</w:t>
      </w:r>
      <w:r>
        <w:rPr>
          <w:rFonts w:ascii="Times New Roman;Times;Serif" w:hAnsi="Times New Roman;Times;Serif"/>
          <w:b w:val="false"/>
          <w:i w:val="false"/>
          <w:caps w:val="false"/>
          <w:smallCaps w:val="false"/>
          <w:sz w:val="20"/>
        </w:rPr>
        <w:t xml:space="preserve"> for additional information regarding these notes and the related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clause set forth in the Warrant Agreement may have the effect of limiting an investor’s rights to bring legal action and could limit the investor’s ability to obtain a favorable judicial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outstanding warrants, including public warrants originally issued in 7GC’s initial public offering (the “Public Warrants”) and warrants issued to other investors in connection with various financings that the Company has completed (collectively,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to the consolidated financial statements for additional information regarding the Warrants, including the number of shares underlying the Warrants, exercise prices and expiration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making your Public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$9,000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$9,000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Y-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Common Stock being offered by the Selling Securityholder.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Y-006"/>
      <w:bookmarkEnd w:id="7"/>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 Warrants are listed on The Nasdaq Capital Market under the symbols “BNZI” and “BNZIW,” respectively. Our Class B Common Stock is not publicly traded. All Common Stock share and per share information included in this prospectus has bee</w:t>
      </w:r>
      <w:r>
        <w:rPr>
          <w:rFonts w:ascii="Times New Roman;Times;Serif" w:hAnsi="Times New Roman;Times;Serif"/>
          <w:b w:val="false"/>
          <w:i w:val="false"/>
          <w:caps w:val="false"/>
          <w:smallCaps w:val="false"/>
          <w:color w:val="212529"/>
          <w:sz w:val="20"/>
        </w:rPr>
        <w:t>n retroactively adjusted to reflect the impact of the 2024 Reverse Stock Split and 2025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17, 2026, there were 57 holders of record of our Class A Common Stock, 1 holder of record of our Class B Common Stock, and 1 holder of record of our Public Warrants. These numbers do not include beneficial owners whose securities were held in street name.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196"/>
        <w:gridCol w:w="2245"/>
        <w:gridCol w:w="60"/>
        <w:gridCol w:w="60"/>
        <w:gridCol w:w="310"/>
        <w:gridCol w:w="1912"/>
        <w:gridCol w:w="60"/>
        <w:gridCol w:w="60"/>
        <w:gridCol w:w="227"/>
        <w:gridCol w:w="3059"/>
        <w:gridCol w:w="79"/>
      </w:tblGrid>
      <w:tr>
        <w:trPr/>
        <w:tc>
          <w:tcPr>
            <w:tcW w:w="1877"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283"/>
              <w:jc w:val="center"/>
              <w:rPr>
                <w:b/>
              </w:rPr>
            </w:pPr>
            <w:r>
              <w:rPr>
                <w:b/>
              </w:rPr>
              <w:t>Weighted 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6"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 (1)</w:t>
            </w:r>
          </w:p>
        </w:tc>
        <w:tc>
          <w:tcPr>
            <w:tcW w:w="79"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right"/>
              <w:rPr/>
            </w:pPr>
            <w:r>
              <w:rPr/>
              <w:t>12,494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w:t>
            </w:r>
          </w:p>
        </w:tc>
        <w:tc>
          <w:tcPr>
            <w:tcW w:w="1912" w:type="dxa"/>
            <w:tcBorders/>
            <w:shd w:fill="CCEEFF" w:val="clear"/>
            <w:tcMar>
              <w:bottom w:w="0" w:type="dxa"/>
            </w:tcMar>
            <w:vAlign w:val="center"/>
          </w:tcPr>
          <w:p>
            <w:pPr>
              <w:pStyle w:val="TableContents"/>
              <w:bidi w:val="0"/>
              <w:spacing w:before="0" w:after="283"/>
              <w:jc w:val="right"/>
              <w:rPr/>
            </w:pPr>
            <w:r>
              <w:rPr/>
              <w:t>1,577.59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3059" w:type="dxa"/>
            <w:tcBorders/>
            <w:shd w:fill="CCEEFF" w:val="clear"/>
            <w:tcMar>
              <w:bottom w:w="0" w:type="dxa"/>
            </w:tcMar>
            <w:vAlign w:val="center"/>
          </w:tcPr>
          <w:p>
            <w:pPr>
              <w:pStyle w:val="TableContents"/>
              <w:bidi w:val="0"/>
              <w:spacing w:before="0" w:after="283"/>
              <w:jc w:val="right"/>
              <w:rPr/>
            </w:pPr>
            <w:r>
              <w:rPr/>
              <w:t>487,510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vAlign w:val="center"/>
          </w:tcPr>
          <w:p>
            <w:pPr>
              <w:pStyle w:val="TableContents"/>
              <w:bidi w:val="0"/>
              <w:spacing w:before="0" w:after="283"/>
              <w:jc w:val="left"/>
              <w:rPr/>
            </w:pPr>
            <w:r>
              <w:rPr/>
              <w:t> </w:t>
            </w:r>
          </w:p>
        </w:tc>
        <w:tc>
          <w:tcPr>
            <w:tcW w:w="224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912"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FFFFFF" w:val="clear"/>
            <w:vAlign w:val="center"/>
          </w:tcPr>
          <w:p>
            <w:pPr>
              <w:pStyle w:val="TableContents"/>
              <w:bidi w:val="0"/>
              <w:spacing w:before="0" w:after="283"/>
              <w:jc w:val="left"/>
              <w:rPr/>
            </w:pPr>
            <w:r>
              <w:rPr/>
              <w:t> </w:t>
            </w:r>
          </w:p>
        </w:tc>
        <w:tc>
          <w:tcPr>
            <w:tcW w:w="3059"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vAlign w:val="center"/>
          </w:tcPr>
          <w:p>
            <w:pPr>
              <w:pStyle w:val="TableContents"/>
              <w:bidi w:val="0"/>
              <w:spacing w:before="0" w:after="283"/>
              <w:jc w:val="left"/>
              <w:rPr/>
            </w:pPr>
            <w:r>
              <w:rPr/>
              <w:t> </w:t>
            </w:r>
          </w:p>
        </w:tc>
        <w:tc>
          <w:tcPr>
            <w:tcW w:w="2245" w:type="dxa"/>
            <w:tcBorders>
              <w:bottom w:val="double" w:sz="6" w:space="0" w:color="000000"/>
            </w:tcBorders>
            <w:shd w:fill="CCEEFF" w:val="clear"/>
            <w:vAlign w:val="center"/>
          </w:tcPr>
          <w:p>
            <w:pPr>
              <w:pStyle w:val="TableContents"/>
              <w:bidi w:val="0"/>
              <w:spacing w:before="0" w:after="283"/>
              <w:jc w:val="right"/>
              <w:rPr/>
            </w:pPr>
            <w:r>
              <w:rPr/>
              <w:t>12,494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bottom w:val="double" w:sz="6" w:space="0" w:color="000000"/>
            </w:tcBorders>
            <w:shd w:fill="CCEEFF" w:val="clear"/>
            <w:vAlign w:val="center"/>
          </w:tcPr>
          <w:p>
            <w:pPr>
              <w:pStyle w:val="TableContents"/>
              <w:bidi w:val="0"/>
              <w:spacing w:before="0" w:after="283"/>
              <w:jc w:val="left"/>
              <w:rPr/>
            </w:pPr>
            <w:r>
              <w:rPr/>
              <w:t>$</w:t>
            </w:r>
          </w:p>
        </w:tc>
        <w:tc>
          <w:tcPr>
            <w:tcW w:w="1912" w:type="dxa"/>
            <w:tcBorders>
              <w:bottom w:val="double" w:sz="6" w:space="0" w:color="000000"/>
            </w:tcBorders>
            <w:shd w:fill="CCEEFF" w:val="clear"/>
            <w:vAlign w:val="center"/>
          </w:tcPr>
          <w:p>
            <w:pPr>
              <w:pStyle w:val="TableContents"/>
              <w:bidi w:val="0"/>
              <w:spacing w:before="0" w:after="283"/>
              <w:jc w:val="right"/>
              <w:rPr/>
            </w:pPr>
            <w:r>
              <w:rPr/>
              <w:t>1,577.59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CCEEFF" w:val="clear"/>
            <w:vAlign w:val="center"/>
          </w:tcPr>
          <w:p>
            <w:pPr>
              <w:pStyle w:val="TableContents"/>
              <w:bidi w:val="0"/>
              <w:spacing w:before="0" w:after="283"/>
              <w:jc w:val="left"/>
              <w:rPr/>
            </w:pPr>
            <w:r>
              <w:rPr/>
              <w:t> </w:t>
            </w:r>
          </w:p>
        </w:tc>
        <w:tc>
          <w:tcPr>
            <w:tcW w:w="3059" w:type="dxa"/>
            <w:tcBorders>
              <w:bottom w:val="double" w:sz="6" w:space="0" w:color="000000"/>
            </w:tcBorders>
            <w:shd w:fill="CCEEFF" w:val="clear"/>
            <w:vAlign w:val="center"/>
          </w:tcPr>
          <w:p>
            <w:pPr>
              <w:pStyle w:val="TableContents"/>
              <w:bidi w:val="0"/>
              <w:spacing w:before="0" w:after="283"/>
              <w:jc w:val="right"/>
              <w:rPr/>
            </w:pPr>
            <w:r>
              <w:rPr/>
              <w:t>487,510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486,366 shares available pursuant to our 2023 Equity Incentive Plan and 1,144 shares available pursuant to our Employee Stock Purchase Plan. The total number of securities remaining available for future issuance indicated above reflects the expansion of shares available under the 2023 EIP Plan, to 1,000,000 shares, which Banzai’s shareholders approved on February 28,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Y-007"/>
      <w:bookmarkEnd w:id="8"/>
      <w:r>
        <w:rPr>
          <w:rFonts w:ascii="Times New Roman;Times;Serif" w:hAnsi="Times New Roman;Times;Serif"/>
          <w:b/>
          <w:i w:val="false"/>
          <w:caps w:val="false"/>
          <w:smallCaps w:val="false"/>
          <w:sz w:val="20"/>
        </w:rPr>
        <w:t>MANAGEMENT’S DISCUSSION AND ANALYSIS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and both Vidello and the assets of Superblocks in 2025, further expanding our platform and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Year 2025 Financial and Operational Highlights</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168.6% to $12.2 million for full year 2025 compared to 2024. Total cost of revenue increased only 53.8% year over year, resulting in improved gross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$10.0 million for full year 2025, compared to $3.1 million in 2024. Gross profit was 82.0% in full year 2025 compared to 68.6% in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to $22.5 million for full year 2025, compared to $31.5 million in 2024, which represents a $9.0 million improvement year over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increased $10.8 million to $8.1 million as of December 31, 2025. The company made substantial improvements to the balance sheet during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 payoff and debt conversion agreement for approximately $4.3 million in outstanding senior secured debt. The decision by senior debt holders to convert into equity reflects a strong vote of confidence in our vision and trajectory.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an $11 million debt facility in June 2025 with an institutional investor to support ongoing operations and solidify the foundation for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our customer base to over 150,000 cumulative total customers that have used Banzai products as of December 31, 2025. Customers include blue chip names across healthcare, financial services, e-commerce, technology, and media, with customers in over 90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institutional investor increased their direct equity stake to 18.7% following the exercise of warrants. We believe this demonstrates their confidence in our long-term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strong pipeline focused on the BFSI (banking, financial services, insurance, and FinTech) segment with multiple seven-figure deals. We are seeing substantial improvements in our pipeline, especially for mid-market and enterprise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shifted CreateStudio revenue model from one-time license to recurring subscription revenue. The vast majority of CreateStudio revenue is now recurring, with a very effective customer upsell program running.</w:t>
            </w:r>
          </w:p>
        </w:tc>
      </w:tr>
    </w:tbl>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Superblocks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OpenReel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Item 1. Business, on March 23, 2026, the Company announced that it reached an agreement on terms to acquire assets of ConnectAndSell.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Terminated Act-On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entered </w:t>
      </w:r>
      <w:r>
        <w:rPr>
          <w:rFonts w:ascii="Times New Roman;Times;Serif" w:hAnsi="Times New Roman;Times;Serif"/>
          <w:b w:val="false"/>
          <w:i w:val="false"/>
          <w:caps w:val="false"/>
          <w:smallCaps w:val="false"/>
          <w:sz w:val="20"/>
          <w:shd w:fill="FFFFFF" w:val="clear"/>
        </w:rPr>
        <w:t>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3"/>
        <w:gridCol w:w="60"/>
        <w:gridCol w:w="173"/>
        <w:gridCol w:w="936"/>
        <w:gridCol w:w="117"/>
        <w:gridCol w:w="74"/>
        <w:gridCol w:w="173"/>
        <w:gridCol w:w="936"/>
        <w:gridCol w:w="95"/>
        <w:gridCol w:w="60"/>
        <w:gridCol w:w="140"/>
        <w:gridCol w:w="755"/>
        <w:gridCol w:w="95"/>
        <w:gridCol w:w="60"/>
        <w:gridCol w:w="60"/>
        <w:gridCol w:w="635"/>
        <w:gridCol w:w="233"/>
      </w:tblGrid>
      <w:tr>
        <w:trPr/>
        <w:tc>
          <w:tcPr>
            <w:tcW w:w="56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03"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12,161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168.6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221.2</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27,287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64.9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28,437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GEM settlement fee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1,228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3,968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18,045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-78.0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(22,433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360" w:right="0" w:hanging="0"/>
        <w:jc w:val="both"/>
        <w:rPr>
          <w:caps w:val="false"/>
          <w:smallCaps w:val="false"/>
        </w:rPr>
      </w:pPr>
      <w:r>
        <w:rPr>
          <w:caps w:val="false"/>
          <w:smallCaps w:val="false"/>
        </w:rPr>
        <w:t> </w:t>
      </w:r>
    </w:p>
    <w:tbl>
      <w:tblPr>
        <w:tblW w:w="6167" w:type="dxa"/>
        <w:jc w:val="left"/>
        <w:tblInd w:w="0" w:type="dxa"/>
        <w:tblLayout w:type="fixed"/>
        <w:tblCellMar>
          <w:top w:w="0" w:type="dxa"/>
          <w:left w:w="0" w:type="dxa"/>
          <w:bottom w:w="0" w:type="dxa"/>
          <w:right w:w="0" w:type="dxa"/>
        </w:tblCellMar>
      </w:tblPr>
      <w:tblGrid>
        <w:gridCol w:w="1640"/>
        <w:gridCol w:w="60"/>
        <w:gridCol w:w="221"/>
        <w:gridCol w:w="1078"/>
        <w:gridCol w:w="95"/>
        <w:gridCol w:w="95"/>
        <w:gridCol w:w="221"/>
        <w:gridCol w:w="88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12,161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7,633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168.6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360" w:right="0" w:hanging="0"/>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86"/>
        <w:gridCol w:w="506"/>
        <w:gridCol w:w="80"/>
        <w:gridCol w:w="80"/>
        <w:gridCol w:w="80"/>
        <w:gridCol w:w="588"/>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2,189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766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53.8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432" w:right="0" w:firstLine="432"/>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9,972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6,867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221.2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432" w:right="0" w:firstLine="432"/>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2390"/>
        <w:gridCol w:w="60"/>
        <w:gridCol w:w="206"/>
        <w:gridCol w:w="1004"/>
        <w:gridCol w:w="88"/>
        <w:gridCol w:w="88"/>
        <w:gridCol w:w="206"/>
        <w:gridCol w:w="1004"/>
        <w:gridCol w:w="60"/>
        <w:gridCol w:w="60"/>
        <w:gridCol w:w="147"/>
        <w:gridCol w:w="717"/>
        <w:gridCol w:w="63"/>
        <w:gridCol w:w="63"/>
        <w:gridCol w:w="63"/>
        <w:gridCol w:w="467"/>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28,437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16,573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11,864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71.6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432" w:right="0" w:firstLine="432"/>
        <w:jc w:val="both"/>
        <w:rPr>
          <w:caps w:val="false"/>
          <w:smallCaps w:val="false"/>
        </w:rPr>
      </w:pPr>
      <w:r>
        <w:rPr>
          <w:caps w:val="false"/>
          <w:smallCaps w:val="false"/>
        </w:rPr>
        <w:t> </w:t>
      </w:r>
    </w:p>
    <w:tbl>
      <w:tblPr>
        <w:tblW w:w="7022" w:type="dxa"/>
        <w:jc w:val="left"/>
        <w:tblInd w:w="0" w:type="dxa"/>
        <w:tblLayout w:type="fixed"/>
        <w:tblCellMar>
          <w:top w:w="0" w:type="dxa"/>
          <w:left w:w="0" w:type="dxa"/>
          <w:bottom w:w="0" w:type="dxa"/>
          <w:right w:w="0" w:type="dxa"/>
        </w:tblCellMar>
      </w:tblPr>
      <w:tblGrid>
        <w:gridCol w:w="2390"/>
        <w:gridCol w:w="60"/>
        <w:gridCol w:w="221"/>
        <w:gridCol w:w="887"/>
        <w:gridCol w:w="95"/>
        <w:gridCol w:w="95"/>
        <w:gridCol w:w="221"/>
        <w:gridCol w:w="1078"/>
        <w:gridCol w:w="60"/>
        <w:gridCol w:w="60"/>
        <w:gridCol w:w="140"/>
        <w:gridCol w:w="755"/>
        <w:gridCol w:w="95"/>
        <w:gridCol w:w="60"/>
        <w:gridCol w:w="60"/>
        <w:gridCol w:w="515"/>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reported total other income of approximately $4.0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$2.4 million recognized during the year ended December 31, 2025 compared to $3.0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$4.5 million recognized during the year ended December 31, 2025 compared to $0.7 million recognized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$0.4 million during the year ended December 31, 2025 compared to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$4.9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$2.4 million during the year ended December 31, 2025 compared to $1.1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was a gain of approximately $2.0 million during the year ended December 31, 2025 compared to a loss of approximately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$1.0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terminated Act-On acquisition of $1.4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CP BF notes of approximately $6.5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Alco promissory notes of approximately $4.8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loss associated with the OpenReel acquisition of approximately $2.7 million during the year ended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432" w:right="0" w:firstLine="432"/>
        <w:jc w:val="both"/>
        <w:rPr>
          <w:caps w:val="false"/>
          <w:smallCaps w:val="false"/>
        </w:rPr>
      </w:pPr>
      <w:r>
        <w:rPr>
          <w:caps w:val="false"/>
          <w:smallCaps w:val="false"/>
        </w:rPr>
        <w:t> </w:t>
      </w:r>
    </w:p>
    <w:tbl>
      <w:tblPr>
        <w:tblW w:w="6436" w:type="dxa"/>
        <w:jc w:val="left"/>
        <w:tblInd w:w="0" w:type="dxa"/>
        <w:tblLayout w:type="fixed"/>
        <w:tblCellMar>
          <w:top w:w="0" w:type="dxa"/>
          <w:left w:w="0" w:type="dxa"/>
          <w:bottom w:w="0" w:type="dxa"/>
          <w:right w:w="0" w:type="dxa"/>
        </w:tblCellMar>
      </w:tblPr>
      <w:tblGrid>
        <w:gridCol w:w="1910"/>
        <w:gridCol w:w="60"/>
        <w:gridCol w:w="393"/>
        <w:gridCol w:w="733"/>
        <w:gridCol w:w="167"/>
        <w:gridCol w:w="167"/>
        <w:gridCol w:w="393"/>
        <w:gridCol w:w="743"/>
        <w:gridCol w:w="60"/>
        <w:gridCol w:w="60"/>
        <w:gridCol w:w="168"/>
        <w:gridCol w:w="313"/>
        <w:gridCol w:w="72"/>
        <w:gridCol w:w="72"/>
        <w:gridCol w:w="72"/>
        <w:gridCol w:w="823"/>
        <w:gridCol w:w="230"/>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61</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313" w:type="dxa"/>
            <w:tcBorders/>
            <w:shd w:fill="CCEEFF" w:val="clear"/>
            <w:vAlign w:val="center"/>
          </w:tcPr>
          <w:p>
            <w:pPr>
              <w:pStyle w:val="TableContents"/>
              <w:bidi w:val="0"/>
              <w:spacing w:before="0" w:after="283"/>
              <w:jc w:val="right"/>
              <w:rPr/>
            </w:pPr>
            <w:r>
              <w:rPr/>
              <w:t>61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1614.3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no unrecognized tax benefits that would impact our effective tax rate if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method calculated the aggregate market value of the Company based on the total number of outstanding shares of common and preferred stock and the market prices of the shares as of the assessment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quantitative assessment indicated that the fair value of each of the Company’s reporting units exceeded its carrying value, therefore no goodwill impairment was recognized for the year ended December 31,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estimates under the Fair Value Option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7072" w:type="dxa"/>
        <w:jc w:val="left"/>
        <w:tblInd w:w="0" w:type="dxa"/>
        <w:tblLayout w:type="fixed"/>
        <w:tblCellMar>
          <w:top w:w="0" w:type="dxa"/>
          <w:left w:w="0" w:type="dxa"/>
          <w:bottom w:w="0" w:type="dxa"/>
          <w:right w:w="0" w:type="dxa"/>
        </w:tblCellMar>
      </w:tblPr>
      <w:tblGrid>
        <w:gridCol w:w="2510"/>
        <w:gridCol w:w="60"/>
        <w:gridCol w:w="213"/>
        <w:gridCol w:w="968"/>
        <w:gridCol w:w="144"/>
        <w:gridCol w:w="91"/>
        <w:gridCol w:w="213"/>
        <w:gridCol w:w="968"/>
        <w:gridCol w:w="95"/>
        <w:gridCol w:w="60"/>
        <w:gridCol w:w="170"/>
        <w:gridCol w:w="553"/>
        <w:gridCol w:w="115"/>
        <w:gridCol w:w="72"/>
        <w:gridCol w:w="72"/>
        <w:gridCol w:w="538"/>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(7,267</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(761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174"/>
        <w:gridCol w:w="939"/>
        <w:gridCol w:w="117"/>
        <w:gridCol w:w="74"/>
        <w:gridCol w:w="174"/>
        <w:gridCol w:w="939"/>
        <w:gridCol w:w="95"/>
        <w:gridCol w:w="60"/>
        <w:gridCol w:w="140"/>
        <w:gridCol w:w="635"/>
        <w:gridCol w:w="95"/>
        <w:gridCol w:w="60"/>
        <w:gridCol w:w="60"/>
        <w:gridCol w:w="680"/>
        <w:gridCol w:w="233"/>
      </w:tblGrid>
      <w:tr>
        <w:trPr/>
        <w:tc>
          <w:tcPr>
            <w:tcW w:w="5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7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1,228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4691.7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2,679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129.8</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GEM commitment fee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-926.1</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7,369</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2750"/>
        <w:gridCol w:w="60"/>
        <w:gridCol w:w="239"/>
        <w:gridCol w:w="957"/>
        <w:gridCol w:w="102"/>
        <w:gridCol w:w="102"/>
        <w:gridCol w:w="239"/>
        <w:gridCol w:w="957"/>
        <w:gridCol w:w="60"/>
        <w:gridCol w:w="60"/>
        <w:gridCol w:w="140"/>
        <w:gridCol w:w="635"/>
        <w:gridCol w:w="95"/>
        <w:gridCol w:w="60"/>
        <w:gridCol w:w="60"/>
        <w:gridCol w:w="560"/>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801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467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981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5,121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224.5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7,369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w:t>
      </w:r>
      <w:r>
        <w:rPr>
          <w:rFonts w:ascii="Times New Roman;Times;Serif" w:hAnsi="Times New Roman;Times;Serif"/>
          <w:b w:val="false"/>
          <w:i w:val="false"/>
          <w:caps w:val="false"/>
          <w:smallCaps w:val="false"/>
          <w:sz w:val="20"/>
          <w:shd w:fill="FFFFFF" w:val="clear"/>
        </w:rPr>
        <w:t>he accompanying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consolidated financial statements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our consolidated financial statements in this Registration Statement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years ended December 31, 2025 and 2024. See also our consolidated statement of cash flows in this prospectus:</w:t>
      </w:r>
    </w:p>
    <w:p>
      <w:pPr>
        <w:pStyle w:val="TextBody"/>
        <w:bidi w:val="0"/>
        <w:spacing w:before="0" w:after="0"/>
        <w:ind w:left="432" w:right="0" w:firstLine="432"/>
        <w:jc w:val="both"/>
        <w:rPr>
          <w:caps w:val="false"/>
          <w:smallCaps w:val="false"/>
        </w:rPr>
      </w:pPr>
      <w:r>
        <w:rPr>
          <w:caps w:val="false"/>
          <w:smallCaps w:val="false"/>
        </w:rPr>
        <w:t> </w:t>
      </w:r>
    </w:p>
    <w:tbl>
      <w:tblPr>
        <w:tblW w:w="9533" w:type="dxa"/>
        <w:jc w:val="left"/>
        <w:tblInd w:w="0" w:type="dxa"/>
        <w:tblLayout w:type="fixed"/>
        <w:tblCellMar>
          <w:top w:w="0" w:type="dxa"/>
          <w:left w:w="0" w:type="dxa"/>
          <w:bottom w:w="0" w:type="dxa"/>
          <w:right w:w="0" w:type="dxa"/>
        </w:tblCellMar>
      </w:tblPr>
      <w:tblGrid>
        <w:gridCol w:w="4745"/>
        <w:gridCol w:w="60"/>
        <w:gridCol w:w="187"/>
        <w:gridCol w:w="1009"/>
        <w:gridCol w:w="126"/>
        <w:gridCol w:w="80"/>
        <w:gridCol w:w="187"/>
        <w:gridCol w:w="1009"/>
        <w:gridCol w:w="95"/>
        <w:gridCol w:w="60"/>
        <w:gridCol w:w="140"/>
        <w:gridCol w:w="635"/>
        <w:gridCol w:w="95"/>
        <w:gridCol w:w="60"/>
        <w:gridCol w:w="60"/>
        <w:gridCol w:w="755"/>
        <w:gridCol w:w="23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(22,492</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(15,707</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64.0</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(2,679</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-3367.1</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17,634</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107.8</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1,087</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primarily related to our acquisition of 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$0.1 million for the year ended December 31, 2024 and was related to cash acquired in the acquisition of 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34"/>
        <w:gridCol w:w="60"/>
        <w:gridCol w:w="184"/>
        <w:gridCol w:w="736"/>
        <w:gridCol w:w="60"/>
        <w:gridCol w:w="60"/>
        <w:gridCol w:w="238"/>
        <w:gridCol w:w="953"/>
        <w:gridCol w:w="60"/>
        <w:gridCol w:w="60"/>
        <w:gridCol w:w="183"/>
        <w:gridCol w:w="893"/>
        <w:gridCol w:w="60"/>
        <w:gridCol w:w="60"/>
        <w:gridCol w:w="220"/>
        <w:gridCol w:w="883"/>
        <w:gridCol w:w="60"/>
        <w:gridCol w:w="60"/>
        <w:gridCol w:w="172"/>
        <w:gridCol w:w="689"/>
        <w:gridCol w:w="80"/>
      </w:tblGrid>
      <w:tr>
        <w:trPr/>
        <w:tc>
          <w:tcPr>
            <w:tcW w:w="4434"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1"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6" w:type="dxa"/>
            <w:gridSpan w:val="2"/>
            <w:tcBorders>
              <w:bottom w:val="single" w:sz="8" w:space="0" w:color="000000"/>
            </w:tcBorders>
            <w:vAlign w:val="center"/>
          </w:tcPr>
          <w:p>
            <w:pPr>
              <w:pStyle w:val="TableContents"/>
              <w:bidi w:val="0"/>
              <w:spacing w:before="0" w:after="283"/>
              <w:jc w:val="center"/>
              <w:rPr>
                <w:b/>
                <w:i/>
              </w:rPr>
            </w:pPr>
            <w:r>
              <w:rPr>
                <w:b/>
                <w:i/>
              </w:rPr>
              <w:t>Total</w:t>
              <w:br/>
              <w:t>Principal</w:t>
              <w:br/>
              <w:t>and Accrued</w:t>
              <w:b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3"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0" w:type="dxa"/>
            <w:tcBorders/>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283"/>
              <w:jc w:val="right"/>
              <w:rPr/>
            </w:pPr>
            <w:r>
              <w:rPr/>
              <w:t>1,558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893" w:type="dxa"/>
            <w:tcBorders/>
            <w:shd w:fill="CCEEFF" w:val="clear"/>
            <w:tcMar>
              <w:bottom w:w="0" w:type="dxa"/>
            </w:tcMar>
            <w:vAlign w:val="center"/>
          </w:tcPr>
          <w:p>
            <w:pPr>
              <w:pStyle w:val="TableContents"/>
              <w:bidi w:val="0"/>
              <w:spacing w:before="0" w:after="283"/>
              <w:jc w:val="right"/>
              <w:rPr/>
            </w:pPr>
            <w:r>
              <w:rPr/>
              <w:t>4,923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w:t>
            </w:r>
          </w:p>
        </w:tc>
        <w:tc>
          <w:tcPr>
            <w:tcW w:w="8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4,923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pPr>
            <w:r>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88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88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9"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34"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bottom w:val="single" w:sz="8" w:space="0" w:color="000000"/>
            </w:tcBorders>
            <w:shd w:fill="CCEEFF" w:val="clear"/>
            <w:vAlign w:val="center"/>
          </w:tcPr>
          <w:p>
            <w:pPr>
              <w:pStyle w:val="TableContents"/>
              <w:bidi w:val="0"/>
              <w:spacing w:before="0" w:after="283"/>
              <w:jc w:val="left"/>
              <w:rPr/>
            </w:pPr>
            <w:r>
              <w:rPr/>
              <w:t> </w:t>
            </w:r>
          </w:p>
        </w:tc>
        <w:tc>
          <w:tcPr>
            <w:tcW w:w="95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bottom w:val="single" w:sz="8" w:space="0" w:color="000000"/>
            </w:tcBorders>
            <w:shd w:fill="CCEEFF" w:val="clear"/>
            <w:vAlign w:val="center"/>
          </w:tcPr>
          <w:p>
            <w:pPr>
              <w:pStyle w:val="TableContents"/>
              <w:bidi w:val="0"/>
              <w:spacing w:before="0" w:after="283"/>
              <w:jc w:val="left"/>
              <w:rPr/>
            </w:pPr>
            <w:r>
              <w:rPr/>
              <w:t> </w:t>
            </w:r>
          </w:p>
        </w:tc>
        <w:tc>
          <w:tcPr>
            <w:tcW w:w="883" w:type="dxa"/>
            <w:tcBorders>
              <w:bottom w:val="single" w:sz="8" w:space="0" w:color="000000"/>
            </w:tcBorders>
            <w:shd w:fill="CCEEFF" w:val="cle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c>
          <w:tcPr>
            <w:tcW w:w="689" w:type="dxa"/>
            <w:tcBorders>
              <w:bottom w:val="single" w:sz="8" w:space="0" w:color="000000"/>
            </w:tcBorders>
            <w:shd w:fill="CCEEFF" w:val="clear"/>
            <w:vAlign w:val="center"/>
          </w:tcPr>
          <w:p>
            <w:pPr>
              <w:pStyle w:val="TableContents"/>
              <w:bidi w:val="0"/>
              <w:spacing w:before="0" w:after="283"/>
              <w:jc w:val="right"/>
              <w:rPr/>
            </w:pPr>
            <w:r>
              <w:rPr/>
              <w:t>28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4"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9,003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vAlign w:val="center"/>
          </w:tcPr>
          <w:p>
            <w:pPr>
              <w:pStyle w:val="TableContents"/>
              <w:bidi w:val="0"/>
              <w:spacing w:before="0" w:after="283"/>
              <w:jc w:val="left"/>
              <w:rPr/>
            </w:pPr>
            <w:r>
              <w:rPr/>
              <w:t>$</w:t>
            </w:r>
          </w:p>
        </w:tc>
        <w:tc>
          <w:tcPr>
            <w:tcW w:w="953" w:type="dxa"/>
            <w:tcBorders>
              <w:bottom w:val="double" w:sz="6" w:space="0" w:color="000000"/>
            </w:tcBorders>
            <w:shd w:fill="FFFFFF" w:val="clear"/>
            <w:vAlign w:val="center"/>
          </w:tcPr>
          <w:p>
            <w:pPr>
              <w:pStyle w:val="TableContents"/>
              <w:bidi w:val="0"/>
              <w:spacing w:before="0" w:after="283"/>
              <w:jc w:val="right"/>
              <w:rPr/>
            </w:pPr>
            <w:r>
              <w:rPr/>
              <w:t>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vAlign w:val="center"/>
          </w:tcPr>
          <w:p>
            <w:pPr>
              <w:pStyle w:val="TableContents"/>
              <w:bidi w:val="0"/>
              <w:spacing w:before="0" w:after="283"/>
              <w:jc w:val="left"/>
              <w:rPr/>
            </w:pPr>
            <w:r>
              <w:rPr/>
              <w:t>$</w:t>
            </w:r>
          </w:p>
        </w:tc>
        <w:tc>
          <w:tcPr>
            <w:tcW w:w="893" w:type="dxa"/>
            <w:tcBorders>
              <w:bottom w:val="double" w:sz="6" w:space="0" w:color="000000"/>
            </w:tcBorders>
            <w:shd w:fill="FFFFFF" w:val="clear"/>
            <w:vAlign w:val="center"/>
          </w:tcPr>
          <w:p>
            <w:pPr>
              <w:pStyle w:val="TableContents"/>
              <w:bidi w:val="0"/>
              <w:spacing w:before="0" w:after="283"/>
              <w:jc w:val="right"/>
              <w:rPr/>
            </w:pPr>
            <w:r>
              <w:rPr/>
              <w:t>10,839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vAlign w:val="center"/>
          </w:tcPr>
          <w:p>
            <w:pPr>
              <w:pStyle w:val="TableContents"/>
              <w:bidi w:val="0"/>
              <w:spacing w:before="0" w:after="283"/>
              <w:jc w:val="left"/>
              <w:rPr/>
            </w:pPr>
            <w:r>
              <w:rPr/>
              <w:t>$</w:t>
            </w:r>
          </w:p>
        </w:tc>
        <w:tc>
          <w:tcPr>
            <w:tcW w:w="883" w:type="dxa"/>
            <w:tcBorders>
              <w:bottom w:val="double" w:sz="6" w:space="0" w:color="000000"/>
            </w:tcBorders>
            <w:shd w:fill="FFFFFF" w:val="clear"/>
            <w:vAlign w:val="center"/>
          </w:tcPr>
          <w:p>
            <w:pPr>
              <w:pStyle w:val="TableContents"/>
              <w:bidi w:val="0"/>
              <w:spacing w:before="0" w:after="283"/>
              <w:jc w:val="right"/>
              <w:rPr/>
            </w:pPr>
            <w:r>
              <w:rPr/>
              <w:t>5,888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vAlign w:val="center"/>
          </w:tcPr>
          <w:p>
            <w:pPr>
              <w:pStyle w:val="TableContents"/>
              <w:bidi w:val="0"/>
              <w:spacing w:before="0" w:after="283"/>
              <w:jc w:val="left"/>
              <w:rPr/>
            </w:pPr>
            <w:r>
              <w:rPr/>
              <w:t>$</w:t>
            </w:r>
          </w:p>
        </w:tc>
        <w:tc>
          <w:tcPr>
            <w:tcW w:w="689" w:type="dxa"/>
            <w:tcBorders>
              <w:bottom w:val="double" w:sz="6" w:space="0" w:color="000000"/>
            </w:tcBorders>
            <w:shd w:fill="FFFFFF" w:val="clear"/>
            <w:vAlign w:val="center"/>
          </w:tcPr>
          <w:p>
            <w:pPr>
              <w:pStyle w:val="TableContents"/>
              <w:bidi w:val="0"/>
              <w:spacing w:before="0" w:after="283"/>
              <w:jc w:val="right"/>
              <w:rPr/>
            </w:pPr>
            <w:r>
              <w:rPr/>
              <w:t>4,951</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December 31, 2025 represents the future minimum lease payments under non-cancellable leases as liabilities.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Listing Compliance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w:t>
      </w:r>
      <w:r>
        <w:rPr>
          <w:rFonts w:ascii="Times New Roman;Times;Serif" w:hAnsi="Times New Roman;Times;Serif"/>
          <w:b w:val="false"/>
          <w:i/>
          <w:caps w:val="false"/>
          <w:smallCaps w:val="false"/>
          <w:sz w:val="20"/>
        </w:rPr>
        <w:t>Item 1. Business”</w:t>
      </w:r>
      <w:r>
        <w:rPr>
          <w:rFonts w:ascii="Times New Roman;Times;Serif" w:hAnsi="Times New Roman;Times;Serif"/>
          <w:b w:val="false"/>
          <w:i w:val="false"/>
          <w:caps w:val="false"/>
          <w:smallCaps w:val="false"/>
          <w:sz w:val="20"/>
        </w:rPr>
        <w:t xml:space="preserve"> above, we effected the September Stock Split during 2024 and the July Stock Split during 2025, which were 1-for-50 and 1-for-10, respectively, in order to regain compliance with Nasdaq Rules. In addition, as previously disclosed, due to prior noncompliance with certain Nasdaq Rules, we had a hearing before the Nasdaq Panel during 2024, after which, our Class A Common Stock was phased down from the Nasdaq Global Market to the Nasdaq Capital Market. We received additional letters from Nasdaq regarding noncompliance with certain Nasdaq Rules, and were subsequently notified by Nasdaq during 2024 and 2025 that we have regained compliance with all Nasdaq Rules and therefore our securities remain listed on The Nasdaq Capital Market. However, there can be no assurance that we will be able to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sd_001"/>
      <w:bookmarkEnd w:id="9"/>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and in November 2025 we acquired the assets of Superblocks, in order to expand our product offerings and customer base. Our </w:t>
      </w:r>
      <w:r>
        <w:rPr>
          <w:rFonts w:ascii="Times New Roman;Times;Serif" w:hAnsi="Times New Roman;Times;Serif"/>
          <w:b w:val="false"/>
          <w:i w:val="false"/>
          <w:caps w:val="false"/>
          <w:smallCaps w:val="false"/>
          <w:sz w:val="20"/>
          <w:shd w:fill="FFFFFF" w:val="clear"/>
        </w:rPr>
        <w:t xml:space="preserve">platform currently includes several products, ranging across demand generation, webinar hosting, video creation and email newsletters.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Banzai focuses on differentiating itself through exceptional products and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functions including creating and distributing content, acquiring and nurturing leads, executing and optimizing campaigns, and managing and measuring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(“B2B”)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platform offers several SaaS products including: OpenReel, CreateStudio, Vidello, Demio, Boost, Reach and 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an AI-powered video creation platform that enables users to remotely record, edit, host, and share high-quality videos from any location. Its remote capture feature allows users to film professional-grade videos using devices like smartphones or webcams, without needing to be there in person. The platform offers AI-driven editing tools for seamless content refinement and customization, along with secure cloud storage for easy access and sharing. OpenReel’s comprehensive solution streamlines the video production process, making it efficient and cost-effective for businesses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CreateStudio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identifying opportunities for new features, enhancements, and market segments, we can strategically plan and execute our growth initiatives, supporting our long-term sustainability and success.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Continue to acquire new customers cost effectively through organic traffic, content, affiliates, social media, partnerships, advertising, word-of-mouth, and other 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Continue to expand our customer success and customer marketing organizations to increase customer retention and customer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Continue to develop our family of products to create defensibly differentiated solutions that are essential to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Roll out new products that attract new customers and expand the ways we can serve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Continue to look for future acquisition opportunities prioritizing companies that are profitable and have highly-rated solutions with customer bases that align with Banzai’s existing customer base.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Superblocks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Progress towards this is reflected in our acquisition of OpenReel, adding 650 customers to the overall Banzai customer base, as well as our increase in multi-host Demio customers from 14 to over 240 between January 2021 and December 31, 2025, an approximately seventeen-fold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a variety of categories within the B2B MarTech landscape including digital events and webinars, demand generation, video creation, engagement platforms and marketing automation, and measurement and attribution.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Times;Serif" w:hAnsi="Times New Roman;Times;Serif"/>
          <w:b w:val="false"/>
          <w:i/>
          <w:caps w:val="false"/>
          <w:smallCaps w:val="false"/>
          <w:sz w:val="20"/>
        </w:rPr>
        <w:t>Risk Factors – Risks Related to Business and Industry – Failure to protect or enforce our intellectual property rights could harm our business and results of operations” and “Risk Factors – Risks Related to Business and Industry – 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33 full-time employees, 1 part-time employee, and 57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Technology and marketing are constantly changing. We value learning because adaptation is essential to delivering the best solutions for our customers. Our team members are open-minded, critical-thinkers who are willing to disagree, try new things, and change their minds when warranted.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and are also available free of charge on our corporate website (</w:t>
      </w:r>
      <w:r>
        <w:rPr>
          <w:rFonts w:ascii="Times New Roman;Times;Serif" w:hAnsi="Times New Roman;Times;Serif"/>
          <w:b w:val="false"/>
          <w:i/>
          <w:caps w:val="false"/>
          <w:smallCaps w:val="false"/>
          <w:sz w:val="20"/>
          <w:u w:val="single"/>
        </w:rPr>
        <w:t>https://ir.banzai.io/financial-information/sec-filings</w:t>
      </w:r>
      <w:r>
        <w:rPr>
          <w:rFonts w:ascii="Times New Roman;Times;Serif" w:hAnsi="Times New Roman;Times;Serif"/>
          <w:b w:val="false"/>
          <w:i w:val="false"/>
          <w:caps w:val="false"/>
          <w:smallCaps w:val="false"/>
          <w:sz w:val="20"/>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d_002"/>
      <w:bookmarkEnd w:id="10"/>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age, and position of each director and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1250"/>
        <w:gridCol w:w="60"/>
        <w:gridCol w:w="350"/>
        <w:gridCol w:w="60"/>
        <w:gridCol w:w="3890"/>
      </w:tblGrid>
      <w:tr>
        <w:trPr/>
        <w:tc>
          <w:tcPr>
            <w:tcW w:w="125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Biographies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Davy</w:t>
      </w:r>
      <w:r>
        <w:rPr>
          <w:rFonts w:ascii="Times New Roman;Times;Serif" w:hAnsi="Times New Roman;Times;Serif"/>
          <w:b w:val="false"/>
          <w:i w:val="false"/>
          <w:caps w:val="false"/>
          <w:smallCaps w:val="false"/>
          <w:sz w:val="20"/>
        </w:rPr>
        <w:t xml:space="preserve"> serves as our Chief Executive Officer and Chairman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Dean Ditto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serves as our Chief Financial Officer. 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Employee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our officers and directors, we currently have one person who we consider to be a significant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Kurtzman</w:t>
      </w:r>
      <w:r>
        <w:rPr>
          <w:rFonts w:ascii="Times New Roman;Times;Serif" w:hAnsi="Times New Roman;Times;Serif"/>
          <w:b w:val="false"/>
          <w:i w:val="false"/>
          <w:caps w:val="false"/>
          <w:smallCaps w:val="false"/>
          <w:sz w:val="20"/>
        </w:rPr>
        <w:t xml:space="preserve"> serves as our Chief Revenue Officer. Most recently, Mr. Kurtzman served as CEO of Violett, Inc., an AI-enabled air health 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which consists of Joseph Davy and Kent Schofield, whose terms will expire at the Company’s annual meeting of stockholders to be held in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which consists of Mason Ward, whose term will expire at the Company’s annual meeting of stockholders to be held in 2028;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which consists of Paula Boggs and Jack Leeney, whose terms will expire at the Company’s annual meeting of stockholders to be held in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ind w:left="0" w:right="0" w:hanging="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1250"/>
        <w:gridCol w:w="60"/>
        <w:gridCol w:w="1460"/>
        <w:gridCol w:w="60"/>
        <w:gridCol w:w="2210"/>
        <w:gridCol w:w="60"/>
        <w:gridCol w:w="4385"/>
      </w:tblGrid>
      <w:tr>
        <w:trPr/>
        <w:tc>
          <w:tcPr>
            <w:tcW w:w="125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its corporate accounting and financial reporting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adequacy and effectiveness of our disclosure controls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with design and implementation of our risk assessment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Company’s Board the compensation of the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the Company’s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incentive plans and other benefit programs;</w:t>
            </w:r>
          </w:p>
        </w:tc>
      </w:tr>
    </w:tbl>
    <w:p>
      <w:pPr>
        <w:pStyle w:val="TextBody"/>
        <w:bidi w:val="0"/>
        <w:spacing w:before="0" w:after="0"/>
        <w:ind w:left="979" w:right="0" w:hanging="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Company’s employees, including the Company’s overall compensation philosophy;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with the Chief Executive Officer the succession plans for the Company’s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which is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Chief Executive Officer the plans for succession to the offices of the Company’s executive officers and make recommendations to the Board with respect to the selection of appropriate individuals to succeed to these 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rPr>
        <w:t>.We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shareholders (the “Special Meeting”) at which the shareholders approved the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our Board determined to effect a reverse stock split at a ratio of 1-for-50 (the “September Reverse Stock Split”), effective on September 19, 2024. Accordingly, we filed an amendment to our Second Amended and Restated Certificate of Incorporation with the Delaware Secretary of State, which is filed as Exhibit 3.3 to our 2025 Report for the year ended December 31, 2025. Subsequently, we effected a 1-for-10 reverse stock split of the shares of the Company’s Class A Common Stock, effective as of July 8, 2025 (the “July Reverse Stock Split”).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we held a special meeting of shareholders. In addition to other approvals, the shareholders approved an amendment to our Second Amended and Restated Certificate of Incorporation to permit stockholder action by written consent.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d_003"/>
      <w:bookmarkEnd w:id="11"/>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2025, consisting of our principal executive officer, principal financial officer and the next two most highly compensated executive officers, were:</w:t>
      </w:r>
    </w:p>
    <w:p>
      <w:pPr>
        <w:pStyle w:val="TextBody"/>
        <w:bidi w:val="0"/>
        <w:spacing w:before="0" w:after="0"/>
        <w:ind w:left="979" w:right="0" w:hanging="49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 our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 our Chief Revenue Officer.</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2025 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for the years ended December 31, 2025 and 2024:</w:t>
      </w:r>
    </w:p>
    <w:p>
      <w:pPr>
        <w:pStyle w:val="TextBody"/>
        <w:bidi w:val="0"/>
        <w:spacing w:before="0" w:after="0"/>
        <w:ind w:left="0" w:right="0" w:firstLine="432"/>
        <w:jc w:val="both"/>
        <w:rPr>
          <w:caps w:val="false"/>
          <w:smallCaps w:val="false"/>
        </w:rPr>
      </w:pPr>
      <w:r>
        <w:rPr>
          <w:caps w:val="false"/>
          <w:smallCaps w:val="false"/>
        </w:rPr>
        <w:t> </w:t>
      </w:r>
    </w:p>
    <w:tbl>
      <w:tblPr>
        <w:tblW w:w="11190" w:type="dxa"/>
        <w:jc w:val="left"/>
        <w:tblInd w:w="0" w:type="dxa"/>
        <w:tblLayout w:type="fixed"/>
        <w:tblCellMar>
          <w:top w:w="0" w:type="dxa"/>
          <w:left w:w="0" w:type="dxa"/>
          <w:bottom w:w="28" w:type="dxa"/>
          <w:right w:w="0" w:type="dxa"/>
        </w:tblCellMar>
      </w:tblPr>
      <w:tblGrid>
        <w:gridCol w:w="1025"/>
        <w:gridCol w:w="60"/>
        <w:gridCol w:w="440"/>
        <w:gridCol w:w="60"/>
        <w:gridCol w:w="125"/>
        <w:gridCol w:w="695"/>
        <w:gridCol w:w="290"/>
        <w:gridCol w:w="60"/>
        <w:gridCol w:w="125"/>
        <w:gridCol w:w="590"/>
        <w:gridCol w:w="290"/>
        <w:gridCol w:w="60"/>
        <w:gridCol w:w="125"/>
        <w:gridCol w:w="695"/>
        <w:gridCol w:w="185"/>
        <w:gridCol w:w="60"/>
        <w:gridCol w:w="125"/>
        <w:gridCol w:w="590"/>
        <w:gridCol w:w="185"/>
        <w:gridCol w:w="60"/>
        <w:gridCol w:w="81"/>
        <w:gridCol w:w="1154"/>
        <w:gridCol w:w="215"/>
        <w:gridCol w:w="60"/>
        <w:gridCol w:w="207"/>
        <w:gridCol w:w="1028"/>
        <w:gridCol w:w="60"/>
        <w:gridCol w:w="60"/>
        <w:gridCol w:w="188"/>
        <w:gridCol w:w="1047"/>
        <w:gridCol w:w="290"/>
        <w:gridCol w:w="60"/>
        <w:gridCol w:w="125"/>
        <w:gridCol w:w="695"/>
        <w:gridCol w:w="75"/>
      </w:tblGrid>
      <w:tr>
        <w:trPr/>
        <w:tc>
          <w:tcPr>
            <w:tcW w:w="10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br/>
              <w:t>($)</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br/>
              <w:t>Awards</w:t>
              <w:b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Awards</w:t>
              <w:b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w:t>
              <w:br/>
              <w:t xml:space="preserve">Incentive Plan </w:t>
              <w:br/>
              <w:t>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 in</w:t>
              <w:br/>
              <w:t>Pension Value</w:t>
              <w:br/>
              <w:t>and</w:t>
              <w:br/>
              <w:t>Nonqualified</w:t>
              <w:br/>
              <w:t>Deferred</w:t>
              <w:br/>
              <w:t>Compensation</w:t>
              <w:br/>
              <w:t>Earnings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 –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375,700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$ 125,000</w:t>
            </w:r>
          </w:p>
        </w:tc>
        <w:tc>
          <w:tcPr>
            <w:tcW w:w="215" w:type="dxa"/>
            <w:tcBorders/>
            <w:shd w:fill="CCEEFF" w:val="clear"/>
            <w:tcMar>
              <w:bottom w:w="0" w:type="dxa"/>
            </w:tcMar>
            <w:vAlign w:val="center"/>
          </w:tcPr>
          <w:p>
            <w:pPr>
              <w:pStyle w:val="TableContents"/>
              <w:bidi w:val="0"/>
              <w:spacing w:before="0" w:after="283"/>
              <w:jc w:val="left"/>
              <w:rPr/>
            </w:pPr>
            <w:r>
              <w:rPr/>
              <w:t>(1)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8,437</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859,137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 –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310,417</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 –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148,635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18,750</w:t>
            </w:r>
          </w:p>
        </w:tc>
        <w:tc>
          <w:tcPr>
            <w:tcW w:w="215" w:type="dxa"/>
            <w:tcBorders/>
            <w:shd w:fill="CCEEFF" w:val="clear"/>
            <w:tcMar>
              <w:bottom w:w="0" w:type="dxa"/>
            </w:tcMar>
            <w:vAlign w:val="center"/>
          </w:tcPr>
          <w:p>
            <w:pPr>
              <w:pStyle w:val="TableContents"/>
              <w:bidi w:val="0"/>
              <w:spacing w:before="0" w:after="283"/>
              <w:jc w:val="left"/>
              <w:rPr/>
            </w:pPr>
            <w:r>
              <w:rPr/>
              <w:t>(6)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492,635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 –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291,223</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 –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128,125</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215" w:type="dxa"/>
            <w:tcBorders/>
            <w:shd w:fill="CCEEFF" w:val="clear"/>
            <w:tcMar>
              <w:bottom w:w="0" w:type="dxa"/>
            </w:tcMar>
            <w:vAlign w:val="center"/>
          </w:tcPr>
          <w:p>
            <w:pPr>
              <w:pStyle w:val="TableContents"/>
              <w:bidi w:val="0"/>
              <w:spacing w:before="0" w:after="283"/>
              <w:jc w:val="left"/>
              <w:rPr/>
            </w:pPr>
            <w:r>
              <w:rPr/>
              <w:t>(6)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10,042</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Alvin Yip – former Interim Chief Financial Officer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241,500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148,635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w:t>
            </w:r>
          </w:p>
        </w:tc>
        <w:tc>
          <w:tcPr>
            <w:tcW w:w="215" w:type="dxa"/>
            <w:tcBorders/>
            <w:shd w:fill="FFFFFF" w:val="clear"/>
            <w:tcMar>
              <w:bottom w:w="0" w:type="dxa"/>
            </w:tcMar>
            <w:vAlign w:val="center"/>
          </w:tcPr>
          <w:p>
            <w:pPr>
              <w:pStyle w:val="TableContents"/>
              <w:bidi w:val="0"/>
              <w:spacing w:before="0" w:after="283"/>
              <w:jc w:val="left"/>
              <w:rPr/>
            </w:pPr>
            <w:r>
              <w:rPr/>
              <w:t>(6)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Alvin Yip – former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220,833</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10,455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Kurtzman – Chief Revenue Officer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154,375</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Musburger – former Chief Financial Officer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106,714</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5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231,714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Ashley Levesque – former Vice President of Marketing (16)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78,750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5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 The Non-Equity Incentive Compensation Plan described in “2025 Bonuses” below. The All Other Compensation amount consists of Company-match 401(k) plan contributions of $8,167, a home office stipend of $250, and a miscellaneous bonus of $20.</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Company-match 401(k) plan contributions.</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annual cash incentive bonuses, as further described in “2025 Bonuses.”</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home office stipend.</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Mr. Ditto was appointed as our Chief Financial Officer, as further described in “2025 Compensation Update.” Mr. Ditto replaced Mr. Yip who had served as our interim Chief Financial Officer since June 14, 2024.</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consists of Company-match 401(k) plan contributions of $5,042 and a temporary housing allowance of $5,000.</w:t>
            </w:r>
          </w:p>
        </w:tc>
      </w:tr>
      <w:tr>
        <w:trPr/>
        <w:tc>
          <w:tcPr>
            <w:tcW w:w="31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increasing Mr. Yip’s salary to $241,500 per year, effective as of January 1, 2025.</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home office stipend of $250, and a miscellaneous bonus of $20.</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Mr. Kurtzman was appointed as our Chief Revenue Officer, as further described in “2025 Compensation Update.”</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guaranteed portion of an annual cash incentive bonus, as further described in “2025 Bonuses.”</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retention bonus paid in 2024.</w:t>
            </w:r>
          </w:p>
        </w:tc>
      </w:tr>
      <w:tr>
        <w:trPr/>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29, 2024, Ashley Levesque resigned from her position as Vice President of Marketing.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Compensation Update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w:t>
      </w:r>
      <w:r>
        <w:rPr>
          <w:rFonts w:ascii="Times New Roman;Times;Serif" w:hAnsi="Times New Roman;Times;Serif"/>
          <w:b w:val="false"/>
          <w:i w:val="false"/>
          <w:caps w:val="false"/>
          <w:smallCaps w:val="false"/>
          <w:sz w:val="20"/>
        </w:rPr>
        <w:t>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w:t>
      </w:r>
      <w:r>
        <w:rPr>
          <w:rFonts w:ascii="Times New Roman;Times;Serif" w:hAnsi="Times New Roman;Times;Serif"/>
          <w:b w:val="false"/>
          <w:i w:val="false"/>
          <w:caps w:val="false"/>
          <w:smallCaps w:val="false"/>
          <w:sz w:val="20"/>
        </w:rPr>
        <w:t>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received annual performance-based cash bonuses with respect to the year ended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and Mr. Yip 30,488 RSUs and 3,289 RSUs, which had a grant date fair value of $500,000 and $50,000, respectively.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granted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underlying the option award vests in 36 equal monthly installments, subject to the named executive officer’s continued service at each vesting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Mr. Baumer, and Mr. Yip 1,200 stock options, 300 stock options, and 8 stock options, which had a grant date fair value of $29,700, $43,433, and $95,074, respectively.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Outstanding Equity Awards as of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6"/>
        <w:gridCol w:w="60"/>
        <w:gridCol w:w="160"/>
        <w:gridCol w:w="895"/>
        <w:gridCol w:w="60"/>
        <w:gridCol w:w="60"/>
        <w:gridCol w:w="185"/>
        <w:gridCol w:w="1035"/>
        <w:gridCol w:w="60"/>
        <w:gridCol w:w="60"/>
        <w:gridCol w:w="83"/>
        <w:gridCol w:w="672"/>
        <w:gridCol w:w="60"/>
        <w:gridCol w:w="60"/>
        <w:gridCol w:w="950"/>
        <w:gridCol w:w="60"/>
        <w:gridCol w:w="159"/>
        <w:gridCol w:w="689"/>
        <w:gridCol w:w="60"/>
        <w:gridCol w:w="60"/>
        <w:gridCol w:w="153"/>
        <w:gridCol w:w="672"/>
        <w:gridCol w:w="60"/>
        <w:gridCol w:w="60"/>
        <w:gridCol w:w="100"/>
        <w:gridCol w:w="986"/>
        <w:gridCol w:w="222"/>
        <w:gridCol w:w="60"/>
        <w:gridCol w:w="75"/>
        <w:gridCol w:w="871"/>
        <w:gridCol w:w="242"/>
      </w:tblGrid>
      <w:tr>
        <w:trPr/>
        <w:tc>
          <w:tcPr>
            <w:tcW w:w="1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0"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 (1)</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2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 (2)</w:t>
            </w:r>
          </w:p>
        </w:tc>
        <w:tc>
          <w:tcPr>
            <w:tcW w:w="242" w:type="dxa"/>
            <w:tcBorders/>
            <w:vAlign w:val="center"/>
          </w:tcPr>
          <w:p>
            <w:pPr>
              <w:pStyle w:val="TableContents"/>
              <w:bidi w:val="0"/>
              <w:spacing w:before="0" w:after="283"/>
              <w:jc w:val="center"/>
              <w:rPr/>
            </w:pPr>
            <w:r>
              <w:rPr/>
              <w:t> </w:t>
            </w:r>
          </w:p>
        </w:tc>
      </w:tr>
      <w:tr>
        <w:trPr/>
        <w:tc>
          <w:tcPr>
            <w:tcW w:w="12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Underlying</w:t>
              <w:br/>
              <w:t>Unexercised</w:t>
              <w:br/>
              <w:t>Options</w:t>
              <w:br/>
              <w:t>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Underlying</w:t>
              <w:br/>
              <w:t>Unexercised</w:t>
              <w:br/>
              <w:t>Options</w:t>
              <w:br/>
              <w:t>Unexercisable</w:t>
              <w:b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br/>
              <w:t>Exercise</w:t>
              <w:br/>
              <w:t>Prices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Expiration</w:t>
              <w:br/>
              <w:t>Date</w:t>
            </w:r>
          </w:p>
        </w:tc>
        <w:tc>
          <w:tcPr>
            <w:tcW w:w="60" w:type="dxa"/>
            <w:tcBorders/>
            <w:vAlign w:val="center"/>
          </w:tcPr>
          <w:p>
            <w:pPr>
              <w:pStyle w:val="TableContents"/>
              <w:bidi w:val="0"/>
              <w:spacing w:before="0" w:after="283"/>
              <w:jc w:val="center"/>
              <w:rPr/>
            </w:pPr>
            <w:r>
              <w:rPr/>
              <w:t> </w:t>
            </w:r>
          </w:p>
        </w:tc>
        <w:tc>
          <w:tcPr>
            <w:tcW w:w="84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Shares or</w:t>
              <w:br/>
              <w:t>Units of</w:t>
              <w:br/>
              <w:t>Stock That</w:t>
              <w:br/>
              <w:t>Have Not</w:t>
              <w:br/>
              <w:t>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w:t>
              <w:br/>
              <w:t>Value of</w:t>
              <w:br/>
              <w:t>Shares or</w:t>
              <w:br/>
              <w:t>Units of</w:t>
              <w:br/>
              <w:t>Stock That</w:t>
              <w:br/>
              <w:t>Have Not</w:t>
              <w:br/>
              <w:t>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br/>
              <w:t>Incentive Plan</w:t>
              <w:br/>
              <w:t>Awards:</w:t>
              <w:br/>
              <w:t>Number of</w:t>
              <w:br/>
              <w:t>Unearned</w:t>
              <w:br/>
              <w:t>Shares, Units</w:t>
              <w:br/>
              <w:t>or Other</w:t>
              <w:br/>
              <w:t>Rights That</w:t>
              <w:br/>
              <w:t>Have Not</w:t>
              <w:br/>
              <w:t>Been Issued</w:t>
            </w:r>
          </w:p>
        </w:tc>
        <w:tc>
          <w:tcPr>
            <w:tcW w:w="2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br/>
              <w:t>Incentive</w:t>
              <w:br/>
              <w:t>Plan</w:t>
              <w:br/>
              <w:t>Awards:</w:t>
              <w:br/>
              <w:t>Market or</w:t>
              <w:br/>
              <w:t>Payout</w:t>
              <w:br/>
              <w:t>Value of</w:t>
              <w:br/>
              <w:t>Unearned</w:t>
              <w:br/>
              <w:t>Shares,</w:t>
              <w:br/>
              <w:t>Units or</w:t>
              <w:br/>
              <w:t>Other</w:t>
              <w:br/>
              <w:t>Rights That</w:t>
              <w:br/>
              <w:t>Have Not</w:t>
              <w:br/>
              <w:t>Been Issued</w:t>
            </w:r>
          </w:p>
        </w:tc>
        <w:tc>
          <w:tcPr>
            <w:tcW w:w="242" w:type="dxa"/>
            <w:tcBorders/>
            <w:vAlign w:val="center"/>
          </w:tcPr>
          <w:p>
            <w:pPr>
              <w:pStyle w:val="TableContents"/>
              <w:bidi w:val="0"/>
              <w:spacing w:before="0" w:after="283"/>
              <w:jc w:val="left"/>
              <w:rPr/>
            </w:pPr>
            <w:r>
              <w:rPr/>
              <w:t> </w:t>
            </w:r>
          </w:p>
        </w:tc>
      </w:tr>
      <w:tr>
        <w:trPr/>
        <w:tc>
          <w:tcPr>
            <w:tcW w:w="12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8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2" w:type="dxa"/>
            <w:tcBorders/>
            <w:vAlign w:val="center"/>
          </w:tcPr>
          <w:p>
            <w:pPr>
              <w:pStyle w:val="TableContents"/>
              <w:bidi w:val="0"/>
              <w:spacing w:before="0" w:after="283"/>
              <w:jc w:val="center"/>
              <w:rPr/>
            </w:pPr>
            <w:r>
              <w:rPr/>
              <w:t> </w:t>
            </w:r>
          </w:p>
        </w:tc>
      </w:tr>
      <w:tr>
        <w:trPr/>
        <w:tc>
          <w:tcPr>
            <w:tcW w:w="1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375,700</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1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7/14/2031</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2/15/2032</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3/1/2033</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24,272</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23,439</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Kurtzman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36,408</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35,159</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Alvin Yip</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12/2/2033</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5/14/2034</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242"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w:t>
            </w:r>
          </w:p>
        </w:tc>
        <w:tc>
          <w:tcPr>
            <w:tcW w:w="24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was granted under the 2016 Plan or the 2023 Equity Incentive Plan.</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 Awards was granted under the 2023 Equity Incentive Plan.</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Award will vest into common stock in 4 tranches ranging from $250 thousand to $750 thousand, up to $2.0 million in the aggregate, if specified market capitalization thresholds ranging from $15.0 million to $30.0 million are met.</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July 14, 2025 grant date, and the last ¼ will become fully vested in July 2026,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August 22, 2025 grant date, and the last ¼ will become fully vested in June 2026,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annually commencing with the May 14, 2024 grant date, and the last ¼ will become fully vested in May 2028, subject to continued employment through the applicable vesting dates.</w:t>
            </w:r>
          </w:p>
        </w:tc>
      </w:tr>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401(k)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216,950 RSUs. In December 2024, the 4 non-employee directors received compensation of $371,507 in the form of 30,049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base retainer of $100,000, to be paid as determined by the Compensation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 Retainers: Audit Committee, $10,000; Compensation Committee, $5,000; and Nominating and Corporate Governance Committee,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 Retainers: Audit Committee, $5,000; Compensation Committee, $2,500; and Nominating and Corporate Governance Committee, $2,500.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Rule 10b5-1 Sales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d_004"/>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transaction and the amount payable to a related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interest of the related party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may involve a conflict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party transaction or related party that would be material to investors in light of the circumstances of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d_005"/>
      <w:bookmarkEnd w:id="13"/>
      <w:r>
        <w:rPr>
          <w:rFonts w:ascii="Times New Roman;Times;Serif" w:hAnsi="Times New Roman;Times;Serif"/>
          <w:b/>
          <w:i w:val="false"/>
          <w:caps w:val="false"/>
          <w:smallCaps w:val="false"/>
          <w:sz w:val="20"/>
        </w:rPr>
        <w:t>PRINCIPAL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the date hereof for:</w:t>
      </w:r>
    </w:p>
    <w:p>
      <w:pPr>
        <w:pStyle w:val="TextBody"/>
        <w:bidi w:val="0"/>
        <w:spacing w:before="0" w:after="0"/>
        <w:ind w:left="979" w:right="0" w:hanging="49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named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18,790,422 shares of Class A Common Stock and 677,118 shares of Class B Common Stock outstanding as of April 17, 2026.</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9"/>
        <w:gridCol w:w="60"/>
        <w:gridCol w:w="66"/>
        <w:gridCol w:w="938"/>
        <w:gridCol w:w="284"/>
        <w:gridCol w:w="66"/>
        <w:gridCol w:w="66"/>
        <w:gridCol w:w="422"/>
        <w:gridCol w:w="185"/>
        <w:gridCol w:w="60"/>
        <w:gridCol w:w="74"/>
        <w:gridCol w:w="873"/>
        <w:gridCol w:w="74"/>
        <w:gridCol w:w="74"/>
        <w:gridCol w:w="74"/>
        <w:gridCol w:w="609"/>
        <w:gridCol w:w="185"/>
        <w:gridCol w:w="60"/>
        <w:gridCol w:w="175"/>
        <w:gridCol w:w="1122"/>
        <w:gridCol w:w="209"/>
      </w:tblGrid>
      <w:tr>
        <w:trPr/>
        <w:tc>
          <w:tcPr>
            <w:tcW w:w="4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Class A Common Stock</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Class B Common Stock</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7" w:type="dxa"/>
            <w:gridSpan w:val="2"/>
            <w:tcBorders/>
            <w:vAlign w:val="center"/>
          </w:tcPr>
          <w:p>
            <w:pPr>
              <w:pStyle w:val="TableContents"/>
              <w:bidi w:val="0"/>
              <w:spacing w:before="0" w:after="283"/>
              <w:jc w:val="center"/>
              <w:rPr>
                <w:b/>
                <w:sz w:val="20"/>
              </w:rPr>
            </w:pPr>
            <w:r>
              <w:rPr>
                <w:b/>
                <w:sz w:val="20"/>
              </w:rPr>
              <w:t>Total Voting Power</w:t>
            </w:r>
          </w:p>
        </w:tc>
        <w:tc>
          <w:tcPr>
            <w:tcW w:w="209" w:type="dxa"/>
            <w:tcBorders/>
            <w:vAlign w:val="center"/>
          </w:tcPr>
          <w:p>
            <w:pPr>
              <w:pStyle w:val="TableContents"/>
              <w:bidi w:val="0"/>
              <w:spacing w:before="0" w:after="283"/>
              <w:jc w:val="center"/>
              <w:rPr/>
            </w:pPr>
            <w:r>
              <w:rPr/>
              <w:t> </w:t>
            </w:r>
          </w:p>
        </w:tc>
      </w:tr>
      <w:tr>
        <w:trPr/>
        <w:tc>
          <w:tcPr>
            <w:tcW w:w="452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Name and Address of Beneficial Owner †</w:t>
            </w:r>
          </w:p>
        </w:tc>
        <w:tc>
          <w:tcPr>
            <w:tcW w:w="60" w:type="dxa"/>
            <w:tcBorders/>
            <w:vAlign w:val="center"/>
          </w:tcPr>
          <w:p>
            <w:pPr>
              <w:pStyle w:val="TableContents"/>
              <w:bidi w:val="0"/>
              <w:spacing w:before="0" w:after="283"/>
              <w:jc w:val="center"/>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Shares</w:t>
            </w:r>
          </w:p>
        </w:tc>
        <w:tc>
          <w:tcPr>
            <w:tcW w:w="284"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48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Shares</w:t>
            </w:r>
          </w:p>
        </w:tc>
        <w:tc>
          <w:tcPr>
            <w:tcW w:w="74"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center"/>
              <w:rPr/>
            </w:pPr>
            <w:r>
              <w:rPr/>
              <w:t> </w:t>
            </w:r>
          </w:p>
        </w:tc>
        <w:tc>
          <w:tcPr>
            <w:tcW w:w="68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w:t>
            </w:r>
          </w:p>
        </w:tc>
        <w:tc>
          <w:tcPr>
            <w:tcW w:w="209" w:type="dxa"/>
            <w:tcBorders/>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b/>
                <w:i/>
                <w:sz w:val="20"/>
              </w:rPr>
            </w:pPr>
            <w:r>
              <w:rPr>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1004" w:type="dxa"/>
            <w:gridSpan w:val="2"/>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8"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7" w:type="dxa"/>
            <w:gridSpan w:val="2"/>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3"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7" w:type="dxa"/>
            <w:gridSpan w:val="2"/>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r>
      <w:tr>
        <w:trPr/>
        <w:tc>
          <w:tcPr>
            <w:tcW w:w="4529" w:type="dxa"/>
            <w:tcBorders/>
            <w:shd w:fill="FFFFFF" w:val="clear"/>
            <w:vAlign w:val="center"/>
          </w:tcPr>
          <w:p>
            <w:pPr>
              <w:pStyle w:val="TableContents"/>
              <w:bidi w:val="0"/>
              <w:spacing w:before="0" w:after="283"/>
              <w:jc w:val="left"/>
              <w:rPr>
                <w:sz w:val="20"/>
              </w:rPr>
            </w:pPr>
            <w:r>
              <w:rPr>
                <w:sz w:val="20"/>
              </w:rPr>
              <w:t>Joseph Davy</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sz w:val="20"/>
              </w:rPr>
            </w:pPr>
            <w:r>
              <w:rPr>
                <w:sz w:val="20"/>
              </w:rPr>
              <w:t>31,112</w:t>
            </w:r>
          </w:p>
        </w:tc>
        <w:tc>
          <w:tcPr>
            <w:tcW w:w="284" w:type="dxa"/>
            <w:tcBorders/>
            <w:shd w:fill="FFFFFF" w:val="clear"/>
            <w:vAlign w:val="center"/>
          </w:tcPr>
          <w:p>
            <w:pPr>
              <w:pStyle w:val="TableContents"/>
              <w:bidi w:val="0"/>
              <w:spacing w:before="0" w:after="283"/>
              <w:jc w:val="left"/>
              <w:rPr>
                <w:sz w:val="20"/>
              </w:rPr>
            </w:pPr>
            <w:r>
              <w:rPr>
                <w:sz w:val="20"/>
              </w:rPr>
              <w:t>(1)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677,118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sz w:val="20"/>
              </w:rPr>
            </w:pPr>
            <w:r>
              <w:rPr>
                <w:sz w:val="20"/>
              </w:rPr>
              <w:t>100.0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sz w:val="20"/>
              </w:rPr>
            </w:pPr>
            <w:r>
              <w:rPr>
                <w:sz w:val="20"/>
              </w:rPr>
              <w:t>26.6</w:t>
            </w:r>
          </w:p>
        </w:tc>
        <w:tc>
          <w:tcPr>
            <w:tcW w:w="209" w:type="dxa"/>
            <w:tcBorders/>
            <w:shd w:fill="FFFFFF" w:val="clear"/>
            <w:vAlign w:val="center"/>
          </w:tcPr>
          <w:p>
            <w:pPr>
              <w:pStyle w:val="TableContents"/>
              <w:bidi w:val="0"/>
              <w:spacing w:before="0" w:after="283"/>
              <w:jc w:val="left"/>
              <w:rPr>
                <w:sz w:val="20"/>
              </w:rPr>
            </w:pPr>
            <w:r>
              <w:rPr>
                <w:sz w:val="20"/>
              </w:rPr>
              <w:t>%</w:t>
            </w:r>
          </w:p>
        </w:tc>
      </w:tr>
      <w:tr>
        <w:trPr/>
        <w:tc>
          <w:tcPr>
            <w:tcW w:w="4529" w:type="dxa"/>
            <w:tcBorders/>
            <w:shd w:fill="CCEEFF" w:val="clear"/>
            <w:vAlign w:val="center"/>
          </w:tcPr>
          <w:p>
            <w:pPr>
              <w:pStyle w:val="TableContents"/>
              <w:bidi w:val="0"/>
              <w:spacing w:before="0" w:after="283"/>
              <w:jc w:val="left"/>
              <w:rPr>
                <w:sz w:val="20"/>
              </w:rPr>
            </w:pPr>
            <w:r>
              <w:rPr>
                <w:sz w:val="20"/>
              </w:rPr>
              <w:t>Paula Boggs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20"/>
              </w:rPr>
            </w:pPr>
            <w:r>
              <w:rPr>
                <w:sz w:val="20"/>
              </w:rPr>
              <w:t>7,673</w:t>
            </w:r>
          </w:p>
        </w:tc>
        <w:tc>
          <w:tcPr>
            <w:tcW w:w="28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sz w:val="20"/>
              </w:rPr>
            </w:pPr>
            <w:r>
              <w:rPr>
                <w:sz w:val="20"/>
              </w:rPr>
              <w:t>*</w:t>
            </w:r>
          </w:p>
        </w:tc>
        <w:tc>
          <w:tcPr>
            <w:tcW w:w="209" w:type="dxa"/>
            <w:tcBorders/>
            <w:shd w:fill="CCEEFF" w:val="clear"/>
            <w:vAlign w:val="center"/>
          </w:tcPr>
          <w:p>
            <w:pPr>
              <w:pStyle w:val="TableContents"/>
              <w:bidi w:val="0"/>
              <w:spacing w:before="0" w:after="283"/>
              <w:jc w:val="left"/>
              <w:rPr/>
            </w:pPr>
            <w:r>
              <w:rPr/>
              <w:t> </w:t>
            </w:r>
          </w:p>
        </w:tc>
      </w:tr>
      <w:tr>
        <w:trPr/>
        <w:tc>
          <w:tcPr>
            <w:tcW w:w="4529" w:type="dxa"/>
            <w:tcBorders/>
            <w:shd w:fill="FFFFFF" w:val="clear"/>
            <w:vAlign w:val="center"/>
          </w:tcPr>
          <w:p>
            <w:pPr>
              <w:pStyle w:val="TableContents"/>
              <w:bidi w:val="0"/>
              <w:spacing w:before="0" w:after="283"/>
              <w:jc w:val="left"/>
              <w:rPr>
                <w:sz w:val="20"/>
              </w:rPr>
            </w:pPr>
            <w:r>
              <w:rPr>
                <w:sz w:val="20"/>
              </w:rPr>
              <w:t>Jack Leeney</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sz w:val="20"/>
              </w:rPr>
            </w:pPr>
            <w:r>
              <w:rPr>
                <w:sz w:val="20"/>
              </w:rPr>
              <w:t>6,998</w:t>
            </w:r>
          </w:p>
        </w:tc>
        <w:tc>
          <w:tcPr>
            <w:tcW w:w="28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sz w:val="20"/>
              </w:rPr>
            </w:pPr>
            <w:r>
              <w:rPr>
                <w:sz w:val="20"/>
              </w:rPr>
              <w:t>*</w:t>
            </w:r>
          </w:p>
        </w:tc>
        <w:tc>
          <w:tcPr>
            <w:tcW w:w="209" w:type="dxa"/>
            <w:tcBorders/>
            <w:shd w:fill="FFFFFF" w:val="clear"/>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sz w:val="20"/>
              </w:rPr>
            </w:pPr>
            <w:r>
              <w:rPr>
                <w:sz w:val="20"/>
              </w:rPr>
              <w:t>Kent Schofield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20"/>
              </w:rPr>
            </w:pPr>
            <w:r>
              <w:rPr>
                <w:sz w:val="20"/>
              </w:rPr>
              <w:t>9,645</w:t>
            </w:r>
          </w:p>
        </w:tc>
        <w:tc>
          <w:tcPr>
            <w:tcW w:w="28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sz w:val="20"/>
              </w:rPr>
            </w:pPr>
            <w:r>
              <w:rPr>
                <w:sz w:val="20"/>
              </w:rPr>
              <w:t>*</w:t>
            </w:r>
          </w:p>
        </w:tc>
        <w:tc>
          <w:tcPr>
            <w:tcW w:w="209" w:type="dxa"/>
            <w:tcBorders/>
            <w:shd w:fill="CCEEFF" w:val="clear"/>
            <w:vAlign w:val="center"/>
          </w:tcPr>
          <w:p>
            <w:pPr>
              <w:pStyle w:val="TableContents"/>
              <w:bidi w:val="0"/>
              <w:spacing w:before="0" w:after="283"/>
              <w:jc w:val="left"/>
              <w:rPr/>
            </w:pPr>
            <w:r>
              <w:rPr/>
              <w:t> </w:t>
            </w:r>
          </w:p>
        </w:tc>
      </w:tr>
      <w:tr>
        <w:trPr/>
        <w:tc>
          <w:tcPr>
            <w:tcW w:w="4529" w:type="dxa"/>
            <w:tcBorders/>
            <w:shd w:fill="FFFFFF" w:val="clear"/>
            <w:vAlign w:val="center"/>
          </w:tcPr>
          <w:p>
            <w:pPr>
              <w:pStyle w:val="TableContents"/>
              <w:bidi w:val="0"/>
              <w:spacing w:before="0" w:after="283"/>
              <w:jc w:val="left"/>
              <w:rPr>
                <w:sz w:val="20"/>
              </w:rPr>
            </w:pPr>
            <w:r>
              <w:rPr>
                <w:sz w:val="20"/>
              </w:rPr>
              <w:t>Mason Ward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sz w:val="20"/>
              </w:rPr>
            </w:pPr>
            <w:r>
              <w:rPr>
                <w:sz w:val="20"/>
              </w:rPr>
              <w:t>8,929</w:t>
            </w:r>
          </w:p>
        </w:tc>
        <w:tc>
          <w:tcPr>
            <w:tcW w:w="284" w:type="dxa"/>
            <w:tcBorders/>
            <w:shd w:fill="FFFFFF" w:val="clear"/>
            <w:vAlign w:val="center"/>
          </w:tcPr>
          <w:p>
            <w:pPr>
              <w:pStyle w:val="TableContents"/>
              <w:bidi w:val="0"/>
              <w:spacing w:before="0" w:after="283"/>
              <w:jc w:val="left"/>
              <w:rPr>
                <w:sz w:val="20"/>
              </w:rPr>
            </w:pPr>
            <w:r>
              <w:rPr>
                <w:sz w:val="20"/>
              </w:rPr>
              <w:t>(2)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sz w:val="20"/>
              </w:rPr>
            </w:pPr>
            <w:r>
              <w:rPr>
                <w:sz w:val="20"/>
              </w:rPr>
              <w:t>*</w:t>
            </w:r>
          </w:p>
        </w:tc>
        <w:tc>
          <w:tcPr>
            <w:tcW w:w="209" w:type="dxa"/>
            <w:tcBorders/>
            <w:shd w:fill="FFFFFF" w:val="clear"/>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sz w:val="20"/>
              </w:rPr>
            </w:pPr>
            <w:r>
              <w:rPr>
                <w:sz w:val="20"/>
              </w:rPr>
              <w:t>Dean Ditto</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20"/>
              </w:rPr>
            </w:pPr>
            <w:r>
              <w:rPr>
                <w:sz w:val="20"/>
              </w:rPr>
              <w:t>58,433</w:t>
            </w:r>
          </w:p>
        </w:tc>
        <w:tc>
          <w:tcPr>
            <w:tcW w:w="28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sz w:val="20"/>
              </w:rPr>
            </w:pPr>
            <w:r>
              <w:rPr>
                <w:sz w:val="20"/>
              </w:rPr>
              <w:t>*</w:t>
            </w:r>
          </w:p>
        </w:tc>
        <w:tc>
          <w:tcPr>
            <w:tcW w:w="209" w:type="dxa"/>
            <w:tcBorders/>
            <w:shd w:fill="CCEEFF" w:val="clear"/>
            <w:vAlign w:val="center"/>
          </w:tcPr>
          <w:p>
            <w:pPr>
              <w:pStyle w:val="TableContents"/>
              <w:bidi w:val="0"/>
              <w:spacing w:before="0" w:after="283"/>
              <w:jc w:val="left"/>
              <w:rPr/>
            </w:pPr>
            <w:r>
              <w:rPr/>
              <w:t> </w:t>
            </w:r>
          </w:p>
        </w:tc>
      </w:tr>
      <w:tr>
        <w:trPr/>
        <w:tc>
          <w:tcPr>
            <w:tcW w:w="4529" w:type="dxa"/>
            <w:tcBorders/>
            <w:shd w:fill="FFFFFF" w:val="clear"/>
            <w:vAlign w:val="center"/>
          </w:tcPr>
          <w:p>
            <w:pPr>
              <w:pStyle w:val="TableContents"/>
              <w:bidi w:val="0"/>
              <w:spacing w:before="0" w:after="283"/>
              <w:jc w:val="left"/>
              <w:rPr>
                <w:sz w:val="20"/>
              </w:rPr>
            </w:pPr>
            <w:r>
              <w:rPr>
                <w:sz w:val="20"/>
              </w:rPr>
              <w:t>Simon Baumer</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sz w:val="20"/>
              </w:rPr>
            </w:pPr>
            <w:r>
              <w:rPr>
                <w:sz w:val="20"/>
              </w:rPr>
              <w:t>46,210</w:t>
            </w:r>
          </w:p>
        </w:tc>
        <w:tc>
          <w:tcPr>
            <w:tcW w:w="284" w:type="dxa"/>
            <w:tcBorders/>
            <w:shd w:fill="FFFFFF" w:val="clear"/>
            <w:vAlign w:val="center"/>
          </w:tcPr>
          <w:p>
            <w:pPr>
              <w:pStyle w:val="TableContents"/>
              <w:bidi w:val="0"/>
              <w:spacing w:before="0" w:after="283"/>
              <w:jc w:val="left"/>
              <w:rPr>
                <w:sz w:val="20"/>
              </w:rPr>
            </w:pPr>
            <w:r>
              <w:rPr>
                <w:sz w:val="20"/>
              </w:rPr>
              <w:t>(3)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sz w:val="20"/>
              </w:rPr>
            </w:pPr>
            <w:r>
              <w:rPr>
                <w:sz w:val="20"/>
              </w:rPr>
              <w:t>*</w:t>
            </w:r>
          </w:p>
        </w:tc>
        <w:tc>
          <w:tcPr>
            <w:tcW w:w="209" w:type="dxa"/>
            <w:tcBorders/>
            <w:shd w:fill="FFFFFF" w:val="clear"/>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sz w:val="20"/>
              </w:rPr>
            </w:pPr>
            <w:r>
              <w:rPr>
                <w:sz w:val="20"/>
              </w:rPr>
              <w:t>All Directors and Executive Officers of the Company as a Group (7 Individuals)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20"/>
              </w:rPr>
            </w:pPr>
            <w:r>
              <w:rPr>
                <w:sz w:val="20"/>
              </w:rPr>
              <w:t>169,000</w:t>
            </w:r>
          </w:p>
        </w:tc>
        <w:tc>
          <w:tcPr>
            <w:tcW w:w="28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677,118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sz w:val="20"/>
              </w:rPr>
            </w:pPr>
            <w:r>
              <w:rPr>
                <w:sz w:val="20"/>
              </w:rPr>
              <w:t>100.0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sz w:val="20"/>
              </w:rPr>
            </w:pPr>
            <w:r>
              <w:rPr>
                <w:sz w:val="20"/>
              </w:rPr>
              <w:t>27.2</w:t>
            </w:r>
          </w:p>
        </w:tc>
        <w:tc>
          <w:tcPr>
            <w:tcW w:w="209" w:type="dxa"/>
            <w:tcBorders/>
            <w:shd w:fill="CCEEFF" w:val="clear"/>
            <w:vAlign w:val="center"/>
          </w:tcPr>
          <w:p>
            <w:pPr>
              <w:pStyle w:val="TableContents"/>
              <w:bidi w:val="0"/>
              <w:spacing w:before="0" w:after="283"/>
              <w:jc w:val="left"/>
              <w:rPr>
                <w:sz w:val="20"/>
              </w:rPr>
            </w:pPr>
            <w:r>
              <w:rPr>
                <w:sz w:val="20"/>
              </w:rPr>
              <w:t>%</w:t>
            </w:r>
          </w:p>
        </w:tc>
      </w:tr>
      <w:tr>
        <w:trPr/>
        <w:tc>
          <w:tcPr>
            <w:tcW w:w="4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b/>
                <w:i/>
                <w:sz w:val="20"/>
              </w:rPr>
            </w:pPr>
            <w:r>
              <w:rPr>
                <w:b/>
                <w:i/>
                <w:sz w:val="20"/>
              </w:rPr>
              <w:t>Five Percent or Greater Holders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r>
      <w:tr>
        <w:trPr/>
        <w:tc>
          <w:tcPr>
            <w:tcW w:w="4529" w:type="dxa"/>
            <w:tcBorders/>
            <w:shd w:fill="FFFFFF" w:val="clear"/>
            <w:vAlign w:val="center"/>
          </w:tcPr>
          <w:p>
            <w:pPr>
              <w:pStyle w:val="TableContents"/>
              <w:bidi w:val="0"/>
              <w:spacing w:before="0" w:after="283"/>
              <w:jc w:val="left"/>
              <w:rPr>
                <w:sz w:val="20"/>
              </w:rPr>
            </w:pPr>
            <w:r>
              <w:rPr>
                <w:sz w:val="20"/>
              </w:rPr>
              <w:t>CP BF Lending, LLC (4)</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sz w:val="20"/>
              </w:rPr>
            </w:pPr>
            <w:r>
              <w:rPr>
                <w:sz w:val="20"/>
              </w:rPr>
              <w:t>2,236,509</w:t>
            </w:r>
          </w:p>
        </w:tc>
        <w:tc>
          <w:tcPr>
            <w:tcW w:w="28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sz w:val="20"/>
              </w:rPr>
            </w:pPr>
            <w:r>
              <w:rPr>
                <w:sz w:val="20"/>
              </w:rPr>
              <w:t>11.9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sz w:val="20"/>
              </w:rPr>
            </w:pPr>
            <w:r>
              <w:rPr>
                <w:sz w:val="20"/>
              </w:rPr>
              <w:t>8.8</w:t>
            </w:r>
          </w:p>
        </w:tc>
        <w:tc>
          <w:tcPr>
            <w:tcW w:w="209" w:type="dxa"/>
            <w:tcBorders/>
            <w:shd w:fill="FFFFFF" w:val="clear"/>
            <w:vAlign w:val="center"/>
          </w:tcPr>
          <w:p>
            <w:pPr>
              <w:pStyle w:val="TableContents"/>
              <w:bidi w:val="0"/>
              <w:spacing w:before="0" w:after="283"/>
              <w:jc w:val="left"/>
              <w:rPr>
                <w:sz w:val="20"/>
              </w:rPr>
            </w:pPr>
            <w:r>
              <w:rPr>
                <w:sz w:val="20"/>
              </w:rPr>
              <w:t>%</w:t>
            </w:r>
          </w:p>
        </w:tc>
      </w:tr>
      <w:tr>
        <w:trPr/>
        <w:tc>
          <w:tcPr>
            <w:tcW w:w="4529" w:type="dxa"/>
            <w:tcBorders/>
            <w:shd w:fill="CCEEFF" w:val="clear"/>
            <w:vAlign w:val="center"/>
          </w:tcPr>
          <w:p>
            <w:pPr>
              <w:pStyle w:val="TableContents"/>
              <w:bidi w:val="0"/>
              <w:spacing w:before="0" w:after="283"/>
              <w:jc w:val="left"/>
              <w:rPr>
                <w:sz w:val="20"/>
              </w:rPr>
            </w:pPr>
            <w:r>
              <w:rPr>
                <w:sz w:val="20"/>
              </w:rPr>
              <w:t>FE IV OR Aggregator, LLC (5)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20"/>
              </w:rPr>
            </w:pPr>
            <w:r>
              <w:rPr>
                <w:sz w:val="20"/>
              </w:rPr>
              <w:t>1,226,624</w:t>
            </w:r>
          </w:p>
        </w:tc>
        <w:tc>
          <w:tcPr>
            <w:tcW w:w="284" w:type="dxa"/>
            <w:tcBorders/>
            <w:shd w:fill="CCEEFF" w:val="clear"/>
            <w:vAlign w:val="center"/>
          </w:tcPr>
          <w:p>
            <w:pPr>
              <w:pStyle w:val="TableContents"/>
              <w:bidi w:val="0"/>
              <w:spacing w:before="0" w:after="283"/>
              <w:jc w:val="left"/>
              <w:rPr>
                <w:sz w:val="20"/>
              </w:rPr>
            </w:pPr>
            <w:r>
              <w:rPr>
                <w:sz w:val="20"/>
              </w:rPr>
              <w:t>(6)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sz w:val="20"/>
              </w:rPr>
            </w:pPr>
            <w:r>
              <w:rPr>
                <w:sz w:val="20"/>
              </w:rPr>
              <w:t>6.5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sz w:val="20"/>
              </w:rPr>
            </w:pPr>
            <w:r>
              <w:rPr>
                <w:sz w:val="20"/>
              </w:rPr>
              <w:t>4.8</w:t>
            </w:r>
          </w:p>
        </w:tc>
        <w:tc>
          <w:tcPr>
            <w:tcW w:w="209"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shd w:fill="FFFFFF" w:val="clear"/>
            <w:vAlign w:val="center"/>
          </w:tcPr>
          <w:p>
            <w:pPr>
              <w:pStyle w:val="TableContents"/>
              <w:bidi w:val="0"/>
              <w:spacing w:before="0" w:after="283"/>
              <w:jc w:val="left"/>
              <w:rPr>
                <w:sz w:val="20"/>
              </w:rPr>
            </w:pPr>
            <w:r>
              <w:rPr>
                <w:sz w:val="20"/>
              </w:rPr>
              <w:t>*</w:t>
            </w:r>
          </w:p>
        </w:tc>
        <w:tc>
          <w:tcPr>
            <w:tcW w:w="9990" w:type="dxa"/>
            <w:tcBorders/>
            <w:shd w:fill="FFFFFF" w:val="clear"/>
            <w:vAlign w:val="center"/>
          </w:tcPr>
          <w:p>
            <w:pPr>
              <w:pStyle w:val="TableContents"/>
              <w:bidi w:val="0"/>
              <w:spacing w:before="0" w:after="283"/>
              <w:jc w:val="both"/>
              <w:rPr>
                <w:sz w:val="20"/>
              </w:rPr>
            </w:pPr>
            <w:r>
              <w:rPr>
                <w:sz w:val="20"/>
              </w:rPr>
              <w:t>Less than 1%.</w:t>
            </w:r>
          </w:p>
        </w:tc>
      </w:tr>
      <w:tr>
        <w:trPr/>
        <w:tc>
          <w:tcPr>
            <w:tcW w:w="215" w:type="dxa"/>
            <w:tcBorders/>
            <w:shd w:fill="FFFFFF" w:val="clear"/>
            <w:vAlign w:val="center"/>
          </w:tcPr>
          <w:p>
            <w:pPr>
              <w:pStyle w:val="TableContents"/>
              <w:bidi w:val="0"/>
              <w:spacing w:before="0" w:after="283"/>
              <w:jc w:val="left"/>
              <w:rPr/>
            </w:pPr>
            <w:r>
              <w:rPr/>
              <w:t>†</w:t>
            </w:r>
          </w:p>
        </w:tc>
        <w:tc>
          <w:tcPr>
            <w:tcW w:w="9990" w:type="dxa"/>
            <w:tcBorders/>
            <w:shd w:fill="FFFFFF" w:val="clear"/>
            <w:vAlign w:val="center"/>
          </w:tcPr>
          <w:p>
            <w:pPr>
              <w:pStyle w:val="TableContents"/>
              <w:bidi w:val="0"/>
              <w:spacing w:before="0" w:after="283"/>
              <w:jc w:val="both"/>
              <w:rPr>
                <w:sz w:val="20"/>
              </w:rPr>
            </w:pPr>
            <w:r>
              <w:rPr>
                <w:sz w:val="20"/>
              </w:rPr>
              <w:t>Unless otherwise noted, the business address of each of the following persons is c/o Banzai International, Inc., 435 Ericksen Ave NE, Suite 250, Bainbridge Island, WA 98110.</w:t>
            </w:r>
          </w:p>
        </w:tc>
      </w:tr>
      <w:tr>
        <w:trPr/>
        <w:tc>
          <w:tcPr>
            <w:tcW w:w="215" w:type="dxa"/>
            <w:tcBorders/>
            <w:shd w:fill="FFFFFF" w:val="clear"/>
            <w:vAlign w:val="center"/>
          </w:tcPr>
          <w:p>
            <w:pPr>
              <w:pStyle w:val="TableContents"/>
              <w:bidi w:val="0"/>
              <w:spacing w:before="0" w:after="283"/>
              <w:jc w:val="left"/>
              <w:rPr/>
            </w:pPr>
            <w:r>
              <w:rPr/>
              <w:t>††</w:t>
            </w:r>
          </w:p>
        </w:tc>
        <w:tc>
          <w:tcPr>
            <w:tcW w:w="9990" w:type="dxa"/>
            <w:tcBorders/>
            <w:shd w:fill="FFFFFF" w:val="clear"/>
            <w:vAlign w:val="center"/>
          </w:tcPr>
          <w:p>
            <w:pPr>
              <w:pStyle w:val="TableContents"/>
              <w:bidi w:val="0"/>
              <w:spacing w:before="0" w:after="283"/>
              <w:jc w:val="both"/>
              <w:rPr>
                <w:sz w:val="20"/>
              </w:rPr>
            </w:pPr>
            <w:r>
              <w:rPr>
                <w:sz w:val="20"/>
              </w:rPr>
              <w:t>Each share of Common Stock entitles its holders to one vote per share; each share of Class B Common Stock entitles its holder to ten votes on all matters presented to our stockholders generally. As a result, percentage of voting power is based on 25,561,602 total votes.</w:t>
            </w:r>
          </w:p>
        </w:tc>
      </w:tr>
      <w:tr>
        <w:trPr/>
        <w:tc>
          <w:tcPr>
            <w:tcW w:w="215" w:type="dxa"/>
            <w:tcBorders/>
            <w:shd w:fill="FFFFFF" w:val="clear"/>
            <w:vAlign w:val="center"/>
          </w:tcPr>
          <w:p>
            <w:pPr>
              <w:pStyle w:val="TableContents"/>
              <w:bidi w:val="0"/>
              <w:spacing w:before="0" w:after="283"/>
              <w:jc w:val="left"/>
              <w:rPr>
                <w:sz w:val="20"/>
              </w:rPr>
            </w:pPr>
            <w:r>
              <w:rPr>
                <w:sz w:val="20"/>
              </w:rPr>
              <w:t>(1)</w:t>
            </w:r>
          </w:p>
        </w:tc>
        <w:tc>
          <w:tcPr>
            <w:tcW w:w="9990" w:type="dxa"/>
            <w:tcBorders/>
            <w:shd w:fill="FFFFFF" w:val="clear"/>
            <w:vAlign w:val="center"/>
          </w:tcPr>
          <w:p>
            <w:pPr>
              <w:pStyle w:val="TableContents"/>
              <w:bidi w:val="0"/>
              <w:spacing w:before="0" w:after="283"/>
              <w:jc w:val="both"/>
              <w:rPr>
                <w:sz w:val="20"/>
              </w:rPr>
            </w:pPr>
            <w:r>
              <w:rPr>
                <w:sz w:val="20"/>
              </w:rPr>
              <w:t>Consists of 30,488 shares of Class A Common Stock, 677,118 shares of Class B Common Stock, and options to purchase 624 shares of Class A Common Stock exercisable within 60 days of April 17, 2026 held directly by Joseph Davy.</w:t>
            </w:r>
          </w:p>
        </w:tc>
      </w:tr>
      <w:tr>
        <w:trPr/>
        <w:tc>
          <w:tcPr>
            <w:tcW w:w="215" w:type="dxa"/>
            <w:tcBorders/>
            <w:shd w:fill="FFFFFF" w:val="clear"/>
            <w:vAlign w:val="center"/>
          </w:tcPr>
          <w:p>
            <w:pPr>
              <w:pStyle w:val="TableContents"/>
              <w:bidi w:val="0"/>
              <w:spacing w:before="0" w:after="283"/>
              <w:jc w:val="left"/>
              <w:rPr>
                <w:sz w:val="20"/>
              </w:rPr>
            </w:pPr>
            <w:r>
              <w:rPr>
                <w:sz w:val="20"/>
              </w:rPr>
              <w:t>(2)</w:t>
            </w:r>
          </w:p>
        </w:tc>
        <w:tc>
          <w:tcPr>
            <w:tcW w:w="9990" w:type="dxa"/>
            <w:tcBorders/>
            <w:shd w:fill="FFFFFF" w:val="clear"/>
            <w:vAlign w:val="center"/>
          </w:tcPr>
          <w:p>
            <w:pPr>
              <w:pStyle w:val="TableContents"/>
              <w:bidi w:val="0"/>
              <w:spacing w:before="0" w:after="283"/>
              <w:jc w:val="both"/>
              <w:rPr>
                <w:sz w:val="20"/>
              </w:rPr>
            </w:pPr>
            <w:r>
              <w:rPr>
                <w:sz w:val="20"/>
              </w:rPr>
              <w:t>Consists of 8,223 shares of Class A Common Stock and warrants to purchase 706 shares of Class A Common Stock held directly by Mason Ward.</w:t>
            </w:r>
          </w:p>
        </w:tc>
      </w:tr>
      <w:tr>
        <w:trPr/>
        <w:tc>
          <w:tcPr>
            <w:tcW w:w="215" w:type="dxa"/>
            <w:tcBorders/>
            <w:shd w:fill="FFFFFF" w:val="clear"/>
            <w:vAlign w:val="center"/>
          </w:tcPr>
          <w:p>
            <w:pPr>
              <w:pStyle w:val="TableContents"/>
              <w:bidi w:val="0"/>
              <w:spacing w:before="0" w:after="283"/>
              <w:jc w:val="left"/>
              <w:rPr>
                <w:sz w:val="20"/>
              </w:rPr>
            </w:pPr>
            <w:r>
              <w:rPr>
                <w:sz w:val="20"/>
              </w:rPr>
              <w:t>(3)</w:t>
            </w:r>
          </w:p>
        </w:tc>
        <w:tc>
          <w:tcPr>
            <w:tcW w:w="9990" w:type="dxa"/>
            <w:tcBorders/>
            <w:shd w:fill="FFFFFF" w:val="clear"/>
            <w:vAlign w:val="center"/>
          </w:tcPr>
          <w:p>
            <w:pPr>
              <w:pStyle w:val="TableContents"/>
              <w:bidi w:val="0"/>
              <w:spacing w:before="0" w:after="283"/>
              <w:jc w:val="both"/>
              <w:rPr>
                <w:sz w:val="20"/>
              </w:rPr>
            </w:pPr>
            <w:r>
              <w:rPr>
                <w:sz w:val="20"/>
              </w:rPr>
              <w:t>Consists of 45,876 shares of Class A Common Stock held directly by Simon Baumer, and options to purchase 334 shares of Class A Common Stock exercisable within 60 days of April 17, 2026.</w:t>
            </w:r>
          </w:p>
        </w:tc>
      </w:tr>
      <w:tr>
        <w:trPr/>
        <w:tc>
          <w:tcPr>
            <w:tcW w:w="215" w:type="dxa"/>
            <w:tcBorders/>
            <w:shd w:fill="FFFFFF" w:val="clear"/>
            <w:vAlign w:val="center"/>
          </w:tcPr>
          <w:p>
            <w:pPr>
              <w:pStyle w:val="TableContents"/>
              <w:bidi w:val="0"/>
              <w:spacing w:before="0" w:after="283"/>
              <w:jc w:val="left"/>
              <w:rPr>
                <w:sz w:val="20"/>
              </w:rPr>
            </w:pPr>
            <w:r>
              <w:rPr>
                <w:sz w:val="20"/>
              </w:rPr>
              <w:t>(4)</w:t>
            </w:r>
          </w:p>
        </w:tc>
        <w:tc>
          <w:tcPr>
            <w:tcW w:w="9990" w:type="dxa"/>
            <w:tcBorders/>
            <w:shd w:fill="FFFFFF" w:val="clear"/>
            <w:vAlign w:val="center"/>
          </w:tcPr>
          <w:p>
            <w:pPr>
              <w:pStyle w:val="TableContents"/>
              <w:bidi w:val="0"/>
              <w:spacing w:before="0" w:after="283"/>
              <w:jc w:val="both"/>
              <w:rPr>
                <w:sz w:val="20"/>
              </w:rPr>
            </w:pPr>
            <w:r>
              <w:rPr>
                <w:sz w:val="20"/>
              </w:rPr>
              <w:t>CP Business Finance GP, LLC (“CP Business”) is the Manager of CP BF Lending, LLC’s (“CP BF”). Columbia Pacific Advisors, LLC (“Columbia”) is the Manager of CP Business, and Columbia in turn is managed by a Board of Managers. As such, Columbia’s Board of Managers has the voting and dispositive power with respect to the securities held by CP BF. The address of CP BF is 1910 Fairview Ave. E., Suite 300, Seattle, WA 98102.</w:t>
            </w:r>
          </w:p>
        </w:tc>
      </w:tr>
      <w:tr>
        <w:trPr/>
        <w:tc>
          <w:tcPr>
            <w:tcW w:w="215" w:type="dxa"/>
            <w:tcBorders/>
            <w:shd w:fill="FFFFFF" w:val="clear"/>
            <w:vAlign w:val="center"/>
          </w:tcPr>
          <w:p>
            <w:pPr>
              <w:pStyle w:val="TableContents"/>
              <w:bidi w:val="0"/>
              <w:spacing w:before="0" w:after="283"/>
              <w:jc w:val="left"/>
              <w:rPr>
                <w:sz w:val="20"/>
              </w:rPr>
            </w:pPr>
            <w:r>
              <w:rPr>
                <w:sz w:val="20"/>
              </w:rPr>
              <w:t>(5)</w:t>
            </w:r>
          </w:p>
        </w:tc>
        <w:tc>
          <w:tcPr>
            <w:tcW w:w="9990" w:type="dxa"/>
            <w:tcBorders/>
            <w:shd w:fill="FFFFFF" w:val="clear"/>
            <w:vAlign w:val="center"/>
          </w:tcPr>
          <w:p>
            <w:pPr>
              <w:pStyle w:val="TableContents"/>
              <w:bidi w:val="0"/>
              <w:spacing w:before="0" w:after="283"/>
              <w:jc w:val="both"/>
              <w:rPr>
                <w:sz w:val="20"/>
              </w:rPr>
            </w:pPr>
            <w:r>
              <w:rPr>
                <w:sz w:val="20"/>
              </w:rPr>
              <w:t>As the manager, of FE Aggregator, Frederick N. Coulson, IV may be deemed to have voting and dispositive power over the shares of Class A common stock held by FE Aggregator. The address of FE Aggregator and Mr. Coulson is 4801 Main Street, Suite 700, Kansas City, MO 64112.</w:t>
            </w:r>
          </w:p>
        </w:tc>
      </w:tr>
      <w:tr>
        <w:trPr/>
        <w:tc>
          <w:tcPr>
            <w:tcW w:w="215" w:type="dxa"/>
            <w:tcBorders/>
            <w:shd w:fill="FFFFFF" w:val="clear"/>
            <w:vAlign w:val="center"/>
          </w:tcPr>
          <w:p>
            <w:pPr>
              <w:pStyle w:val="TableContents"/>
              <w:bidi w:val="0"/>
              <w:spacing w:before="0" w:after="283"/>
              <w:jc w:val="left"/>
              <w:rPr>
                <w:sz w:val="20"/>
              </w:rPr>
            </w:pPr>
            <w:r>
              <w:rPr>
                <w:sz w:val="20"/>
              </w:rPr>
              <w:t>(6)</w:t>
            </w:r>
          </w:p>
        </w:tc>
        <w:tc>
          <w:tcPr>
            <w:tcW w:w="9990" w:type="dxa"/>
            <w:tcBorders/>
            <w:shd w:fill="FFFFFF" w:val="clear"/>
            <w:vAlign w:val="center"/>
          </w:tcPr>
          <w:p>
            <w:pPr>
              <w:pStyle w:val="TableContents"/>
              <w:bidi w:val="0"/>
              <w:spacing w:before="0" w:after="283"/>
              <w:jc w:val="both"/>
              <w:rPr>
                <w:sz w:val="20"/>
              </w:rPr>
            </w:pPr>
            <w:r>
              <w:rPr>
                <w:sz w:val="20"/>
              </w:rPr>
              <w:t xml:space="preserve">Includes (i) 49,996 shares of Class A common stock held by FE IV OR Aggregator, LLC (“FE Aggregator”) and (ii) 1,176,628 shares of Class A common stock issuable upon the exercise of Pre-Funded Warrants held by FE Aggregator. FE Aggregator’s right to exercise Pre-Funded Warrants at any particular time is subject to the Beneficial Ownership Limitation described above, however, for purposes of the second column of the above table, all shares of Class A common stock underlying the Pre-Funded Warrants have been included. </w:t>
            </w:r>
          </w:p>
        </w:tc>
      </w:tr>
    </w:tbl>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d_006"/>
      <w:bookmarkEnd w:id="14"/>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Yorkville of any or all of the shares of Common Stock that may be issued by us to Yorkville under the SEPA. For additional information regarding the issuance of Common Stock covered by this prospectus, see the section titled “Committed Equity Financing”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pursuant to the provisions of the Registration Rights Agreement we entered into with Yorkville on December 14, 2023 in connection with the SEPA in order to permit Yorkville to offer the shares of Common Stock for resale from time to time. Except for the transactions contemplated by the SEPA and the Registration Rights Agreement, Yorkville has not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Selling Securityholder;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of Common Stock that the Selling Securityholder beneficially owned prior to the Offering for resale of the shares under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our Shares of Common Stock that may be offered for resale for the account of the Selling Securityholders under this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percentage of our Shares of Common Stock beneficially owned by the Selling Securityholder after the Offering of the shares (assuming all of the offered shares are sold by the Selling Securityholders), is based on 22,710,739 shares of Common Stock outstanding immediately prior to the reverse stock split or 2,271,129 shares of Common stock outstanding immediately after the split as of the date hereof; as stated previously, these figures do not include: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footnotes to the table below, none of the Selling Securityholders is a broker dealer or an affiliate of a broker dealer. None of the Selling Securityholders has any agreement or understanding to distribute any of the shares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and ant of their pledgees, assignees, transferees and successors-in-interest may offer for sale all or part of the shares from time to time. The table below assumes that the Selling Securityholders will sell all of the shares offered for resale. A Selling Securityholder is under no obligation, however, to sell any shares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49"/>
        <w:gridCol w:w="60"/>
        <w:gridCol w:w="473"/>
        <w:gridCol w:w="1105"/>
        <w:gridCol w:w="60"/>
        <w:gridCol w:w="60"/>
        <w:gridCol w:w="120"/>
        <w:gridCol w:w="2208"/>
        <w:gridCol w:w="60"/>
        <w:gridCol w:w="60"/>
        <w:gridCol w:w="741"/>
        <w:gridCol w:w="1730"/>
        <w:gridCol w:w="60"/>
        <w:gridCol w:w="60"/>
        <w:gridCol w:w="316"/>
        <w:gridCol w:w="662"/>
        <w:gridCol w:w="81"/>
      </w:tblGrid>
      <w:tr>
        <w:trPr/>
        <w:tc>
          <w:tcPr>
            <w:tcW w:w="2349" w:type="dxa"/>
            <w:tcBorders>
              <w:bottom w:val="single" w:sz="8"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5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2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w:t>
            </w:r>
            <w:r>
              <w:rPr>
                <w:rFonts w:ascii="Times New Roman;Times;Serif" w:hAnsi="Times New Roman;Times;Serif"/>
                <w:b/>
                <w:i w:val="false"/>
                <w:caps w:val="false"/>
                <w:smallCaps w:val="false"/>
                <w:position w:val="7"/>
                <w:sz w:val="16"/>
                <w:sz w:val="20"/>
              </w:rPr>
              <w:t>(4)</w:t>
            </w:r>
          </w:p>
        </w:tc>
        <w:tc>
          <w:tcPr>
            <w:tcW w:w="81" w:type="dxa"/>
            <w:tcBorders/>
            <w:tcMar>
              <w:bottom w:w="0" w:type="dxa"/>
            </w:tcMar>
            <w:vAlign w:val="center"/>
          </w:tcPr>
          <w:p>
            <w:pPr>
              <w:pStyle w:val="TableContents"/>
              <w:bidi w:val="0"/>
              <w:spacing w:before="0" w:after="283"/>
              <w:jc w:val="left"/>
              <w:rPr/>
            </w:pPr>
            <w:r>
              <w:rPr/>
              <w:t> </w:t>
            </w:r>
          </w:p>
        </w:tc>
      </w:tr>
      <w:tr>
        <w:trPr/>
        <w:tc>
          <w:tcPr>
            <w:tcW w:w="234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YYA II PN, LTD.</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2208" w:type="dxa"/>
            <w:tcBorders/>
            <w:shd w:fill="CCEEFF" w:val="clear"/>
            <w:tcMar>
              <w:bottom w:w="0" w:type="dxa"/>
            </w:tcMar>
            <w:vAlign w:val="center"/>
          </w:tcPr>
          <w:p>
            <w:pPr>
              <w:pStyle w:val="TableContents"/>
              <w:bidi w:val="0"/>
              <w:spacing w:before="0" w:after="283"/>
              <w:jc w:val="right"/>
              <w:rPr/>
            </w:pPr>
            <w:r>
              <w:rPr/>
              <w:t>25,000,000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selling securityholder table only, the Offering refers to the resale of the Shares of Common Stock by each Selling Securityholder listed above.</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Class A Common Stock issuable to Yorkville pursuant to Advances under the SEPA. The price at which we may issue and sell shares pursuant to an Advance under the SEPA may be at either (a) 95% of the average VWAP of the Class A Common Stock for the period commencing on the receipt of the Advance Notice by Yorkville and ending on 4:00 p.m. Eastern Time on the applicable date of the Advance Notice (“Pricing Option 1”) or (b) 96% of the lowest daily VWAP of the Class A Common Stock during the three consecutive trading days commencing on the date of the Advance Notice to Yorkville (“Pricing Option 2”), provided that we are subject to certain caps on the amount of shares of Class A Common Stock that we may sell pursuant to any Advance. See “</w:t>
            </w:r>
            <w:r>
              <w:rPr>
                <w:rFonts w:ascii="Times New Roman;Times;Serif" w:hAnsi="Times New Roman;Times;Serif"/>
                <w:b w:val="false"/>
                <w:i/>
                <w:caps w:val="false"/>
                <w:smallCaps w:val="false"/>
                <w:sz w:val="20"/>
              </w:rPr>
              <w:t>Description of Securities—Yorkville SEPA</w:t>
            </w:r>
            <w:r>
              <w:rPr>
                <w:rFonts w:ascii="Times New Roman;Times;Serif" w:hAnsi="Times New Roman;Times;Serif"/>
                <w:b w:val="false"/>
                <w:i w:val="false"/>
                <w:caps w:val="false"/>
                <w:smallCaps w:val="false"/>
                <w:sz w:val="20"/>
              </w:rPr>
              <w:t>” for more information regarding the SEPA.</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do not have the ability to control how many, if any, of their shares each of the Selling Securityholders will sell, we have assumed that the Selling Securityholders will sell all of the shares offered herein for purposes of determining how many shares they will own after the Offering and their percentage of ownership following the Offering.</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percentages have been rounded up to the nearest one hundredth of one percent.</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 fund managed by Yorkville Advisors Global, LP (“Yorkville LP”). Yorkville Advisors Global II, LLC (“Yorkville LLC”) is the General Partner of Yorkville LP. All investment decisions for YA II PN, LTD are made by Yorkville LLC’s President and Managing Member, Mr. Mark Angelo. The business address of YA is 1012 Springfield Avenue, Mountainside, NJ 07092.</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d_007"/>
      <w:bookmarkEnd w:id="1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by this prospectus are being offered by the Selling Stockholder. The shares of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Common Stock offered by this prospectus could be effected in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brokers’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cross or block trades;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brokers, dealers, or underwriters who may act solely as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into an existing market for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Common Stock may be sold only through registered or licensed brokers or dealers. In addition, in certain states, the shares of Common Stock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informed us that it intends to use one or more registered broker-dealers to effectuate all sales, if any, of our Common Stock that it has acquired and may in the future acquire from us pursuant to the SEPA. Such sales will be made at prices and at terms then prevailing or at prices related to the then current market price. Each such registered broker-dealer will be an underwriter within the meaning of Section 2(a)(11) of the Securities Act. Yorkville has informed us that each such broker-dealer will receive commissions from Yorkville that will not exceed customary brokerage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Rule 5110 requires FINRA member firms (unless an exemption applies) to satisfy the filing requirements of Rule 5110 in connection with the resale, on behalf of Selling Shareholders, of the securities on a principal or agency basis. NASD Notice to Members 88-101 states that in the event a Selling Shareholder intends to sell any of the shares registered for resale in this prospectus through a member of FINRA participating in a distribution of our securities, such member is responsible for insuring that a timely filing, if required, is first made with the Corporate Finance Department of FINRA and disclosing to FINRA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intends to take possession of the registered securities or to facilitate the transfer of such certificates;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details of how the Selling Shareholders’ shares are and will be held, including location of the particular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member firm or any direct or indirect affiliates thereof have entered into, will facilitate or otherwise participate in any type of payment transaction with the Selling Shareholders, including details regarding any such transactions; and</w:t>
            </w:r>
          </w:p>
        </w:tc>
      </w:tr>
    </w:tbl>
    <w:p>
      <w:pPr>
        <w:pStyle w:val="TextBody"/>
        <w:bidi w:val="0"/>
        <w:spacing w:before="0" w:after="0"/>
        <w:ind w:left="979" w:right="0" w:hanging="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of the securities offered by the Selling Shareholders are sold, transferred, assigned or hypothecated by any Selling Shareholder in a transaction that directly or indirectly involves a member firm of FINRA or any affiliates thereof, that prior to or at the time of said transaction the member firm will timely file all relevant documents with respect to such transaction(s) with the Corporate Finance Department of FINRA for review.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covered by this prospectus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Yorkville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represented to us that at no time prior to the date of the SEPA has Yorkville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Yorkville has agreed that during the term of the SEPA, neither Yorkville nor any of its agents, representatives or affiliates will enter into or effect, directly or indirectly, any of the foregoing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Registered for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30,309 shares of Common Stock, which was declared effective on February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 shares of Common Stock, which was declared effective on September 26,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which was declared effective on May 21,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333-282306) with the SEC for purposes of registering the resale from time to time of up to an aggregate of 492,506 shares of Common Stock, which was declared effective on October 10,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333-282680) with the SEC for purposes of registering the resale from time to time of up to 87,737 shares of Common Stock, which was declared effective on November 12,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333-288935) with the SEC for purposes of registering the resale from time to time of up to 1,502,826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333-289099) with the SEC for purposes of registering the resale from time to time of up to 9,004,003 shares of Common Stock, which was declared effective on August 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d_009"/>
      <w:bookmarkEnd w:id="16"/>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Warrants, Series B Warrants, Placement Agent Warrants,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 - Recent Wainwright Private Financing” &amp; “Prospectus Summary - Recent Developments - Alco and CP BF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 - Recent Developments - Alco and CP BF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Stockholder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$5,750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When the price per Share of Class A Common Stock Equals or Exceeds $9,000.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$9,000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 Warrants-Public Stockholder Warrants-Anti-dilution Adjustments</w:t>
            </w:r>
            <w:r>
              <w:rPr>
                <w:rFonts w:ascii="Times New Roman;Times;Serif" w:hAnsi="Times New Roman;Times;Serif"/>
                <w:b w:val="false"/>
                <w:i w:val="false"/>
                <w:caps w:val="false"/>
                <w:smallCaps w:val="false"/>
                <w:sz w:val="20"/>
              </w:rPr>
              <w:t>”) for any 20 trading days within a 30-trading day period ending three trading days before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 redemption trigger price (as adjusted for certain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as well as the $5,750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1,657 shares of Class A Common Stock at an exercise price of $3,407.25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issued in connection with the Senior 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Debt – Senior Secured Convertible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 is convertible, at CP BF’s option on 5 days’ written notice to the Company, into shares of Class A Common Stock. The Senior Convertible Note provides that the initial fixed conversion price for any such conversion is $38.90 per share, subject to adjustment as provided therein and as amended by the letter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letter agreement, the following amendments were made to the Loan Agreement and Note in October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$2.50 (the “Floor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w:t>
      </w:r>
      <w:r>
        <w:rPr>
          <w:rFonts w:ascii="Times New Roman;Times;Serif" w:hAnsi="Times New Roman;Times;Serif"/>
          <w:b w:val="false"/>
          <w:i/>
          <w:caps w:val="false"/>
          <w:smallCaps w:val="false"/>
          <w:sz w:val="20"/>
        </w:rPr>
        <w:t>- Yorkville SEPA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SEPAs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Class A Common Stock equal to the commitment amount of $100.0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Issuances of Class A Common Stock Under the SEPA on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conducted an additional closing pursuant to the Purchase Agreement (the “August Closing”) and issued an additional note in the original principal amount of $2,200,000 (the “August Note”) and warrants to purchase up to 396,396 shares of Class A Common Stock, as adjusted, at a current exercise price equal to $1.11 per share, as adjusted (the “August Warrants”). The August Note has a current conversion price equal to $1.11 per share, as adjusted, and matures on August 19, 2026. Other than the maturity date and the conversion and exercise prices, the August Note and August Warrants have the same terms as those issued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conducted an additional closing pursuant to the Purchase Agreement (the “October Closing”) and issued an additional note in the original principal amount of $2,500,000 (the “October Note”) and warrants to purchase up to 450,450 shares of Class A Common Stock, as adjusted, at a current exercise price equal to $1.11 per share, as adjusted (the “October Warrants”). The October Note has a current conversion price equal to $1.11 per share, as adjusted, and matures on October 8, 2026. Other than the maturity date and the conversion and exercise prices, the October Note and October Warrants have the same terms as those issued at the August Closing and the Initial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Initial Note, the “Notes”) and warrants to purchase up to 420,420 shares of Class A Common Stock at an initial exercise price equal to $1.11 per share (the “February Warrants” and, together with the October Warrants, the August Warrants, and the Initial Buyer Warrants, the “Buyer Warrants”). The February Note has an initial conversion price equal to $1.11 per share and matures on February 13, 2027. Other than the maturity date and the conversion and exercise prices, the February Note and February Warrants have the same terms as those issued at the prior closings.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$0.2540).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exercisable immediately upon issuance and have a term of exercise equal to three (3) years from the respective date of issuance. The exercise price of the Buyer Warrants is $1.11 per share (subject to adjustment as set forth therein).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underlying the Notes and the Buyer Warrants issued in connection with the Offering are registered for resale under registration statements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the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our outstanding voting stock (otherwise known as an “interested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Business Corporation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or its subsidiaries employed in Washington as a result of the acquiring person’s acquisition of 10% or more of the shares;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10"/>
        <w:gridCol w:w="9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Capital Market under the symbol “BNZI,” and the Company’s Public Warrants are listed on The Nasdaq Capital Market under the symbol “BNZIW.”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d_010"/>
      <w:bookmarkEnd w:id="17"/>
      <w:r>
        <w:rPr>
          <w:rFonts w:ascii="Times New Roman;Times;Serif" w:hAnsi="Times New Roman;Times;Serif"/>
          <w:b/>
          <w:i w:val="false"/>
          <w:caps w:val="false"/>
          <w:smallCaps w:val="false"/>
          <w:sz w:val="20"/>
        </w:rPr>
        <w:t>MATERIAL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“Code”),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GEM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 or other financial institution;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 corporation or other pass-through entity (or an investor in an S corporation or other pass-through 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 or a mutual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 a “passive foreign investment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stocks and securities, or currencies;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elects mark-to-market treatment;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is liable for the alternative minimum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received shares, through the exercise of an employee stock option, through a tax qualified retirement plan or otherwise as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a functional currency other than the U.S. dollar;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holds shares as part of a hedge, straddle, constructive sale, conversion or other integrated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its shares as a result of such income being recognized on an applicable financial statement;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Purchase Price Between Shares of our Class A Common Stock or Pre-Funded Warrants, as Applicable, and Accompanying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shares of Class A Common Stock and accompanying Common Warrants, or Pre-Funded Warrants and accompanying Common Warrants as applicable, will be purchased together in this offering, a holder of shares of our Class A Common Stock and accompanying Common Warrants, or Pre-Funded Warrants and accompanying Common Warrants, as applicable, must allocate such holder’s purchase price between each share of Class A Common Stock or Pre-Funded Warrant, as applicable, and the accompanying Common Warrant based on their respective relative fair market values at the time of issuance. This allocation of the purchase price will establish the holder’s initial tax basis for U.S. federal income tax purposes for each share of Class A Common Stock or Pre-Funded Warrant, as applicable, and accompanying Common Warrant. A holder’s allocation of the purchase price among the shares of Class A Common Stock or Pre-Funded Warrants, as applicable, and accompanying Common Warrants is not binding on the IRS or the courts, and no assurance can be given that the IRS or the courts will agree with a holder’s allocation. Each holder should consult such holder’s own tax advisor regarding the allocation of the purchase price among the shares of Class A Common Stock or Pre-Funded Warrants, as applicable, and accompanying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matter is not entirely free from doubt, a Pre-Funded Warrant generally should be treated as a share of our Class A Common Stock for U.S. federal income tax purposes and a holder of Pre-Funded Warrants generally should be taxed in the same manner as a holder of Class A Common Stock, as described below. Accordingly, no gain or loss should be recognized upon the exercise of a Pre-Funded Warrant and, upon exercise, the holding period of the share of Class A Common Stock acquired upon exercise of a Pre-Funded Warrant should include the holding period of such Pre-Funded Warrant. Similarly, the tax basis of the share of Class A Common Stock acquired upon exercise of a Pre-Funded Warrant should equal the tax basis of such Pre-Funded Warrant, increased by the exercise price of $0.0001. Each holder should consult his, her or its own tax advisor regarding the U.S. federal, state and local, and non-U.S tax consequences arising from and relating to the purchase, ownership and disposition of Pre-Funded Warrants pursuant to this offering (including potential alternative characterizations). The balance of this summary generally assumes that the characterization described above is respected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Class A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Expiration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183 days or more in the taxable year of disposition and certain other conditions are met;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d_011"/>
      <w:bookmarkEnd w:id="1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d_012"/>
      <w:bookmarkEnd w:id="1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2024 and for the year ended December 31, 2024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d_013"/>
      <w:bookmarkEnd w:id="2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jw_001"/>
      <w:bookmarkEnd w:id="21"/>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95"/>
        <w:gridCol w:w="410"/>
      </w:tblGrid>
      <w:tr>
        <w:trPr/>
        <w:tc>
          <w:tcPr>
            <w:tcW w:w="8795"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6797)</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795"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8795"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795"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795"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 (Deficit) for the Years ended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795"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8795"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the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sp_001"/>
      <w:bookmarkEnd w:id="2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Vidello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accounting for the acquisition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 the transaction structure, acquisition date, and identify the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the total consideration (cash, shares, warrants, contingent/earn-out) to transaction documents and records.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accounting and fair-value measurement of contingent/earn-out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 identification and fair-value allocation of identifiable assets (PP&amp;E, intangibles) and liabilities assumed.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key assumptions (growth rates, discount rates, multiples, terminal value) in the client’s valuation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underlying financial data (revenue, EBITDA, working capital) used in the valuation against Vidello’s financials.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the Stock Purchase Agreement and related documents to understand the terms and conditions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management’s calculations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adequacy of the Company’s disclosures related to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of Level 3 Financial Instruments and Acquisition-Related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7 to the consolidated financial statements, the Company has issued multiple debt and financing instruments, including convertible notes, warrants, and acquisition-related goodwill and 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and assessing the terms of the relevant agreements to confirm terms driving valuation inputs.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key valuation inputs by comparing management’s assumptions to observable market data, including interest rates, volatility benchmarks, and credit-risk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independently developing fair value estimates to compare with management’s recorded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in the valuation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related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6797</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p_002"/>
      <w:bookmarkEnd w:id="2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 except for Note 1 as to which the date is September 12, 2025</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sp_003"/>
      <w:bookmarkEnd w:id="24"/>
      <w:r>
        <w:rPr>
          <w:rFonts w:ascii="Times New Roman;Times;Serif" w:hAnsi="Times New Roman;Times;Serif"/>
          <w:b/>
          <w:i w:val="false"/>
          <w:caps w:val="false"/>
          <w:smallCaps w:val="false"/>
          <w:sz w:val="20"/>
        </w:rPr>
        <w:t>PART I</w:t>
      </w:r>
      <w:r>
        <w:rPr>
          <w:rFonts w:ascii="Times New Roman;Times;Serif" w:hAnsi="Times New Roman;Times;Serif"/>
          <w:b/>
          <w:i w:val="false"/>
          <w:caps w:val="false"/>
          <w:smallCaps w:val="false"/>
          <w:sz w:val="20"/>
          <w:shd w:fill="FFFFFF" w:val="clear"/>
        </w:rPr>
        <w:t>—FINANCIAL INFORMATION</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$41,341 and $24,210,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2,667,492</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7,782,746</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3,575,000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3,934,627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22,370,810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28,260,148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28,437,880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275,000,000 (250,000,000 Class A and 25,000,000 Class B) shares authorized and 10,546,333 (10,315,219 Class A and 231,114 Class B) and 819,516 (588,402 Class A and 231,114 Class B)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$0.0001 par value, 75,000,000 shares authorized, 1 and 1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108,911,110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75,515,829</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(100,771,787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(78,279,713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p_004"/>
      <w:bookmarkEnd w:id="2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23"/>
        <w:gridCol w:w="60"/>
        <w:gridCol w:w="175"/>
        <w:gridCol w:w="1482"/>
        <w:gridCol w:w="119"/>
        <w:gridCol w:w="74"/>
        <w:gridCol w:w="175"/>
        <w:gridCol w:w="1482"/>
        <w:gridCol w:w="115"/>
      </w:tblGrid>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27,287,345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16,548,902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28,437,816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16,573,081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(18,464,980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(13,467,744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1,227,509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(2,300)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(572,700)</w:t>
            </w:r>
          </w:p>
        </w:tc>
        <w:tc>
          <w:tcPr>
            <w:tcW w:w="115" w:type="dxa"/>
            <w:tcBorders/>
            <w:shd w:fill="FFFFFF" w:val="clear"/>
            <w:vAlign w:val="center"/>
          </w:tcPr>
          <w:p>
            <w:pPr>
              <w:pStyle w:val="TableContents"/>
              <w:bidi w:val="0"/>
              <w:spacing w:before="0" w:after="283"/>
              <w:jc w:val="left"/>
              <w:rPr>
                <w:sz w:val="4"/>
                <w:szCs w:val="4"/>
              </w:rPr>
            </w:pPr>
            <w:r>
              <w:rPr>
                <w:sz w:val="4"/>
                <w:szCs w:val="4"/>
              </w:rPr>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(51,000)</w:t>
            </w:r>
          </w:p>
        </w:tc>
        <w:tc>
          <w:tcPr>
            <w:tcW w:w="115" w:type="dxa"/>
            <w:tcBorders/>
            <w:shd w:fill="CCEEFF" w:val="clear"/>
            <w:vAlign w:val="center"/>
          </w:tcPr>
          <w:p>
            <w:pPr>
              <w:pStyle w:val="TableContents"/>
              <w:bidi w:val="0"/>
              <w:spacing w:before="0" w:after="283"/>
              <w:jc w:val="left"/>
              <w:rPr>
                <w:sz w:val="4"/>
                <w:szCs w:val="4"/>
              </w:rPr>
            </w:pPr>
            <w:r>
              <w:rPr>
                <w:sz w:val="4"/>
                <w:szCs w:val="4"/>
              </w:rPr>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88,329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(22,431,458</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 (net of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(69.75</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3,782,998</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445,817</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p_005"/>
      <w:bookmarkEnd w:id="2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3558" w:type="dxa"/>
        <w:jc w:val="left"/>
        <w:tblInd w:w="0" w:type="dxa"/>
        <w:tblLayout w:type="fixed"/>
        <w:tblCellMar>
          <w:top w:w="0" w:type="dxa"/>
          <w:left w:w="0" w:type="dxa"/>
          <w:bottom w:w="0" w:type="dxa"/>
          <w:right w:w="0" w:type="dxa"/>
        </w:tblCellMar>
      </w:tblPr>
      <w:tblGrid>
        <w:gridCol w:w="1340"/>
        <w:gridCol w:w="60"/>
        <w:gridCol w:w="181"/>
        <w:gridCol w:w="529"/>
        <w:gridCol w:w="72"/>
        <w:gridCol w:w="72"/>
        <w:gridCol w:w="422"/>
        <w:gridCol w:w="438"/>
        <w:gridCol w:w="60"/>
        <w:gridCol w:w="60"/>
        <w:gridCol w:w="190"/>
        <w:gridCol w:w="430"/>
        <w:gridCol w:w="72"/>
        <w:gridCol w:w="72"/>
        <w:gridCol w:w="444"/>
        <w:gridCol w:w="416"/>
        <w:gridCol w:w="60"/>
        <w:gridCol w:w="60"/>
        <w:gridCol w:w="60"/>
        <w:gridCol w:w="1100"/>
        <w:gridCol w:w="60"/>
        <w:gridCol w:w="60"/>
        <w:gridCol w:w="172"/>
        <w:gridCol w:w="688"/>
        <w:gridCol w:w="60"/>
        <w:gridCol w:w="60"/>
        <w:gridCol w:w="140"/>
        <w:gridCol w:w="1220"/>
        <w:gridCol w:w="95"/>
        <w:gridCol w:w="60"/>
        <w:gridCol w:w="251"/>
        <w:gridCol w:w="1359"/>
        <w:gridCol w:w="95"/>
        <w:gridCol w:w="60"/>
        <w:gridCol w:w="140"/>
        <w:gridCol w:w="129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819,516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2,882,001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18,602,931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under ATM</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1,816,387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3,429,257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FE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upon private placement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Hudson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Houlihan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Perkins Coie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365,300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Acorn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Vidello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2,565,781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4,342,859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RSUs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10,546,333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108,911,110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(100,771,788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8,055,001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2383" w:type="dxa"/>
        <w:jc w:val="left"/>
        <w:tblInd w:w="0" w:type="dxa"/>
        <w:tblLayout w:type="fixed"/>
        <w:tblCellMar>
          <w:top w:w="0" w:type="dxa"/>
          <w:left w:w="0" w:type="dxa"/>
          <w:bottom w:w="0" w:type="dxa"/>
          <w:right w:w="0" w:type="dxa"/>
        </w:tblCellMar>
      </w:tblPr>
      <w:tblGrid>
        <w:gridCol w:w="1385"/>
        <w:gridCol w:w="60"/>
        <w:gridCol w:w="181"/>
        <w:gridCol w:w="529"/>
        <w:gridCol w:w="72"/>
        <w:gridCol w:w="72"/>
        <w:gridCol w:w="422"/>
        <w:gridCol w:w="438"/>
        <w:gridCol w:w="60"/>
        <w:gridCol w:w="60"/>
        <w:gridCol w:w="190"/>
        <w:gridCol w:w="430"/>
        <w:gridCol w:w="72"/>
        <w:gridCol w:w="72"/>
        <w:gridCol w:w="444"/>
        <w:gridCol w:w="416"/>
        <w:gridCol w:w="60"/>
        <w:gridCol w:w="60"/>
        <w:gridCol w:w="60"/>
        <w:gridCol w:w="800"/>
        <w:gridCol w:w="95"/>
        <w:gridCol w:w="60"/>
        <w:gridCol w:w="301"/>
        <w:gridCol w:w="559"/>
        <w:gridCol w:w="60"/>
        <w:gridCol w:w="60"/>
        <w:gridCol w:w="140"/>
        <w:gridCol w:w="1100"/>
        <w:gridCol w:w="95"/>
        <w:gridCol w:w="60"/>
        <w:gridCol w:w="145"/>
        <w:gridCol w:w="1225"/>
        <w:gridCol w:w="95"/>
        <w:gridCol w:w="60"/>
        <w:gridCol w:w="140"/>
        <w:gridCol w:w="2195"/>
        <w:gridCol w:w="110"/>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 Equity</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reverse stock split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4,129,995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redemption premium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Incremental fair value of Series A and Series B warrant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CP BF on modification of CP BF debt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to CP BF,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Alco on settlement of Alco promissory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Shares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issued for OpenReel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RSUs to Board of Director members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Hudson for consulting fee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to Yorkville under the SEPA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HCW PIPE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819,516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p_006"/>
      <w:bookmarkEnd w:id="2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0"/>
        <w:gridCol w:w="60"/>
        <w:gridCol w:w="169"/>
        <w:gridCol w:w="1429"/>
        <w:gridCol w:w="115"/>
        <w:gridCol w:w="72"/>
        <w:gridCol w:w="169"/>
        <w:gridCol w:w="1429"/>
        <w:gridCol w:w="112"/>
      </w:tblGrid>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245,252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shares issued for consulting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1,671,996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747,962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1,532,475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Non-cash interest expense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due to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(67,118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551,645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27,227</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(381,632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1,012,281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(740,066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498,051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587,784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(44,549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long-term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(256,310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(15,706,619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(9,575,403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acquisition of Vidello,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(2,677,480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in acquisition of OpenReel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(2,678,980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GEM commitment fee promissory note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related party advance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5,412,050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2,782,438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term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(8,694,757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(1,939,583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Partial repayment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(4,728,672</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9,975,654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2,602,000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to Yorkville under the SEPA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 – ATM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(238,330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3,545,799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17,633,523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8,486,963</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(76,216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2,093,718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6905"/>
        <w:gridCol w:w="60"/>
        <w:gridCol w:w="60"/>
        <w:gridCol w:w="980"/>
        <w:gridCol w:w="60"/>
        <w:gridCol w:w="60"/>
        <w:gridCol w:w="60"/>
        <w:gridCol w:w="1100"/>
        <w:gridCol w:w="75"/>
      </w:tblGrid>
      <w:tr>
        <w:trPr/>
        <w:tc>
          <w:tcPr>
            <w:tcW w:w="69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338,393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CP BF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Alco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1,098,614</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Alco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7,768,006</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Hudson consulting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GEM commitment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20,826,920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OpenReel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24,484,460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3,657,540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of aggregate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promissory note –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liabilities at issuance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p_007"/>
      <w:bookmarkEnd w:id="2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stockholders of the Company collectively approved an amendment to the Company’s Certificate of Incorporation, as amended and restated, to effect a reverse stock split (the “2024 Reverse Stock Split”) of the Company’s outstanding Class A Common Stock at a ratio of 1-for-50 effective as of September 19, 2024. The Class B Common Stock was not affected by the 2024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2024 Reverse Stock Split and 2025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in this prospectus has been retroactively adjusted to reflect the impact of the 2024 Reverse Stock Split and 2025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$0.3 million. For the year ended December 31, 2025, the Company used approximately $15.7 million in cash for operating activities. The Company has incurred recurring net losses from operations and negative cash flows from operating activities since inception. As of December 31, 2025, the Company had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original maturities of 90 days or less to be cash equivalents. As of December 31, 2025 and 2024, respectively, the Company does 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Allowance for Credit Losses</w:t>
      </w:r>
    </w:p>
    <w:tbl>
      <w:tblPr>
        <w:tblW w:w="4425" w:type="dxa"/>
        <w:jc w:val="left"/>
        <w:tblInd w:w="0" w:type="dxa"/>
        <w:tblLayout w:type="fixed"/>
        <w:tblCellMar>
          <w:top w:w="0" w:type="dxa"/>
          <w:left w:w="0" w:type="dxa"/>
          <w:bottom w:w="0" w:type="dxa"/>
          <w:right w:w="0" w:type="dxa"/>
        </w:tblCellMar>
      </w:tblPr>
      <w:tblGrid>
        <w:gridCol w:w="3485"/>
        <w:gridCol w:w="60"/>
        <w:gridCol w:w="125"/>
        <w:gridCol w:w="680"/>
        <w:gridCol w:w="75"/>
      </w:tblGrid>
      <w:tr>
        <w:trPr/>
        <w:tc>
          <w:tcPr>
            <w:tcW w:w="3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5" w:type="dxa"/>
            <w:tcBorders/>
            <w:shd w:fill="CCEEFF" w:val="clear"/>
            <w:vAlign w:val="center"/>
          </w:tcPr>
          <w:p>
            <w:pPr>
              <w:pStyle w:val="TableContents"/>
              <w:bidi w:val="0"/>
              <w:spacing w:before="0" w:after="283"/>
              <w:jc w:val="center"/>
              <w:rPr/>
            </w:pPr>
            <w:r>
              <w:rPr/>
              <w:t> </w:t>
            </w:r>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identify our reporting units in accordance with the FASB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At December 31, 2025, the Company has three operating segments which were deemed to be its reporting units, and goodwill is allocated to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its long-lived assets for potential impairment in accordance with FASB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on intangible assets through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Business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one customer accounted for 10% or more of accounts receivable with a concentration of 13% of the total accounts receivable balance. At December 31, 2024, one customer accounted for 10% or more of accounts receivable with a concentration of 14% of the total accounts receivable balance. For the years ended December 31, 2025 and 2024, no customers accounted for 10% or more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no suppliers and two suppliers accounted for 10% or more of accounts payable,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568"/>
        <w:gridCol w:w="60"/>
        <w:gridCol w:w="173"/>
        <w:gridCol w:w="1463"/>
        <w:gridCol w:w="117"/>
        <w:gridCol w:w="74"/>
        <w:gridCol w:w="173"/>
        <w:gridCol w:w="1463"/>
        <w:gridCol w:w="114"/>
      </w:tblGrid>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4" w:type="dxa"/>
            <w:tcBorders/>
            <w:vAlign w:val="center"/>
          </w:tcPr>
          <w:p>
            <w:pPr>
              <w:pStyle w:val="TableContents"/>
              <w:bidi w:val="0"/>
              <w:spacing w:before="0" w:after="283"/>
              <w:jc w:val="left"/>
              <w:rPr/>
            </w:pPr>
            <w:r>
              <w:rPr/>
              <w:t> </w:t>
            </w:r>
          </w:p>
        </w:tc>
      </w:tr>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4" w:type="dxa"/>
            <w:tcBorders/>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shares—basic and diluted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3,782,998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445,817</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(69.75</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Antidilutive Securities Excluded from Computation of Earnings Per Share</w:t>
      </w:r>
    </w:p>
    <w:tbl>
      <w:tblPr>
        <w:tblW w:w="5160" w:type="dxa"/>
        <w:jc w:val="left"/>
        <w:tblInd w:w="0" w:type="dxa"/>
        <w:tblLayout w:type="fixed"/>
        <w:tblCellMar>
          <w:top w:w="0" w:type="dxa"/>
          <w:left w:w="0" w:type="dxa"/>
          <w:bottom w:w="0" w:type="dxa"/>
          <w:right w:w="0" w:type="dxa"/>
        </w:tblCellMar>
      </w:tblPr>
      <w:tblGrid>
        <w:gridCol w:w="3005"/>
        <w:gridCol w:w="60"/>
        <w:gridCol w:w="60"/>
        <w:gridCol w:w="980"/>
        <w:gridCol w:w="60"/>
        <w:gridCol w:w="60"/>
        <w:gridCol w:w="60"/>
        <w:gridCol w:w="800"/>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rFonts w:cs="Times New Roman;Times;Serif"/>
                <w:bCs/>
              </w:rPr>
            </w:pPr>
            <w:r>
              <w:rPr>
                <w:rFonts w:cs="Times New Roman;Times;Serif"/>
                <w:bCs/>
              </w:rPr>
              <w:t>﻿</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34,078</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452,761</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10,490</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524,552</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Antidilutive Securities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$659,877 and $467,897 for the years ended December 31, 2025 and 2024,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FASB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w:t>
      </w:r>
      <w:r>
        <w:rPr>
          <w:rFonts w:ascii="Times New Roman;Times;Serif" w:hAnsi="Times New Roman;Times;Serif"/>
          <w:b w:val="false"/>
          <w:i w:val="false"/>
          <w:caps w:val="false"/>
          <w:smallCaps w:val="false"/>
          <w:sz w:val="20"/>
          <w:shd w:fill="FFFFFF" w:val="clear"/>
        </w:rPr>
        <w:t xml:space="preserve">issued </w:t>
      </w:r>
      <w:r>
        <w:rPr>
          <w:rFonts w:ascii="Times New Roman;Times;Serif" w:hAnsi="Times New Roman;Times;Serif"/>
          <w:b w:val="false"/>
          <w:i w:val="false"/>
          <w:caps w:val="false"/>
          <w:smallCaps w:val="false"/>
          <w:sz w:val="20"/>
        </w:rPr>
        <w:t>ASU 2025-05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shd w:fill="FFFFFF" w:val="clear"/>
        </w:rPr>
        <w:t xml:space="preserve">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$485,720 of expense after foreign currency translation in the consolidated statements of operations related to the Transition Holdback Amount in the line Vidello earnout expense. As of December 31, 2025, the Company had paid the contractual amount of $500,000 to the Vidello Shareholders for the Transition Holdback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180 day measurement period for the Revenue Holdback had lapsed and the revenue conditions as defined in the Vidello Merger Agreement had not been met. As such the Company recognized a gain on the extinguishment of Vidello revenue holdback of $973,000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transaction costs of approximately $730,000 which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Preliminary Fair Value of the Consideration Transferred </w:t>
      </w:r>
    </w:p>
    <w:tbl>
      <w:tblPr>
        <w:tblW w:w="5670" w:type="dxa"/>
        <w:jc w:val="left"/>
        <w:tblInd w:w="0" w:type="dxa"/>
        <w:tblLayout w:type="fixed"/>
        <w:tblCellMar>
          <w:top w:w="0" w:type="dxa"/>
          <w:left w:w="0" w:type="dxa"/>
          <w:bottom w:w="0" w:type="dxa"/>
          <w:right w:w="0" w:type="dxa"/>
        </w:tblCellMar>
      </w:tblPr>
      <w:tblGrid>
        <w:gridCol w:w="4415"/>
        <w:gridCol w:w="60"/>
        <w:gridCol w:w="140"/>
        <w:gridCol w:w="980"/>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2,745,031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1,861,039</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Provisional Purchase Price Allocation Relating to Vidello Merger</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4,010,000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5,373,926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1,324,250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337,127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2,125,425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3,248,501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Intangible Assets Acquired and their Associated Estimated Useful Lives</w:t>
      </w:r>
    </w:p>
    <w:tbl>
      <w:tblPr>
        <w:tblW w:w="3400" w:type="dxa"/>
        <w:jc w:val="left"/>
        <w:tblInd w:w="0" w:type="dxa"/>
        <w:tblLayout w:type="fixed"/>
        <w:tblCellMar>
          <w:top w:w="0" w:type="dxa"/>
          <w:left w:w="0" w:type="dxa"/>
          <w:bottom w:w="0" w:type="dxa"/>
          <w:right w:w="0" w:type="dxa"/>
        </w:tblCellMar>
      </w:tblPr>
      <w:tblGrid>
        <w:gridCol w:w="2195"/>
        <w:gridCol w:w="60"/>
        <w:gridCol w:w="114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r>
          </w:p>
        </w:tc>
      </w:tr>
      <w:tr>
        <w:trPr/>
        <w:tc>
          <w:tcPr>
            <w:tcW w:w="21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Intangible Assets</w:t>
            </w:r>
          </w:p>
        </w:tc>
        <w:tc>
          <w:tcPr>
            <w:tcW w:w="60" w:type="dxa"/>
            <w:tcBorders/>
            <w:shd w:fill="FFFFFF" w:val="cle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7 - 8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consolidated statements of operations for the year ended December 31, 2025 and 2024 includes net loss of approximately $250 thousand and net income of $734 thousand, respectively, of Vidello from the date of acquisition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 Forma Financial Information</w:t>
      </w:r>
    </w:p>
    <w:tbl>
      <w:tblPr>
        <w:tblW w:w="9492" w:type="dxa"/>
        <w:jc w:val="left"/>
        <w:tblInd w:w="0" w:type="dxa"/>
        <w:tblLayout w:type="fixed"/>
        <w:tblCellMar>
          <w:top w:w="0" w:type="dxa"/>
          <w:left w:w="0" w:type="dxa"/>
          <w:bottom w:w="0" w:type="dxa"/>
          <w:right w:w="0" w:type="dxa"/>
        </w:tblCellMar>
      </w:tblPr>
      <w:tblGrid>
        <w:gridCol w:w="5915"/>
        <w:gridCol w:w="60"/>
        <w:gridCol w:w="171"/>
        <w:gridCol w:w="1438"/>
        <w:gridCol w:w="116"/>
        <w:gridCol w:w="73"/>
        <w:gridCol w:w="171"/>
        <w:gridCol w:w="1438"/>
        <w:gridCol w:w="11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12,391,854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10,006,674</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2,379,038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2,114,675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28,511,163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19,795,088</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(22,464,825</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(29,948,734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Sponsor paid certain expenses on behalf of 7GC. Upon Closing of the Merger, Banzai assumed the $67,118 liability. As of December 31, 2025, there is no remaining balance outstanding related to this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1one term note and 2two convertible notes into 1one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Company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the CEO of the Company loaned the Company an advance of $100,000. The advance is non-interest bearing, and matures one year from issuance. During the year ended December 31, 2025, the outstanding balance was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$125,000 and $239,000,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059"/>
        <w:gridCol w:w="60"/>
        <w:gridCol w:w="140"/>
        <w:gridCol w:w="1100"/>
        <w:gridCol w:w="60"/>
        <w:gridCol w:w="60"/>
        <w:gridCol w:w="270"/>
        <w:gridCol w:w="1719"/>
        <w:gridCol w:w="215"/>
        <w:gridCol w:w="60"/>
        <w:gridCol w:w="140"/>
        <w:gridCol w:w="980"/>
        <w:gridCol w:w="60"/>
        <w:gridCol w:w="60"/>
        <w:gridCol w:w="270"/>
        <w:gridCol w:w="1719"/>
        <w:gridCol w:w="233"/>
      </w:tblGrid>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33" w:type="dxa"/>
            <w:tcBorders/>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Accounts Receivable, Net</w:t>
      </w:r>
    </w:p>
    <w:tbl>
      <w:tblPr>
        <w:tblW w:w="3990" w:type="dxa"/>
        <w:jc w:val="left"/>
        <w:tblInd w:w="0" w:type="dxa"/>
        <w:tblLayout w:type="fixed"/>
        <w:tblCellMar>
          <w:top w:w="0" w:type="dxa"/>
          <w:left w:w="0" w:type="dxa"/>
          <w:bottom w:w="0" w:type="dxa"/>
          <w:right w:w="0" w:type="dxa"/>
        </w:tblCellMar>
      </w:tblPr>
      <w:tblGrid>
        <w:gridCol w:w="2915"/>
        <w:gridCol w:w="60"/>
        <w:gridCol w:w="140"/>
        <w:gridCol w:w="800"/>
        <w:gridCol w:w="75"/>
      </w:tblGrid>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expenses were $466,951 and $193,995 for the years ended December 31, 2025 and 2024, respectively. The following summarizes the activity related to costs to obtain a contract during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Activity Related to Costs to Obtain Contract </w:t>
      </w:r>
    </w:p>
    <w:tbl>
      <w:tblPr>
        <w:tblW w:w="4430" w:type="dxa"/>
        <w:jc w:val="left"/>
        <w:tblInd w:w="0" w:type="dxa"/>
        <w:tblLayout w:type="fixed"/>
        <w:tblCellMar>
          <w:top w:w="0" w:type="dxa"/>
          <w:left w:w="0" w:type="dxa"/>
          <w:bottom w:w="0" w:type="dxa"/>
          <w:right w:w="0" w:type="dxa"/>
        </w:tblCellMar>
      </w:tblPr>
      <w:tblGrid>
        <w:gridCol w:w="3245"/>
        <w:gridCol w:w="60"/>
        <w:gridCol w:w="140"/>
        <w:gridCol w:w="875"/>
        <w:gridCol w:w="110"/>
      </w:tblGrid>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$3,867,853 and </w:t>
      </w:r>
      <w:r>
        <w:rPr>
          <w:rFonts w:ascii="Times New Roman;Times;Serif" w:hAnsi="Times New Roman;Times;Serif"/>
          <w:b w:val="false"/>
          <w:i w:val="false"/>
          <w:caps w:val="false"/>
          <w:smallCaps w:val="false"/>
          <w:sz w:val="20"/>
          <w:shd w:fill="FFFFFF" w:val="clear"/>
        </w:rPr>
        <w:t>$1,214,096</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Total Deferred Revenue </w:t>
      </w:r>
    </w:p>
    <w:tbl>
      <w:tblPr>
        <w:tblW w:w="9372" w:type="dxa"/>
        <w:jc w:val="left"/>
        <w:tblInd w:w="0" w:type="dxa"/>
        <w:tblLayout w:type="fixed"/>
        <w:tblCellMar>
          <w:top w:w="0" w:type="dxa"/>
          <w:left w:w="0" w:type="dxa"/>
          <w:bottom w:w="0" w:type="dxa"/>
          <w:right w:w="0" w:type="dxa"/>
        </w:tblCellMar>
      </w:tblPr>
      <w:tblGrid>
        <w:gridCol w:w="6485"/>
        <w:gridCol w:w="60"/>
        <w:gridCol w:w="149"/>
        <w:gridCol w:w="1127"/>
        <w:gridCol w:w="101"/>
        <w:gridCol w:w="64"/>
        <w:gridCol w:w="149"/>
        <w:gridCol w:w="1127"/>
        <w:gridCol w:w="11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9,487,029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4,362,730</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(3,867,853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(6,383,159</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(3,091,333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OpenReel (see Note 4 – Acquisitions)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2,780,873</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Vidello (see Note 4 – Acquisitions)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end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3,736,253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on Recurring Basis </w:t>
      </w:r>
    </w:p>
    <w:tbl>
      <w:tblPr>
        <w:tblW w:w="8400" w:type="dxa"/>
        <w:jc w:val="left"/>
        <w:tblInd w:w="0" w:type="dxa"/>
        <w:tblLayout w:type="fixed"/>
        <w:tblCellMar>
          <w:top w:w="0" w:type="dxa"/>
          <w:left w:w="0" w:type="dxa"/>
          <w:bottom w:w="28" w:type="dxa"/>
          <w:right w:w="0" w:type="dxa"/>
        </w:tblCellMar>
      </w:tblPr>
      <w:tblGrid>
        <w:gridCol w:w="4970"/>
        <w:gridCol w:w="60"/>
        <w:gridCol w:w="575"/>
        <w:gridCol w:w="60"/>
        <w:gridCol w:w="60"/>
        <w:gridCol w:w="140"/>
        <w:gridCol w:w="1100"/>
        <w:gridCol w:w="60"/>
        <w:gridCol w:w="60"/>
        <w:gridCol w:w="140"/>
        <w:gridCol w:w="1100"/>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Definite-lived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 – public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Agile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1800 Diagonal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Convertible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Boot Capital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December 31, 2025.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844" w:type="dxa"/>
        <w:jc w:val="left"/>
        <w:tblInd w:w="0" w:type="dxa"/>
        <w:tblLayout w:type="fixed"/>
        <w:tblCellMar>
          <w:top w:w="0" w:type="dxa"/>
          <w:left w:w="0" w:type="dxa"/>
          <w:bottom w:w="0" w:type="dxa"/>
          <w:right w:w="0" w:type="dxa"/>
        </w:tblCellMar>
      </w:tblPr>
      <w:tblGrid>
        <w:gridCol w:w="2960"/>
        <w:gridCol w:w="60"/>
        <w:gridCol w:w="309"/>
        <w:gridCol w:w="140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Public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the Fair Value of the Warrants Liability</w:t>
      </w:r>
    </w:p>
    <w:tbl>
      <w:tblPr>
        <w:tblW w:w="4769" w:type="dxa"/>
        <w:jc w:val="left"/>
        <w:tblInd w:w="0" w:type="dxa"/>
        <w:tblLayout w:type="fixed"/>
        <w:tblCellMar>
          <w:top w:w="0" w:type="dxa"/>
          <w:left w:w="0" w:type="dxa"/>
          <w:bottom w:w="0" w:type="dxa"/>
          <w:right w:w="0" w:type="dxa"/>
        </w:tblCellMar>
      </w:tblPr>
      <w:tblGrid>
        <w:gridCol w:w="2960"/>
        <w:gridCol w:w="60"/>
        <w:gridCol w:w="254"/>
        <w:gridCol w:w="138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GEM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8084" w:type="dxa"/>
        <w:jc w:val="left"/>
        <w:tblInd w:w="0" w:type="dxa"/>
        <w:tblLayout w:type="fixed"/>
        <w:tblCellMar>
          <w:top w:w="0" w:type="dxa"/>
          <w:left w:w="0" w:type="dxa"/>
          <w:bottom w:w="0" w:type="dxa"/>
          <w:right w:w="0" w:type="dxa"/>
        </w:tblCellMar>
      </w:tblPr>
      <w:tblGrid>
        <w:gridCol w:w="5150"/>
        <w:gridCol w:w="60"/>
        <w:gridCol w:w="321"/>
        <w:gridCol w:w="2443"/>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Yorkville Convertible Note</w:t>
            </w:r>
          </w:p>
        </w:tc>
        <w:tc>
          <w:tcPr>
            <w:tcW w:w="11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4,950,000</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in cash of Yorkville convertible notes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321,165</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The fair value of the bifurcated derivative asset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bifurcated embedded derivative asset for the year ended December 31, 2025,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Derivate Assets</w:t>
      </w:r>
    </w:p>
    <w:tbl>
      <w:tblPr>
        <w:tblW w:w="4244" w:type="dxa"/>
        <w:jc w:val="left"/>
        <w:tblInd w:w="0" w:type="dxa"/>
        <w:tblLayout w:type="fixed"/>
        <w:tblCellMar>
          <w:top w:w="0" w:type="dxa"/>
          <w:left w:w="0" w:type="dxa"/>
          <w:bottom w:w="0" w:type="dxa"/>
          <w:right w:w="0" w:type="dxa"/>
        </w:tblCellMar>
      </w:tblPr>
      <w:tblGrid>
        <w:gridCol w:w="2960"/>
        <w:gridCol w:w="60"/>
        <w:gridCol w:w="174"/>
        <w:gridCol w:w="940"/>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Ranges of Inputs in Fair Value of the Private Placement Warrant Liability</w:t>
      </w:r>
    </w:p>
    <w:tbl>
      <w:tblPr>
        <w:tblW w:w="4559" w:type="dxa"/>
        <w:jc w:val="left"/>
        <w:tblInd w:w="0" w:type="dxa"/>
        <w:tblLayout w:type="fixed"/>
        <w:tblCellMar>
          <w:top w:w="0" w:type="dxa"/>
          <w:left w:w="0" w:type="dxa"/>
          <w:bottom w:w="28" w:type="dxa"/>
          <w:right w:w="0" w:type="dxa"/>
        </w:tblCellMar>
      </w:tblPr>
      <w:tblGrid>
        <w:gridCol w:w="2315"/>
        <w:gridCol w:w="60"/>
        <w:gridCol w:w="203"/>
        <w:gridCol w:w="1751"/>
        <w:gridCol w:w="230"/>
      </w:tblGrid>
      <w:tr>
        <w:trPr/>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Key Inputs</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2.50 - 4.77</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 - 3.7%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r>
              <w:rPr>
                <w:rFonts w:ascii="Times New Roman;Times;Serif" w:hAnsi="Times New Roman;Times;Serif"/>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$2.50-$4.36</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Private Placement Warrant Liability</w:t>
      </w:r>
    </w:p>
    <w:tbl>
      <w:tblPr>
        <w:tblW w:w="6554" w:type="dxa"/>
        <w:jc w:val="left"/>
        <w:tblInd w:w="0" w:type="dxa"/>
        <w:tblLayout w:type="fixed"/>
        <w:tblCellMar>
          <w:top w:w="0" w:type="dxa"/>
          <w:left w:w="0" w:type="dxa"/>
          <w:bottom w:w="0" w:type="dxa"/>
          <w:right w:w="0" w:type="dxa"/>
        </w:tblCellMar>
      </w:tblPr>
      <w:tblGrid>
        <w:gridCol w:w="3470"/>
        <w:gridCol w:w="60"/>
        <w:gridCol w:w="341"/>
        <w:gridCol w:w="2573"/>
        <w:gridCol w:w="110"/>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c>
          <w:tcPr>
            <w:tcW w:w="11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June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361,000</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August Warrant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356,000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October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Property and Equipment</w:t>
      </w:r>
    </w:p>
    <w:tbl>
      <w:tblPr>
        <w:tblW w:w="7223" w:type="dxa"/>
        <w:jc w:val="left"/>
        <w:tblInd w:w="0" w:type="dxa"/>
        <w:tblLayout w:type="fixed"/>
        <w:tblCellMar>
          <w:top w:w="0" w:type="dxa"/>
          <w:left w:w="0" w:type="dxa"/>
          <w:bottom w:w="0" w:type="dxa"/>
          <w:right w:w="0" w:type="dxa"/>
        </w:tblCellMar>
      </w:tblPr>
      <w:tblGrid>
        <w:gridCol w:w="2990"/>
        <w:gridCol w:w="60"/>
        <w:gridCol w:w="333"/>
        <w:gridCol w:w="1621"/>
        <w:gridCol w:w="95"/>
        <w:gridCol w:w="60"/>
        <w:gridCol w:w="305"/>
        <w:gridCol w:w="1649"/>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equipment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34,474</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and 2024 was $4,424 and $2,825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Prepaid Expenses and Other Current Assets  </w:t>
      </w:r>
    </w:p>
    <w:tbl>
      <w:tblPr>
        <w:tblW w:w="8638" w:type="dxa"/>
        <w:jc w:val="left"/>
        <w:tblInd w:w="0" w:type="dxa"/>
        <w:tblLayout w:type="fixed"/>
        <w:tblCellMar>
          <w:top w:w="0" w:type="dxa"/>
          <w:left w:w="0" w:type="dxa"/>
          <w:bottom w:w="0" w:type="dxa"/>
          <w:right w:w="0" w:type="dxa"/>
        </w:tblCellMar>
      </w:tblPr>
      <w:tblGrid>
        <w:gridCol w:w="4475"/>
        <w:gridCol w:w="60"/>
        <w:gridCol w:w="290"/>
        <w:gridCol w:w="1664"/>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 trade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239,041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receivable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130,345</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commissions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76,767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29,133</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merchant fees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goodwill by reportable segment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Goodwill</w:t>
      </w:r>
    </w:p>
    <w:tbl>
      <w:tblPr>
        <w:tblW w:w="9500" w:type="dxa"/>
        <w:jc w:val="left"/>
        <w:tblInd w:w="0" w:type="dxa"/>
        <w:tblLayout w:type="fixed"/>
        <w:tblCellMar>
          <w:top w:w="0" w:type="dxa"/>
          <w:left w:w="0" w:type="dxa"/>
          <w:bottom w:w="0" w:type="dxa"/>
          <w:right w:w="0" w:type="dxa"/>
        </w:tblCellMar>
      </w:tblPr>
      <w:tblGrid>
        <w:gridCol w:w="3050"/>
        <w:gridCol w:w="60"/>
        <w:gridCol w:w="280"/>
        <w:gridCol w:w="1960"/>
        <w:gridCol w:w="60"/>
        <w:gridCol w:w="60"/>
        <w:gridCol w:w="140"/>
        <w:gridCol w:w="980"/>
        <w:gridCol w:w="60"/>
        <w:gridCol w:w="60"/>
        <w:gridCol w:w="140"/>
        <w:gridCol w:w="1100"/>
        <w:gridCol w:w="60"/>
        <w:gridCol w:w="60"/>
        <w:gridCol w:w="152"/>
        <w:gridCol w:w="120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2024</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goodwill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8299" w:type="dxa"/>
        <w:jc w:val="left"/>
        <w:tblInd w:w="0" w:type="dxa"/>
        <w:tblLayout w:type="fixed"/>
        <w:tblCellMar>
          <w:top w:w="0" w:type="dxa"/>
          <w:left w:w="0" w:type="dxa"/>
          <w:bottom w:w="0" w:type="dxa"/>
          <w:right w:w="0" w:type="dxa"/>
        </w:tblCellMar>
      </w:tblPr>
      <w:tblGrid>
        <w:gridCol w:w="3080"/>
        <w:gridCol w:w="60"/>
        <w:gridCol w:w="3035"/>
        <w:gridCol w:w="60"/>
        <w:gridCol w:w="229"/>
        <w:gridCol w:w="1725"/>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 (years):</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6 - 7</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1,139,710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10 - 15</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1,637,100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6 - 8</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6,425,010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gross</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9,201,820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amortization expense related to intangible assets was $1,146,066 for the </w:t>
      </w:r>
      <w:r>
        <w:rPr>
          <w:rFonts w:ascii="Times New Roman;Times;Serif" w:hAnsi="Times New Roman;Times;Serif"/>
          <w:b w:val="false"/>
          <w:i w:val="false"/>
          <w:caps w:val="false"/>
          <w:smallCaps w:val="false"/>
          <w:sz w:val="20"/>
          <w:shd w:fill="FFFFFF" w:val="clear"/>
        </w:rPr>
        <w:t>year ended December 31, 2025</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Expected Amortization Expense</w:t>
      </w:r>
    </w:p>
    <w:tbl>
      <w:tblPr>
        <w:tblW w:w="2115" w:type="dxa"/>
        <w:jc w:val="left"/>
        <w:tblInd w:w="0" w:type="dxa"/>
        <w:tblLayout w:type="fixed"/>
        <w:tblCellMar>
          <w:top w:w="0" w:type="dxa"/>
          <w:left w:w="0" w:type="dxa"/>
          <w:bottom w:w="0" w:type="dxa"/>
          <w:right w:w="0" w:type="dxa"/>
        </w:tblCellMar>
      </w:tblPr>
      <w:tblGrid>
        <w:gridCol w:w="860"/>
        <w:gridCol w:w="60"/>
        <w:gridCol w:w="140"/>
        <w:gridCol w:w="980"/>
        <w:gridCol w:w="75"/>
      </w:tblGrid>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1,205,547</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1,962,162</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Accrued Expenses and Other Current Liabilities</w:t>
      </w:r>
    </w:p>
    <w:tbl>
      <w:tblPr>
        <w:tblW w:w="9043" w:type="dxa"/>
        <w:jc w:val="left"/>
        <w:tblInd w:w="0" w:type="dxa"/>
        <w:tblLayout w:type="fixed"/>
        <w:tblCellMar>
          <w:top w:w="0" w:type="dxa"/>
          <w:left w:w="0" w:type="dxa"/>
          <w:bottom w:w="0" w:type="dxa"/>
          <w:right w:w="0" w:type="dxa"/>
        </w:tblCellMar>
      </w:tblPr>
      <w:tblGrid>
        <w:gridCol w:w="4880"/>
        <w:gridCol w:w="60"/>
        <w:gridCol w:w="244"/>
        <w:gridCol w:w="1710"/>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2,419,829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452,508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Excise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207,970</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315,764</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subscription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$150,000 to Alco Investment Company (“Alco”),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For the year ended December 31, 2024, interest expense on the Alco August Promissory Note totaled $11,284, comprised of $8,022 of contractual accrued interest and $3,261 for the amortization of the discount. As of December 31, 2024 the Alco August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$1,500,000 to Alco. The Alco September Promissory Note bears interest at a rate of 8% per annum. The outstanding principal and accrued interest were due and payable on September 30, 2024, however the due date was extended and the debt subsequently settled (see below). For the year ended December 31, 2024, interest expense on the Alco September Promissory Note totaled $283,188, comprised of $92,822 of contractual accrued interest and $190,366 for the amortization of the discount. As of December 31, 2024 the Alco September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were due and payable on April 13, 2024, however the due date was extended and the debt subsequently settled (see below). For the year ended December 31, 2024, interest expense on the Alco November Promissory Note totaled $321,189, comprised of $43,891 of contractual accrued interest and $277,298 for the amortization of the discount. As of December 31, 2024 the Alco November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For the year ended December 31, 2024, interest expense on the Alco December Promissory Note totaled $936,941, comprised of $117,040 of contractual accrued interest and $819,901 for the amortization of the discount. As of December 31, 2024 the Alco December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150,000, 75,000, and 600,000,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Alco Share Transfer Agreements, the Company considered the guidance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Times;Serif" w:hAnsi="Times New Roman;Times;Serif"/>
          <w:b w:val="false"/>
          <w:i/>
          <w:caps w:val="false"/>
          <w:smallCaps w:val="false"/>
          <w:sz w:val="20"/>
        </w:rPr>
        <w:t>Troubled Debt Restructurings</w:t>
      </w:r>
      <w:r>
        <w:rPr>
          <w:rFonts w:ascii="Times New Roman;Times;Serif" w:hAnsi="Times New Roman;Times;Serif"/>
          <w:b w:val="false"/>
          <w:i w:val="false"/>
          <w:caps w:val="false"/>
          <w:smallCaps w:val="false"/>
          <w:sz w:val="20"/>
        </w:rPr>
        <w:t xml:space="preserve">, and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Alco Promissory Note 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282,420 shares of Class A Common Stock, Warrants to purchase up to 1,331,340 shares of Class A Common Stock and Pre-Funded Warrants to purchase up to 1,048,920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$2,540,091 balance was converted into 17,813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5five-year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issued an aggregate of 19,000 shares of Class A Common Stock to GEM in lieu of monthly payment obligations and during the year ended December 31, 2025 the Company paid an aggregate of $215,057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$750,000 on May 31, 2024 (the “Repayment Date”), and issued an Advance Notice for the purchase of 1,200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$20.00,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January 17, 2025, and accrue interest at 0% per annum, subject to an increase to 18% per annum upon events of default as defined in the agreement. As of December 31, 2025, no events of default have occurred.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per share fell below the then in effect Floor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of $20.00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$2.94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$2,000,000 of the full outstanding principal under the December Yorkville Convertible Note, respectively, was converted into 27,538 shares of Class A Common stock of the Company. During the year ended December 31, 2024, the full principal amount of $1,000,000 under the February Yorkville Promissory Note was converted into 2,891 Class A Common stock of the Company. During the year ended December 31, 2024, the full outstanding principal amount of $750,000 under the March Yorkville Promissory Note was converted into 14,986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$3,500,000. The Company received net proceeds of $3,140,000 after an original issue discount of $350,000, and $10,000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$20.00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June 30, 2025, the January 2025 Yorkville Note was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2025, the Company entered into a Convertible Promissory Note (the “September 2025 Yorkville Note”) with Yorkville in principal amount of $2,000,000 (the “Original Principal Amount”) to the Company, to be used as an advance under the SEPA. The Company received $890,000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$1,000,000, less 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September 2025 Yorkville Note was issued on September 16, 2025 and the maturity date of the September 2025 Yorkville Note is 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xml:space="preserv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$2.50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the Company issued an Advance Notice to Yorkville pursuant to the SEPA in which the Company requested the purchase of 115,000 shares of the Company’s Class A Common Stock at a purchase price of $3.08 for a total purchase price of $354,074 to be applied against the outstanding Yorkville Convertible Notes. Upon settlement on October 8, 2025, the Company issued 115,000 shares of Class A Common Stock to Yorkville.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Company issued an Advance Notice to Yorkville pursuant to the SEPA in which the Company requested the purchase of 65,000 shares of the Company’s Class A Common Stock at a purchase price of $2.95 for a total purchase price of $191,477 to be applied against the outstanding Yorkville Convertible Notes. Upon settlement on October 15, 2025, the Company issued 65,000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16% and interest expense totaled $851,175 for the year ended December 31, 2024, comprised of $772,550 of contractual interest and $78,625 of amortization of the discount. </w:t>
      </w:r>
      <w:r>
        <w:rPr>
          <w:rFonts w:ascii="Times New Roman;Times;Serif" w:hAnsi="Times New Roman;Times;Serif"/>
          <w:b w:val="false"/>
          <w:i w:val="false"/>
          <w:caps w:val="false"/>
          <w:smallCaps w:val="false"/>
          <w:sz w:val="20"/>
          <w:shd w:fill="FFFFFF" w:val="clear"/>
        </w:rPr>
        <w:t>The effective interest rate for the CP BF Convertible Note and First Amendment Convertible Note was 16% for the year ended December 31, 2024. For the year ended December 31, 2024, interest expense on the Convertible Notes totaled $350,430 comprised of $325,818 of contractual interest and $24,612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side letter, the Company agreed to issue to CP BF, 7,000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$38.90. Upon the occurrence, and during the continuance, of an Event of Default (as defined in the agreement), interest on the 2024 CP BF Convertible Note will bear PIK interest at a per annum rate of 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 5,560 Class A Common Stock at the fixed conversion price per share of $38.90 in satisfaction of $216,284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26,085 shares of Class A Common Stock, CP BF Warrants to purchase up to 56,555 shares of Class A Common Stock and CP BF Pre-Funded Warrants to purchase up to 30,470 shares of Class A Common Stock (all such securities and shares collectively referred to as the “CP BF Registrable Securities”). The CP BF Warrant can be exercised at an initial exercise price of $38.90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231,114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year ended December 31, 2025, the Company paid a total of $2,840,677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2024 CP BF Convertible Note was approximately 15.4% for the year ended December 31, 2025 and 2024. For the year ended December 31, 2025 and 2024, interest expense on the 2024 CP BF Convertible Note totaled $1,177,033 and $368,525,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2024 CP BF Convertible Note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2024 CP BF Convertible Note </w:t>
      </w:r>
    </w:p>
    <w:tbl>
      <w:tblPr>
        <w:tblW w:w="7490" w:type="dxa"/>
        <w:jc w:val="left"/>
        <w:tblInd w:w="0" w:type="dxa"/>
        <w:tblLayout w:type="fixed"/>
        <w:tblCellMar>
          <w:top w:w="0" w:type="dxa"/>
          <w:left w:w="0" w:type="dxa"/>
          <w:bottom w:w="0" w:type="dxa"/>
          <w:right w:w="0" w:type="dxa"/>
        </w:tblCellMar>
      </w:tblPr>
      <w:tblGrid>
        <w:gridCol w:w="4850"/>
        <w:gridCol w:w="60"/>
        <w:gridCol w:w="140"/>
        <w:gridCol w:w="1055"/>
        <w:gridCol w:w="95"/>
        <w:gridCol w:w="60"/>
        <w:gridCol w:w="140"/>
        <w:gridCol w:w="980"/>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premium,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11,066</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8,769,841</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369,459</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(5,011,987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$2.50.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17, 2025 and December 31, 2025, CP BF exercised its optional conversion option multiple times and received an aggregate of 62,700 shares of Class A Common Stock at conversion prices per share ranging from $2.71 to $2.75 in satisfaction of $165,461 of the Company’s obligations under the 2024 CP BF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$787,500 and received net proceeds of $750,000, after administrative agent fees of $37,500 paid to Agile Funding, with a maturity date of February 5, 2025. The July Agile Note bears interest at a rate of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$262,500 and received net proceeds of $250,000, after administrative agent fees of $12,500 paid to Agile Funding, with a maturity date of 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$2,400,000 and received net proceeds of $1,782,438, after administrative agent fees of $120,000 paid to Agile Funding, and net of payments to Agile of $319,500 and $178,063 in respect to early prepayment of the remaining outstanding balances of the July Agile Note and September Agile Note. The December Agile Note has a maturity date of July 10,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$4,000,000 and received net proceeds of $2,044,105, after administrative agent fees of $200,000 paid to Agile Funding, and net of payments to Agile of $1,755,895 in respect to early prepayment of the remaining outstanding balances of the December Agile Note. The March Agile Note has a maturity date of November 12,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$262,500 and received net proceeds of $250,000, after administrative agent fees $12,500 paid to Agile Funding. The June Agile note has a maturity date of December 15, 2025 and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$632,837.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with Agile pursuant to which the Company issued 232,786 shares of its Class A common stock in exchange for a reduction of $284,000 in the outstanding balance of the March Agile Note. Following this exchange, the outstanding balance of the March Agile Note was reduced to approximately $1,839,432.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$2,727,280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Agile Notes for the year ended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7274" w:type="dxa"/>
        <w:jc w:val="left"/>
        <w:tblInd w:w="0" w:type="dxa"/>
        <w:tblLayout w:type="fixed"/>
        <w:tblCellMar>
          <w:top w:w="0" w:type="dxa"/>
          <w:left w:w="0" w:type="dxa"/>
          <w:bottom w:w="0" w:type="dxa"/>
          <w:right w:w="0" w:type="dxa"/>
        </w:tblCellMar>
      </w:tblPr>
      <w:tblGrid>
        <w:gridCol w:w="5300"/>
        <w:gridCol w:w="60"/>
        <w:gridCol w:w="211"/>
        <w:gridCol w:w="1593"/>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Agile Term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Agile term notes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4,262,500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(8,079,300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1,839,433</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$184,000 and received net proceeds of $152,000, after an original issue discount of $24,000 and issuance costs of $8,000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$124,200 and received net proceeds of $100,000, after an original discount of $16,200 and issuance costs of $8,000 for due diligence and legal fees. The September 1800 Diagonal Note has a maturity date of July 30, 2025 and bears interest at 12% per annum. On July 23, 2025, the Company exercised its conversion option under the September 1800 Diagonal Note. On the conversion date, the September 1800 Diagonal Note had a fair value of $17,000 and converted into 7,034 shares of the Company’s Class A Common Stock in satisfaction of $17,388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$124,200 and received net proceeds of $100,000, after an original discount of $16,200 and issuance costs of $8,000 for due diligence and legal fees. The December 1800 Diagonal Note has a maturity date of October 15, 2025 and bears interest at 12% per annum. On July 22, 2025, the Company exercised its conversion option under the December 1800 Diagonal Note. On the conversion date, the December 1800 Diagonal Note had a fair value of $58,000 and converted into 19,986 shares of the Company’s Class A Common Stock in satisfaction of $52,164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$124,200 and received net proceeds of $100,000, after an original discount of $16,200 and issuance costs of $8,000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$80,700 and converted into 32,780 shares of the Company’s Class A Common Stock in satisfaction of $69,552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$230,000 and received net proceeds of $192,000, after an original discount of $30,000 and issuance costs of $8,000 for due diligence and legal fees. The April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21, 2025 and October 27, 2025, the Lender exercised its conversion option multiple times under the April 1800 Diagonal Note and received an aggregate of 140,293 shares of Class A Common Stock at conversion prices per share ranging from $1.69 to $2.06 in full satisfaction of the Company’s remaining obligations under the April 1800 Diagonal Note totaling $265,100.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$163,300 and received net proceeds of $135,000, after an original discount of $21,300 and issuance costs of $7,000 for due diligence and legal fees. The May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$295,550 and received net proceeds of $250,000, after an original discount of $38,550 and issuance costs of $7,000 for due diligence and legal fees. The July 1800 Diagonal Note has a maturity date of May 30, 2026 and bears interest at 12% per annum.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$151,800 and received net proceeds of $125,000, after an original discount of $19,800 and issuance costs of $7,000 for due diligence and legal fees. The September 2025 1800 Diagonal Note has a maturity date of June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$238,050 and received net proceeds of $200,000, after an original discount of $31,050 and issuance costs of $7,000 for due diligence and legal fees. The November 1800 Diagonal Note has a maturity date of July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$306,696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1800 Diagonal Notes year ended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944" w:type="dxa"/>
        <w:jc w:val="left"/>
        <w:tblInd w:w="0" w:type="dxa"/>
        <w:tblLayout w:type="fixed"/>
        <w:tblCellMar>
          <w:top w:w="0" w:type="dxa"/>
          <w:left w:w="0" w:type="dxa"/>
          <w:bottom w:w="0" w:type="dxa"/>
          <w:right w:w="0" w:type="dxa"/>
        </w:tblCellMar>
      </w:tblPr>
      <w:tblGrid>
        <w:gridCol w:w="5300"/>
        <w:gridCol w:w="60"/>
        <w:gridCol w:w="184"/>
        <w:gridCol w:w="1290"/>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1800 Diagonal</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1,297,200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140,215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(615,457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721,938</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Private Placement Offering</w:t>
      </w:r>
    </w:p>
    <w:tbl>
      <w:tblPr>
        <w:tblW w:w="11355" w:type="dxa"/>
        <w:jc w:val="left"/>
        <w:tblInd w:w="0" w:type="dxa"/>
        <w:tblLayout w:type="fixed"/>
        <w:tblCellMar>
          <w:top w:w="0" w:type="dxa"/>
          <w:left w:w="0" w:type="dxa"/>
          <w:bottom w:w="0" w:type="dxa"/>
          <w:right w:w="0" w:type="dxa"/>
        </w:tblCellMar>
      </w:tblPr>
      <w:tblGrid>
        <w:gridCol w:w="800"/>
        <w:gridCol w:w="60"/>
        <w:gridCol w:w="1025"/>
        <w:gridCol w:w="60"/>
        <w:gridCol w:w="1025"/>
        <w:gridCol w:w="60"/>
        <w:gridCol w:w="140"/>
        <w:gridCol w:w="980"/>
        <w:gridCol w:w="60"/>
        <w:gridCol w:w="60"/>
        <w:gridCol w:w="140"/>
        <w:gridCol w:w="980"/>
        <w:gridCol w:w="60"/>
        <w:gridCol w:w="60"/>
        <w:gridCol w:w="287"/>
        <w:gridCol w:w="903"/>
        <w:gridCol w:w="60"/>
        <w:gridCol w:w="60"/>
        <w:gridCol w:w="287"/>
        <w:gridCol w:w="903"/>
        <w:gridCol w:w="60"/>
        <w:gridCol w:w="60"/>
        <w:gridCol w:w="1025"/>
        <w:gridCol w:w="60"/>
        <w:gridCol w:w="71"/>
        <w:gridCol w:w="954"/>
        <w:gridCol w:w="60"/>
        <w:gridCol w:w="60"/>
        <w:gridCol w:w="222"/>
        <w:gridCol w:w="698"/>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r>
      <w:tr>
        <w:trPr/>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Maturity Date of the 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Warrant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Warrant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Warrant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5,497,909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Notes were issued with an original issue discount of 10.0% and accrue interest at a rate of 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2025 and October 22, 2025, the Buyer exercised its contractual conversion options multiple times under the June 3i Note and received an aggregate of 616,450 shares of Class A Common Stock at conversion prices per share ranging from $1.91 to $2.58 in full satisfaction of the Company’s remaining obligations under the June 3i Note totaling $1,419,698.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September 10, 2025 and October 14, 2025, the Buyer exercised its contractual conversion option multiple times under the August 3i Note and received an aggregate of 617,656 shares of Class A Common Stock at conversion prices per share ranging from $1.91 to $2.42 in satisfaction of $1,411,667 of the Company’s obligations under the August 3i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16, 2025 and December 11, 2025, the Buyer exercised its contractual conversion option multiple times under the October 3i Note and received an aggregate of 1,331,675 shares of Class A Common Stock at conversion prices per share ranging from $1.03 to $2.50 in satisfaction of $1,676,667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$1,193,231 for the year ending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Notes </w:t>
      </w:r>
    </w:p>
    <w:tbl>
      <w:tblPr>
        <w:tblW w:w="6734" w:type="dxa"/>
        <w:jc w:val="left"/>
        <w:tblInd w:w="0" w:type="dxa"/>
        <w:tblLayout w:type="fixed"/>
        <w:tblCellMar>
          <w:top w:w="0" w:type="dxa"/>
          <w:left w:w="0" w:type="dxa"/>
          <w:bottom w:w="0" w:type="dxa"/>
          <w:right w:w="0" w:type="dxa"/>
        </w:tblCellMar>
      </w:tblPr>
      <w:tblGrid>
        <w:gridCol w:w="5300"/>
        <w:gridCol w:w="60"/>
        <w:gridCol w:w="148"/>
        <w:gridCol w:w="1116"/>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3i, LP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Private Placement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3,349,000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1,709,091</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Boot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first promissory note (the “Boot Capital Note”) for an aggregate principal amount of $115,000 and received $100,000 of proceeds, net of an original discount of $15,000,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744" w:type="dxa"/>
        <w:jc w:val="left"/>
        <w:tblInd w:w="0" w:type="dxa"/>
        <w:tblLayout w:type="fixed"/>
        <w:tblCellMar>
          <w:top w:w="0" w:type="dxa"/>
          <w:left w:w="0" w:type="dxa"/>
          <w:bottom w:w="0" w:type="dxa"/>
          <w:right w:w="0" w:type="dxa"/>
        </w:tblCellMar>
      </w:tblPr>
      <w:tblGrid>
        <w:gridCol w:w="5300"/>
        <w:gridCol w:w="60"/>
        <w:gridCol w:w="195"/>
        <w:gridCol w:w="1114"/>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Boot Capital</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Public Warrants in the Merger, exercisable into 23,000 shares of Common Stock of the Company, and which remained outstanding as of December 31, 2025. The Public Warrants have an exercise price of $5,750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$5.00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$9,000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$5,750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1,657 shares at an exercise price of $3,245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$18.30. The effect of the change in strike price feature being triggered resulted in a change of value of approximately $15,000 which is recorded in the statement of operations line 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 contains an escalation clause and a renewal option. The Company is not reasonably certain that the renewal option will be exercised upon expiration of the initial terms of its existing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Lease Expense</w:t>
      </w:r>
    </w:p>
    <w:tbl>
      <w:tblPr>
        <w:tblW w:w="6746" w:type="dxa"/>
        <w:jc w:val="left"/>
        <w:tblInd w:w="0" w:type="dxa"/>
        <w:tblLayout w:type="fixed"/>
        <w:tblCellMar>
          <w:top w:w="0" w:type="dxa"/>
          <w:left w:w="0" w:type="dxa"/>
          <w:bottom w:w="28" w:type="dxa"/>
          <w:right w:w="0" w:type="dxa"/>
        </w:tblCellMar>
      </w:tblPr>
      <w:tblGrid>
        <w:gridCol w:w="3050"/>
        <w:gridCol w:w="60"/>
        <w:gridCol w:w="252"/>
        <w:gridCol w:w="1227"/>
        <w:gridCol w:w="108"/>
        <w:gridCol w:w="108"/>
        <w:gridCol w:w="252"/>
        <w:gridCol w:w="1579"/>
        <w:gridCol w:w="110"/>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2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Sublease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227" w:type="dxa"/>
            <w:tcBorders>
              <w:bottom w:val="single" w:sz="8" w:space="0" w:color="000000"/>
            </w:tcBorders>
            <w:shd w:fill="FFFFFF" w:val="clear"/>
            <w:vAlign w:val="center"/>
          </w:tcPr>
          <w:p>
            <w:pPr>
              <w:pStyle w:val="TableContents"/>
              <w:bidi w:val="0"/>
              <w:spacing w:before="0" w:after="283"/>
              <w:jc w:val="right"/>
              <w:rPr/>
            </w:pP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(117,084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28" w:type="dxa"/>
          <w:right w:w="0" w:type="dxa"/>
        </w:tblCellMar>
      </w:tblPr>
      <w:tblGrid>
        <w:gridCol w:w="6542"/>
        <w:gridCol w:w="60"/>
        <w:gridCol w:w="236"/>
        <w:gridCol w:w="1277"/>
        <w:gridCol w:w="160"/>
        <w:gridCol w:w="101"/>
        <w:gridCol w:w="236"/>
        <w:gridCol w:w="1480"/>
        <w:gridCol w:w="113"/>
      </w:tblGrid>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9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 (operating cash flow)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24,011</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lease liabilities (operating cash flow)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(23,280</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Balance Sheet Information Related to Leases</w:t>
      </w:r>
    </w:p>
    <w:tbl>
      <w:tblPr>
        <w:tblW w:w="5618" w:type="dxa"/>
        <w:jc w:val="left"/>
        <w:tblInd w:w="0" w:type="dxa"/>
        <w:tblLayout w:type="fixed"/>
        <w:tblCellMar>
          <w:top w:w="0" w:type="dxa"/>
          <w:left w:w="0" w:type="dxa"/>
          <w:bottom w:w="28" w:type="dxa"/>
          <w:right w:w="0" w:type="dxa"/>
        </w:tblCellMar>
      </w:tblPr>
      <w:tblGrid>
        <w:gridCol w:w="3485"/>
        <w:gridCol w:w="60"/>
        <w:gridCol w:w="159"/>
        <w:gridCol w:w="772"/>
        <w:gridCol w:w="68"/>
        <w:gridCol w:w="68"/>
        <w:gridCol w:w="159"/>
        <w:gridCol w:w="772"/>
        <w:gridCol w:w="75"/>
      </w:tblGrid>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72,705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4130"/>
        <w:gridCol w:w="60"/>
        <w:gridCol w:w="107"/>
        <w:gridCol w:w="785"/>
        <w:gridCol w:w="107"/>
        <w:gridCol w:w="107"/>
        <w:gridCol w:w="107"/>
        <w:gridCol w:w="785"/>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remaining lease term:</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 (in years)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35"/>
        <w:gridCol w:w="60"/>
        <w:gridCol w:w="60"/>
        <w:gridCol w:w="440"/>
        <w:gridCol w:w="215"/>
        <w:gridCol w:w="60"/>
        <w:gridCol w:w="60"/>
        <w:gridCol w:w="440"/>
        <w:gridCol w:w="230"/>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non-cancellable lease as of December 31, 2025,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Minimum Lease Payments Under Non-Cancellable Lease</w:t>
      </w:r>
    </w:p>
    <w:tbl>
      <w:tblPr>
        <w:tblW w:w="3965" w:type="dxa"/>
        <w:jc w:val="left"/>
        <w:tblInd w:w="0" w:type="dxa"/>
        <w:tblLayout w:type="fixed"/>
        <w:tblCellMar>
          <w:top w:w="0" w:type="dxa"/>
          <w:left w:w="0" w:type="dxa"/>
          <w:bottom w:w="28" w:type="dxa"/>
          <w:right w:w="0" w:type="dxa"/>
        </w:tblCellMar>
      </w:tblPr>
      <w:tblGrid>
        <w:gridCol w:w="2975"/>
        <w:gridCol w:w="60"/>
        <w:gridCol w:w="140"/>
        <w:gridCol w:w="680"/>
        <w:gridCol w:w="110"/>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Maturities of lease liabilities: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 with MZHCI,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were issued as restricted stock with an appropriate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Perkins Coie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60,000 shares to Perkins to settle part of the outstanding liability balance. During the year ended December 31, 2025, the Company issued 130,000 shares to Perkins to settle the remaining outstanding liability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Cooley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Letter with CohnReznick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w:t>
      </w:r>
      <w:r>
        <w:rPr>
          <w:rFonts w:ascii="Times New Roman;Times;Serif" w:hAnsi="Times New Roman;Times;Serif"/>
          <w:b w:val="false"/>
          <w:i w:val="false"/>
          <w:caps w:val="false"/>
          <w:smallCaps w:val="false"/>
          <w:sz w:val="20"/>
          <w:shd w:fill="FFFFFF" w:val="clear"/>
        </w:rPr>
        <w:t>The remaining unpaid balance of $577,400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$85,098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2025, the Company had issued 3,000 shares and made aggregate installment payments of $78,437 to Verista. The remaining unpaid balance of $45,785 is included in Accounts Payable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$1,382,030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15.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December 31, 2025: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Equity</w:t>
      </w:r>
    </w:p>
    <w:tbl>
      <w:tblPr>
        <w:tblW w:w="65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1100"/>
        <w:gridCol w:w="60"/>
        <w:gridCol w:w="60"/>
        <w:gridCol w:w="66"/>
        <w:gridCol w:w="1214"/>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10,315,219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10,315,219</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231,114</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10,546,333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w:t>
      </w:r>
      <w:r>
        <w:rPr>
          <w:rFonts w:ascii="Times New Roman;Times;Serif" w:hAnsi="Times New Roman;Times;Serif"/>
          <w:b w:val="false"/>
          <w:i w:val="false"/>
          <w:caps w:val="false"/>
          <w:smallCaps w:val="false"/>
          <w:sz w:val="20"/>
        </w:rPr>
        <w:t>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1,266,001 shares of the Company’s Class A common stock in connection with the Option 1 Advances, which Yorkville purchased for a total purchase price of approximately $6,473,887. The Company recognized a loss of approximately $340,850 on the sales,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1,616,000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$467,656 in the aggregate, the fair values of which represented the intrinsic value of the requested number of shares of Class A common stock on the Advance Notice dates. The Company recognized a loss of approximately $467,656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1,616,000 shares of the Company’s Class A common stock to Yorkville for total proceeds of approximately $11,222,588.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year ended December 31, 2025, the Company settled one Advance Notice subject to the Option 2 Pricing Period issued on December 30, 2024, and accordingly sold 30,489 of the Company’s Class A common stock to Yorkville for proceeds of approximately $48,000.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$100,000 (excluding any periodic due diligence fees) incurred in connection with entering into the transactions contemplated by the ATM Agreement and has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31,884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1,816,387 shares under the ATM Agreement for net proceeds of approximately $3,429,257.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January 3, 20</w:t>
      </w:r>
      <w:r>
        <w:rPr>
          <w:rFonts w:ascii="Times New Roman;Times;Serif" w:hAnsi="Times New Roman;Times;Serif"/>
          <w:b w:val="false"/>
          <w:i w:val="false"/>
          <w:caps w:val="false"/>
          <w:smallCaps w:val="false"/>
          <w:sz w:val="20"/>
        </w:rPr>
        <w:t>25, the Company issued 15,000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40,000, 23,600, and 52,000,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3,000 shares of its Common Stock, with a determined fair value of $49,800, in partial settlement of amounts owing to Verista. Refer to </w:t>
      </w:r>
      <w:r>
        <w:rPr>
          <w:rFonts w:ascii="Times New Roman;Times;Serif" w:hAnsi="Times New Roman;Times;Serif"/>
          <w:b w:val="false"/>
          <w:i/>
          <w:caps w:val="false"/>
          <w:smallCaps w:val="false"/>
          <w:sz w:val="20"/>
        </w:rPr>
        <w:t>Note 14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200,954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89,820 shares of Class A Common Stock, with a determined fair value of $1,661,677.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4 shares of Class A Common Stock to CP BF, resulting from the exercise by CP BF of exercise of four (4) pre-funded warrants under the CP BF Pre-Funded Warrant. See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issued 104,882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issued 1,176,628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31,885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Employee Stock Purchase Plan (the “ESPP”). The ESPP permits eligible employees of the Company and certain designated companies as determined by the Board, to purchase shares of the Company’s Common Stock. The aggregate number of shares of common stock that may be purchased pursuant to the Purchase Plan automatically increases on January 1 of each year ending on January 1, 2033, in an amount equal to the lesser of one percent (1%) of the total number of shares of the fully diluted common stock (as defined in the ESPP) determined as of December 31 of the preceding year, or a number of shares of common stock equal to two hundred percent (200%) of the initial share reserve of 1,144.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Equity Incentive Plan (the “EIP”). The EIP permits the granting of incentive stock options, nonstatutory stock options, SARs, restricted stock awards, RSU awards, performance awards, and other awards. to employees, directors, and consultants. The aggregate number of shares of common stock that may be issued under the EIP automatically increases on January 1 of each year ending on January 1, 2033, in an amount equal to 5% of the total number of shares of the fully diluted common stock determined as of December 31 of the preceding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Assumptions Used to Compute Fair Value</w:t>
      </w:r>
    </w:p>
    <w:tbl>
      <w:tblPr>
        <w:tblW w:w="4917" w:type="dxa"/>
        <w:jc w:val="left"/>
        <w:tblInd w:w="0" w:type="dxa"/>
        <w:tblLayout w:type="fixed"/>
        <w:tblCellMar>
          <w:top w:w="0" w:type="dxa"/>
          <w:left w:w="0" w:type="dxa"/>
          <w:bottom w:w="0" w:type="dxa"/>
          <w:right w:w="0" w:type="dxa"/>
        </w:tblCellMar>
      </w:tblPr>
      <w:tblGrid>
        <w:gridCol w:w="2345"/>
        <w:gridCol w:w="60"/>
        <w:gridCol w:w="60"/>
        <w:gridCol w:w="602"/>
        <w:gridCol w:w="72"/>
        <w:gridCol w:w="72"/>
        <w:gridCol w:w="150"/>
        <w:gridCol w:w="1326"/>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2"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146 - 305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146 - 2,500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61.00 - 62.12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5.61 - 6.08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4.20 - 4.45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Stock Option Activity</w:t>
      </w:r>
    </w:p>
    <w:tbl>
      <w:tblPr>
        <w:tblW w:w="8488" w:type="dxa"/>
        <w:jc w:val="left"/>
        <w:tblInd w:w="0" w:type="dxa"/>
        <w:tblLayout w:type="fixed"/>
        <w:tblCellMar>
          <w:top w:w="0" w:type="dxa"/>
          <w:left w:w="0" w:type="dxa"/>
          <w:bottom w:w="0" w:type="dxa"/>
          <w:right w:w="0" w:type="dxa"/>
        </w:tblCellMar>
      </w:tblPr>
      <w:tblGrid>
        <w:gridCol w:w="2855"/>
        <w:gridCol w:w="60"/>
        <w:gridCol w:w="95"/>
        <w:gridCol w:w="1080"/>
        <w:gridCol w:w="95"/>
        <w:gridCol w:w="60"/>
        <w:gridCol w:w="204"/>
        <w:gridCol w:w="1255"/>
        <w:gridCol w:w="60"/>
        <w:gridCol w:w="60"/>
        <w:gridCol w:w="191"/>
        <w:gridCol w:w="1403"/>
        <w:gridCol w:w="60"/>
        <w:gridCol w:w="60"/>
        <w:gridCol w:w="306"/>
        <w:gridCol w:w="569"/>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related to stock options of $107,683 and $130,997, which is included in general and administrative expense for the years ended December 31, 2025 and 2024, respectively. The weighted-average grant-date fair value per option granted during the years ended December 31, 2025 and 2024 was $12 and $85, respectively. As of December 31, 2025 and 2024, $261,467 and $212,936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activity with respect to, and status of, RSUs during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Activity with Respect Status of, RSUs</w:t>
      </w:r>
    </w:p>
    <w:tbl>
      <w:tblPr>
        <w:tblW w:w="5990" w:type="dxa"/>
        <w:jc w:val="left"/>
        <w:tblInd w:w="0" w:type="dxa"/>
        <w:tblLayout w:type="fixed"/>
        <w:tblCellMar>
          <w:top w:w="0" w:type="dxa"/>
          <w:left w:w="0" w:type="dxa"/>
          <w:bottom w:w="0" w:type="dxa"/>
          <w:right w:w="0" w:type="dxa"/>
        </w:tblCellMar>
      </w:tblPr>
      <w:tblGrid>
        <w:gridCol w:w="2855"/>
        <w:gridCol w:w="60"/>
        <w:gridCol w:w="60"/>
        <w:gridCol w:w="875"/>
        <w:gridCol w:w="95"/>
        <w:gridCol w:w="60"/>
        <w:gridCol w:w="382"/>
        <w:gridCol w:w="1528"/>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 Fair</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(200,954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8.49</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December 31, 2024, the Company recorded total stock-based compensation expense related to RSUs of $2,466,707 and $1,034,683, respectively, which is included in general and administrative expense. As of December 31, 2025 and 2024, unrecognized compensation cost related to the grant of RSUs was $2,342,212 and $158,032, respectively. Unvested outstanding RSUs as of December 31, 2025 and 2024 had a weighted average remaining vesting period of 2.25 and 1.2 years,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$15.0 million to $30.0 million, which result in stock grants ranging from $250 thousand to $750 thousand, up to $2.0 million in the aggregate. The CEO Award is equity-classified and the grant-date fair value was estimated using a Monte Carlo simulation model, using historical volatility as a key input. The Company recognized $104,841 of stock-based compensation expense related to this award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net loss before income taxes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Net Loss Before Income Taxes </w:t>
      </w:r>
    </w:p>
    <w:tbl>
      <w:tblPr>
        <w:tblW w:w="7220" w:type="dxa"/>
        <w:jc w:val="left"/>
        <w:tblInd w:w="0" w:type="dxa"/>
        <w:tblLayout w:type="fixed"/>
        <w:tblCellMar>
          <w:top w:w="0" w:type="dxa"/>
          <w:left w:w="0" w:type="dxa"/>
          <w:bottom w:w="28" w:type="dxa"/>
          <w:right w:w="0" w:type="dxa"/>
        </w:tblCellMar>
      </w:tblPr>
      <w:tblGrid>
        <w:gridCol w:w="4265"/>
        <w:gridCol w:w="60"/>
        <w:gridCol w:w="140"/>
        <w:gridCol w:w="1175"/>
        <w:gridCol w:w="95"/>
        <w:gridCol w:w="60"/>
        <w:gridCol w:w="140"/>
        <w:gridCol w:w="1175"/>
        <w:gridCol w:w="110"/>
      </w:tblGrid>
      <w:tr>
        <w:trPr/>
        <w:tc>
          <w:tcPr>
            <w:tcW w:w="4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Components of net loss before income taxes: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(22,673,927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provision for income taxes to the amount computed by applying the 21% statutory U.S. federal income tax rate to income before income taxes after the adoption of ASU 2023-09 for the year ended December 31,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10205" w:type="dxa"/>
        <w:jc w:val="left"/>
        <w:tblInd w:w="0" w:type="dxa"/>
        <w:tblLayout w:type="fixed"/>
        <w:tblCellMar>
          <w:top w:w="0" w:type="dxa"/>
          <w:left w:w="0" w:type="dxa"/>
          <w:bottom w:w="0" w:type="dxa"/>
          <w:right w:w="0" w:type="dxa"/>
        </w:tblCellMar>
      </w:tblPr>
      <w:tblGrid>
        <w:gridCol w:w="6579"/>
        <w:gridCol w:w="60"/>
        <w:gridCol w:w="140"/>
        <w:gridCol w:w="1055"/>
        <w:gridCol w:w="95"/>
        <w:gridCol w:w="60"/>
        <w:gridCol w:w="169"/>
        <w:gridCol w:w="1815"/>
        <w:gridCol w:w="232"/>
      </w:tblGrid>
      <w:tr>
        <w:trPr/>
        <w:tc>
          <w:tcPr>
            <w:tcW w:w="65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Pretax Income</w:t>
            </w:r>
          </w:p>
        </w:tc>
        <w:tc>
          <w:tcPr>
            <w:tcW w:w="232" w:type="dxa"/>
            <w:tcBorders/>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United Kingdom and 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Tax Laws or Rate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 163(l)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for the period ended December 31, 2024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4355"/>
        <w:gridCol w:w="60"/>
        <w:gridCol w:w="140"/>
        <w:gridCol w:w="1055"/>
        <w:gridCol w:w="95"/>
        <w:gridCol w:w="60"/>
        <w:gridCol w:w="60"/>
        <w:gridCol w:w="440"/>
        <w:gridCol w:w="230"/>
      </w:tblGrid>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(6,617,812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conversion and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4223" w:type="dxa"/>
        <w:jc w:val="left"/>
        <w:tblInd w:w="0" w:type="dxa"/>
        <w:tblLayout w:type="fixed"/>
        <w:tblCellMar>
          <w:top w:w="0" w:type="dxa"/>
          <w:left w:w="0" w:type="dxa"/>
          <w:bottom w:w="0" w:type="dxa"/>
          <w:right w:w="0" w:type="dxa"/>
        </w:tblCellMar>
      </w:tblPr>
      <w:tblGrid>
        <w:gridCol w:w="1370"/>
        <w:gridCol w:w="60"/>
        <w:gridCol w:w="228"/>
        <w:gridCol w:w="1425"/>
        <w:gridCol w:w="154"/>
        <w:gridCol w:w="97"/>
        <w:gridCol w:w="285"/>
        <w:gridCol w:w="529"/>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cash income taxes paid (received) by the Company for the year ended December 31,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Amounts of Cash Income Taxes Paid (Received) </w:t>
      </w:r>
    </w:p>
    <w:tbl>
      <w:tblPr>
        <w:tblW w:w="4230" w:type="dxa"/>
        <w:jc w:val="left"/>
        <w:tblInd w:w="0" w:type="dxa"/>
        <w:tblLayout w:type="fixed"/>
        <w:tblCellMar>
          <w:top w:w="0" w:type="dxa"/>
          <w:left w:w="0" w:type="dxa"/>
          <w:bottom w:w="0" w:type="dxa"/>
          <w:right w:w="0" w:type="dxa"/>
        </w:tblCellMar>
      </w:tblPr>
      <w:tblGrid>
        <w:gridCol w:w="3695"/>
        <w:gridCol w:w="60"/>
        <w:gridCol w:w="140"/>
        <w:gridCol w:w="260"/>
        <w:gridCol w:w="75"/>
      </w:tblGrid>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7505" w:type="dxa"/>
        <w:jc w:val="left"/>
        <w:tblInd w:w="0" w:type="dxa"/>
        <w:tblLayout w:type="fixed"/>
        <w:tblCellMar>
          <w:top w:w="0" w:type="dxa"/>
          <w:left w:w="0" w:type="dxa"/>
          <w:bottom w:w="0" w:type="dxa"/>
          <w:right w:w="0" w:type="dxa"/>
        </w:tblCellMar>
      </w:tblPr>
      <w:tblGrid>
        <w:gridCol w:w="4550"/>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12,347,734</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23,718</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91,889</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157,165</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Startup costs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1,700,257</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(1,953,499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(870,569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costs (Sec. 174)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1,930,337</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8,182</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Deferred tax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(19,679,073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 net of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and state net operating loss carryforwards of approximately $65,375,600 and $35,660,700, respectively. As of December 31, 2025 the company has no foreign net operating loss carryforwards. As of December 31, 2024, the Company had federal and state net operating loss carryforwards of approximately $50,966,400 and $28,244,800, respectively. Federal losses of $180,000 begin to expire in 2036 and $65,195,600 of the federal losses carryforward indefinitely. State losses of $22,175,100 begin to expire in 2031 and $13,485,600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had no material uncertain tax benefits for the year ended December 31, 2025, and 2024. The Company recognizes interest accrued related to unrecognized tax benefits and penalties in interest expense and penalties in operating expense. No amounts were accrued for the payment of interest and penalties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2018 and subsequent tax years related to all US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open tax audits with any taxing authority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695"/>
        <w:gridCol w:w="60"/>
        <w:gridCol w:w="140"/>
        <w:gridCol w:w="1175"/>
        <w:gridCol w:w="95"/>
        <w:gridCol w:w="60"/>
        <w:gridCol w:w="140"/>
        <w:gridCol w:w="980"/>
        <w:gridCol w:w="95"/>
        <w:gridCol w:w="60"/>
        <w:gridCol w:w="140"/>
        <w:gridCol w:w="980"/>
        <w:gridCol w:w="60"/>
        <w:gridCol w:w="60"/>
        <w:gridCol w:w="144"/>
        <w:gridCol w:w="1211"/>
        <w:gridCol w:w="110"/>
      </w:tblGrid>
      <w:tr>
        <w:trPr/>
        <w:tc>
          <w:tcPr>
            <w:tcW w:w="4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2025</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11,193,365</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2,873,464</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1,283,099</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2,957,915</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18,307,843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(8,614,548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(8,335,007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8,819,671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8,979,501</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0"/>
        <w:gridCol w:w="60"/>
        <w:gridCol w:w="140"/>
        <w:gridCol w:w="1175"/>
        <w:gridCol w:w="95"/>
        <w:gridCol w:w="60"/>
        <w:gridCol w:w="152"/>
        <w:gridCol w:w="873"/>
        <w:gridCol w:w="60"/>
        <w:gridCol w:w="60"/>
        <w:gridCol w:w="253"/>
        <w:gridCol w:w="472"/>
        <w:gridCol w:w="60"/>
        <w:gridCol w:w="60"/>
        <w:gridCol w:w="144"/>
        <w:gridCol w:w="1211"/>
        <w:gridCol w:w="110"/>
      </w:tblGrid>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2024</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6,209,488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6,227,130</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1,592,105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974,204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818,375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9,611,814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(6,572,002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(6,506,477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is presented at $0 for comparative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EBITDA by reportable segment to consolidated net loss before income taxes for the years ended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Reconciliation Between Reportable Segment Adjusted EBITDA to Consolidated Net Loss Before Income Taxes </w:t>
      </w:r>
    </w:p>
    <w:tbl>
      <w:tblPr>
        <w:tblW w:w="8543" w:type="dxa"/>
        <w:jc w:val="left"/>
        <w:tblInd w:w="0" w:type="dxa"/>
        <w:tblLayout w:type="fixed"/>
        <w:tblCellMar>
          <w:top w:w="0" w:type="dxa"/>
          <w:left w:w="0" w:type="dxa"/>
          <w:bottom w:w="0" w:type="dxa"/>
          <w:right w:w="0" w:type="dxa"/>
        </w:tblCellMar>
      </w:tblPr>
      <w:tblGrid>
        <w:gridCol w:w="4310"/>
        <w:gridCol w:w="60"/>
        <w:gridCol w:w="208"/>
        <w:gridCol w:w="1746"/>
        <w:gridCol w:w="95"/>
        <w:gridCol w:w="60"/>
        <w:gridCol w:w="208"/>
        <w:gridCol w:w="1746"/>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by segment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Banzai Operating Co.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OpenReel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of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11,338,284</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(2,085,895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390,801</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(3,052,229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113,108</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(21,203,950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percentage of revenue generated by SaaS product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Company's Revenue Generated by Saas Product </w:t>
      </w:r>
    </w:p>
    <w:tbl>
      <w:tblPr>
        <w:tblW w:w="3986" w:type="dxa"/>
        <w:jc w:val="left"/>
        <w:tblInd w:w="0" w:type="dxa"/>
        <w:tblLayout w:type="fixed"/>
        <w:tblCellMar>
          <w:top w:w="0" w:type="dxa"/>
          <w:left w:w="0" w:type="dxa"/>
          <w:bottom w:w="28" w:type="dxa"/>
          <w:right w:w="0" w:type="dxa"/>
        </w:tblCellMar>
      </w:tblPr>
      <w:tblGrid>
        <w:gridCol w:w="1100"/>
        <w:gridCol w:w="60"/>
        <w:gridCol w:w="102"/>
        <w:gridCol w:w="961"/>
        <w:gridCol w:w="368"/>
        <w:gridCol w:w="102"/>
        <w:gridCol w:w="102"/>
        <w:gridCol w:w="961"/>
        <w:gridCol w:w="230"/>
      </w:tblGrid>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9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Year Ended December 31,</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January 27, 2026, February 9, 2026, February 25, 2026, and March 30, 2026, the Company entered into exchange agreements with Agile pursuant to which the Company issued an aggregate of approximately 586,000 shares of its Class A Common Stock in exchange for aggregate reductions of approximately $660,000 in the outstanding balance of the March Agile Note. Following these exchanges, the outstanding balance of the March Agile Note was reduced to approximately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684,000 RSUs granted to employees vested into shares of Class A Common Stock. In addition, the Company will issue 376,884 shares of Class B Common Stock to the Company’s CEO, of which, approximately 251,256 shares relate to a tranche of the CEO Award vesting upon achieving a market capitalization threshold, and the remaining 125,628 shares relate to the CEO’s 2025 bonus payment. See </w:t>
      </w:r>
      <w:r>
        <w:rPr>
          <w:rFonts w:ascii="Times New Roman;Times;Serif" w:hAnsi="Times New Roman;Times;Serif"/>
          <w:b w:val="false"/>
          <w:i/>
          <w:caps w:val="false"/>
          <w:smallCaps w:val="false"/>
          <w:sz w:val="20"/>
        </w:rPr>
        <w:t>Note 16,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Company issued Advance Notices to Yorkville pursuant to the SEPA in which the Company requested the purchase of approximately 635,000 shares of the Company’s Class A Common Stock at an aggregate gross value of approximately $700 thousand, and net proceeds of approximately $670 thousand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Offering (3i,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$1.11 per share and issuance date of February 13, 2026 (the “February 3i Note,” together with the August Note, the October Note, and the Initial Note, are collectively referred to herein as the “Notes”), and additional warrants to purchase up to 420,000 shares of Common Stock, at an initial exercise price equal to $2.50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$0.254.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Buyer exercised its contractual conversion option multiple times under the August 3i Note, the October 3i Note, and the February 3i Note and received an aggregate of approximately 2.9 million shares of Class A Common Stock at conversion prices per share ranging from $0.83 to $1.10 in satisfaction of approximately $2.7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476 thousand shares of Class A Common Stock at conversion prices ranging from $0.825 to $0.930 in satisfaction of approximately $392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2.1 million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38125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5524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25,000,000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27,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104956</Words>
  <Characters>562840</Characters>
  <CharactersWithSpaces>672401</CharactersWithSpaces>
  <Paragraphs>16428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