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0"/>
          <w:szCs w:val="20"/>
          <w:b w:val="1"/>
          <w:bCs w:val="1"/>
          <w:color w:val="auto"/>
        </w:rPr>
        <w:t>May 6, 2026</w:t>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Banzai International, Inc.</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31" w:right="3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800" w:space="720"/>
            <w:col w:w="2080"/>
          </w:cols>
          <w:pgMar w:left="320" w:top="123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435 Eriksen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(206) 414-1777</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1231"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BNZI</w:t>
            </w:r>
          </w:p>
        </w:tc>
        <w:tc>
          <w:tcPr>
            <w:tcW w:w="140" w:type="dxa"/>
            <w:vAlign w:val="bottom"/>
          </w:tcPr>
          <w:p>
            <w:pPr>
              <w:spacing w:after="0"/>
              <w:rPr>
                <w:sz w:val="16"/>
                <w:szCs w:val="16"/>
                <w:color w:val="auto"/>
              </w:rPr>
            </w:pPr>
          </w:p>
        </w:tc>
        <w:tc>
          <w:tcPr>
            <w:tcW w:w="4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BNZIW</w:t>
            </w:r>
          </w:p>
        </w:tc>
        <w:tc>
          <w:tcPr>
            <w:tcW w:w="14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share of Class A common stock at an exercise price of</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$5,750</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260"/>
        <w:spacing w:after="0" w:line="207" w:lineRule="exact"/>
        <w:tabs>
          <w:tab w:leader="none" w:pos="106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64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2026, certain stockholders of Banzai International, Inc. (the “Company”) who collectively held approximately 40.52% of‎ the voting power of the Company, approved an amendment to the Company’s Certificate of Incorporation, as amended and restated (the “COI”), to effect a reverse stock split (the “Reverse Stock Split”) of the Company’s outstanding Class A Common Stock, par value $0.0001 par value (the “Class A Common Stock”) and Class B Common Stock, $0.0001 par value per share (the “Class B Common Stock,” together with the Class A Common Stock, the “Common Stock”), at a ratio of 1-for-20.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Company filed a Certificate of Amendment to its COI with the Secretary of State of Delaware (the “Certificate of Amendment”), for the Reverse Stock Split at a ratio of 1-for-20. Commencing on May 8, 2026, trading of the Class A Common Stock will continue on The Nasdaq Capital Market, but on a Reverse Stock Split-adjusted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twenty shares of Common Stock will be combined into one share of the respective class of Common Stock and the total number of shares of Class A Common Stock and Class B Common Stock outstanding will be reduced from 22,910,282 and 677,118 shares, to 1,145,515 and 33,856 shares, respectively. No fractional shares will be issued in connection with the Reverse Stock Split, and no stockholder will receive cash in lieu thereof. Any fractional shares that would otherwise be issued as a result of the Reverse Stock Split will be rounded up to a whole share.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Trading of the Class A Common Stock on The Nasdaq Capital Market on a split-adjusted basis is expected to begin on May 8, 2026. The Class A Common Stock will continue to be traded under the symbol BNZI. A new CUSIP number has been issued for the Class A Common Stock (06682J605) to replace the old CUSIP number (06682J407). The Company’s stockholders should not send their stock certificates to the Company. Stockholders will be notified by the Company’s transfer agent, Continental Stock Transfer &amp; Trust, regarding the process for exchanging existing stock certificates representing pre-split shares. Stockholders who are holding their shares in electronic form at brokerage firms do not have to take any action as the effect of the Reverse Stock Split will automatically be reflected in their brokerage accounts.</w:t>
      </w:r>
    </w:p>
    <w:p>
      <w:pPr>
        <w:spacing w:after="0" w:line="18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above description of the Certificate of Amendment and the Reverse Stock Split is qualified in its entirety by reference to the Certificate of Amendment, a copy of which is attached hereto as Exhibit 3.1.‎</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Certificate of Amendment and the Reverse Stock Split set forth in Item 3.03 of this Current Report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6, 2026, the Company distributed a press release announcing the Reverse Stock Split. A copy of the press release is attached as Exhibit 99.1 to this Current Report on Form 8-K and is hereby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80" w:type="dxa"/>
            <w:vAlign w:val="bottom"/>
            <w:tcBorders>
              <w:top w:val="single" w:sz="8" w:color="auto"/>
              <w:bottom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Certificate of Amendment to Certificate of Incorporation (incorporated by reference to Exhibit 3.1 of the Current Report on Form 8-K</w:t>
              </w:r>
            </w:hyperlink>
          </w:p>
        </w:tc>
        <w:tc>
          <w:tcPr>
            <w:tcW w:w="60" w:type="dxa"/>
            <w:vAlign w:val="bottom"/>
            <w:tcBorders>
              <w:top w:val="single" w:sz="8" w:color="auto"/>
            </w:tcBorders>
          </w:tcPr>
          <w:p>
            <w:pPr>
              <w:spacing w:after="0"/>
              <w:rPr>
                <w:sz w:val="14"/>
                <w:szCs w:val="14"/>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4"/>
          </w:tcPr>
          <w:p>
            <w:pPr>
              <w:spacing w:after="0" w:line="19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filed on April 28, 2026)</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Press Release</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D"/>
          </w:tcPr>
          <w:p>
            <w:pPr>
              <w:spacing w:after="0" w:line="20" w:lineRule="exact"/>
              <w:rPr>
                <w:sz w:val="1"/>
                <w:szCs w:val="1"/>
                <w:color w:val="auto"/>
              </w:rPr>
            </w:pPr>
          </w:p>
        </w:tc>
        <w:tc>
          <w:tcPr>
            <w:tcW w:w="8780" w:type="dxa"/>
            <w:vAlign w:val="bottom"/>
            <w:gridSpan w:val="3"/>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144"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2026</w:t>
      </w:r>
    </w:p>
    <w:p>
      <w:pPr>
        <w:spacing w:after="0" w:line="1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826135</wp:posOffset>
            </wp:positionV>
            <wp:extent cx="142303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Banzai Announces Reverse Stock Split</w:t>
      </w:r>
    </w:p>
    <w:p>
      <w:pPr>
        <w:spacing w:after="0" w:line="366" w:lineRule="exact"/>
        <w:rPr>
          <w:sz w:val="20"/>
          <w:szCs w:val="20"/>
          <w:color w:val="auto"/>
        </w:rPr>
      </w:pPr>
    </w:p>
    <w:p>
      <w:pPr>
        <w:jc w:val="both"/>
        <w:ind w:right="60"/>
        <w:spacing w:after="0" w:line="237" w:lineRule="auto"/>
        <w:rPr>
          <w:sz w:val="20"/>
          <w:szCs w:val="20"/>
          <w:color w:val="auto"/>
        </w:rPr>
      </w:pPr>
      <w:r>
        <w:rPr>
          <w:rFonts w:ascii="Arial" w:cs="Arial" w:eastAsia="Arial" w:hAnsi="Arial"/>
          <w:sz w:val="20"/>
          <w:szCs w:val="20"/>
          <w:b w:val="1"/>
          <w:bCs w:val="1"/>
          <w:color w:val="auto"/>
        </w:rPr>
        <w:t xml:space="preserve">SEATTLE, WA – May 6, 2026 </w:t>
      </w:r>
      <w:r>
        <w:rPr>
          <w:rFonts w:ascii="Arial" w:cs="Arial" w:eastAsia="Arial" w:hAnsi="Arial"/>
          <w:sz w:val="20"/>
          <w:szCs w:val="20"/>
          <w:color w:val="auto"/>
        </w:rPr>
        <w:t>-- Banzai International, Inc. (NASDAQ: BNZI) (“Banzai” or the “Company”),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technology company that provides essential marketing and sales solutions, today announced that effective at market open on May 8, 2026, the Company will effect a one-for-twenty (1-for-20) reverse stock split of its outstanding Class A Common Stock and Class B Common Stock (together with the Class A Common Stock, the “Common Stock”).</w:t>
      </w:r>
    </w:p>
    <w:p>
      <w:pPr>
        <w:spacing w:after="0" w:line="9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reverse stock split is primarily intended to increase the per share price of Banzai’s Class A Common Stock and maintain compliance with the Nasdaq Minimum Bid Price Requirement, although neither outcome is guaranteed. The Company's Class A Common Stock will continue to trade under the symbol "BNZI". Upon the effectiveness of the reverse stock split, every twenty shares of issued and outstanding Common Stock before the open of business on May 8, 2026, will be combined into one issued and outstanding share of common stock, with no change in par value per share. The Company's Class A Common Stock will open for trading on Nasdaq on May 8, 2026, on a post-split basis but will trade under a new CUSIP Number, 06682J605.</w:t>
      </w:r>
    </w:p>
    <w:p>
      <w:pPr>
        <w:spacing w:after="0" w:line="9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Prior to the reverse stock split, there were 22,910,282 shares of Class A Common Stock and 677,118 shares of Class B Common Stock outstanding. The number of issued and outstanding shares of Common Stock after the reverse stock split would be approximately 1,145,515 and 33,856 shares of Class A Common Stock and Class B Common Stock, respectively. No fractional shares will be issued as a result of the reverse stock split. Any fractional shares that would result from the reverse stock split will be rounded up to the nearest whole share.</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reverse stock split will affect all issued and outstanding shares of the Company's Common Stock, as well as the number of shares of Common Stock available for issuance under the Company's stock options and warrants. In addition, the reverse stock split will reduce the number of shares of Common Stock issuable upon the exercise of stock options and warrants outstanding immediately prior to the reverse split and correspondingly increase the respective aggregate exercise prices. The reverse stock split will affect all holders of Common Stock uniformly and will not alter any shareholder's percentage interest in the Company's Common Stock, except to the extent that the reverse stock split results in some shareholders experiencing an adjustment of a fractional share as described above.</w:t>
      </w:r>
    </w:p>
    <w:p>
      <w:pPr>
        <w:spacing w:after="0" w:line="9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Shareholders holding share certificates will receive information from Continental Stock Transfer &amp; Trust Company, the Company's transfer agent, regarding the process for exchanging their shares of common stock. Shareholders with questions may contact our transfer agent by calling 800-509-5586.</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Banzai</w:t>
      </w:r>
    </w:p>
    <w:p>
      <w:pPr>
        <w:spacing w:after="0" w:line="110" w:lineRule="exact"/>
        <w:rPr>
          <w:sz w:val="20"/>
          <w:szCs w:val="20"/>
          <w:color w:val="auto"/>
        </w:rPr>
      </w:pPr>
    </w:p>
    <w:p>
      <w:pPr>
        <w:jc w:val="both"/>
        <w:ind w:right="120"/>
        <w:spacing w:after="0" w:line="234" w:lineRule="auto"/>
        <w:rPr>
          <w:sz w:val="20"/>
          <w:szCs w:val="20"/>
          <w:color w:val="auto"/>
        </w:rPr>
      </w:pPr>
      <w:r>
        <w:rPr>
          <w:rFonts w:ascii="Arial" w:cs="Arial" w:eastAsia="Arial" w:hAnsi="Arial"/>
          <w:sz w:val="20"/>
          <w:szCs w:val="20"/>
          <w:color w:val="auto"/>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150,000 customers including Amazon, Dell, Salesforce, Aflac, Thermo Fisher Scientific, RBC Wealth Management, and Fitch Group. Learn more at </w:t>
      </w:r>
      <w:r>
        <w:rPr>
          <w:rFonts w:ascii="Arial" w:cs="Arial" w:eastAsia="Arial" w:hAnsi="Arial"/>
          <w:sz w:val="20"/>
          <w:szCs w:val="20"/>
          <w:u w:val="single" w:color="auto"/>
          <w:color w:val="0000ED"/>
        </w:rPr>
        <w:t>www.banzai.io</w:t>
      </w:r>
      <w:r>
        <w:rPr>
          <w:rFonts w:ascii="Arial" w:cs="Arial" w:eastAsia="Arial" w:hAnsi="Arial"/>
          <w:sz w:val="20"/>
          <w:szCs w:val="20"/>
          <w:color w:val="auto"/>
        </w:rPr>
        <w:t xml:space="preserve">. For investors, please visit </w:t>
      </w:r>
      <w:r>
        <w:rPr>
          <w:rFonts w:ascii="Arial" w:cs="Arial" w:eastAsia="Arial" w:hAnsi="Arial"/>
          <w:sz w:val="20"/>
          <w:szCs w:val="20"/>
          <w:u w:val="single" w:color="auto"/>
          <w:color w:val="0000ED"/>
        </w:rPr>
        <w:t>ir.banzai.io</w:t>
      </w:r>
      <w:r>
        <w:rPr>
          <w:rFonts w:ascii="Arial" w:cs="Arial" w:eastAsia="Arial" w:hAnsi="Arial"/>
          <w:sz w:val="20"/>
          <w:szCs w:val="20"/>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future financial, business and operating performance and goals; annualized recurring revenue and customer retention; ongoing, future or ability to maintain or improve its financial position, cash flows, and liquidity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192405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3" w:name="page4"/>
    <w:bookmarkEnd w:id="3"/>
    <w:p>
      <w:pPr>
        <w:jc w:val="both"/>
        <w:ind w:left="8"/>
        <w:spacing w:after="0" w:line="228" w:lineRule="auto"/>
        <w:rPr>
          <w:sz w:val="20"/>
          <w:szCs w:val="20"/>
          <w:color w:val="auto"/>
        </w:rPr>
      </w:pPr>
      <w:r>
        <w:rPr>
          <w:rFonts w:ascii="Arial" w:cs="Arial" w:eastAsia="Arial" w:hAnsi="Arial"/>
          <w:sz w:val="20"/>
          <w:szCs w:val="20"/>
          <w:color w:val="auto"/>
        </w:rPr>
        <w:t>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Investor Relations</w:t>
      </w:r>
    </w:p>
    <w:p>
      <w:pPr>
        <w:ind w:left="8"/>
        <w:spacing w:after="0" w:line="231" w:lineRule="auto"/>
        <w:rPr>
          <w:sz w:val="20"/>
          <w:szCs w:val="20"/>
          <w:color w:val="auto"/>
        </w:rPr>
      </w:pPr>
      <w:r>
        <w:rPr>
          <w:rFonts w:ascii="Arial" w:cs="Arial" w:eastAsia="Arial" w:hAnsi="Arial"/>
          <w:sz w:val="20"/>
          <w:szCs w:val="20"/>
          <w:color w:val="auto"/>
        </w:rPr>
        <w:t>Dean Ditto</w:t>
      </w:r>
    </w:p>
    <w:p>
      <w:pPr>
        <w:ind w:left="8"/>
        <w:spacing w:after="0" w:line="226" w:lineRule="auto"/>
        <w:rPr>
          <w:sz w:val="20"/>
          <w:szCs w:val="20"/>
          <w:color w:val="auto"/>
        </w:rPr>
      </w:pPr>
      <w:r>
        <w:rPr>
          <w:rFonts w:ascii="Arial" w:cs="Arial" w:eastAsia="Arial" w:hAnsi="Arial"/>
          <w:sz w:val="20"/>
          <w:szCs w:val="20"/>
          <w:color w:val="auto"/>
        </w:rPr>
        <w:t>Chief Financial Officer, Banzai</w:t>
      </w:r>
    </w:p>
    <w:p>
      <w:pPr>
        <w:ind w:left="388" w:hanging="388"/>
        <w:spacing w:after="0" w:line="225" w:lineRule="auto"/>
        <w:tabs>
          <w:tab w:leader="none" w:pos="388" w:val="left"/>
        </w:tabs>
        <w:numPr>
          <w:ilvl w:val="0"/>
          <w:numId w:val="2"/>
        </w:numPr>
        <w:rPr>
          <w:rFonts w:ascii="Arial" w:cs="Arial" w:eastAsia="Arial" w:hAnsi="Arial"/>
          <w:sz w:val="20"/>
          <w:szCs w:val="20"/>
          <w:color w:val="auto"/>
        </w:rPr>
      </w:pPr>
      <w:r>
        <w:rPr>
          <w:rFonts w:ascii="Arial" w:cs="Arial" w:eastAsia="Arial" w:hAnsi="Arial"/>
          <w:sz w:val="20"/>
          <w:szCs w:val="20"/>
          <w:color w:val="auto"/>
        </w:rPr>
        <w:t>414-1777</w:t>
      </w:r>
    </w:p>
    <w:p>
      <w:pPr>
        <w:ind w:left="8"/>
        <w:spacing w:after="0"/>
        <w:rPr>
          <w:rFonts w:ascii="Arial" w:cs="Arial" w:eastAsia="Arial" w:hAnsi="Arial"/>
          <w:sz w:val="20"/>
          <w:szCs w:val="20"/>
          <w:color w:val="auto"/>
        </w:rPr>
      </w:pPr>
      <w:r>
        <w:rPr>
          <w:rFonts w:ascii="Arial" w:cs="Arial" w:eastAsia="Arial" w:hAnsi="Arial"/>
          <w:sz w:val="20"/>
          <w:szCs w:val="20"/>
          <w:u w:val="single" w:color="auto"/>
          <w:color w:val="0000ED"/>
        </w:rPr>
        <w:t>ir.banzai.io</w:t>
      </w:r>
    </w:p>
    <w:p>
      <w:pPr>
        <w:spacing w:after="0" w:line="200" w:lineRule="exact"/>
        <w:rPr>
          <w:sz w:val="20"/>
          <w:szCs w:val="20"/>
          <w:color w:val="auto"/>
        </w:rPr>
      </w:pPr>
    </w:p>
    <w:p>
      <w:pPr>
        <w:spacing w:after="0" w:line="252"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Media</w:t>
      </w:r>
    </w:p>
    <w:p>
      <w:pPr>
        <w:ind w:left="8"/>
        <w:spacing w:after="0" w:line="231" w:lineRule="auto"/>
        <w:rPr>
          <w:sz w:val="20"/>
          <w:szCs w:val="20"/>
          <w:color w:val="auto"/>
        </w:rPr>
      </w:pPr>
      <w:r>
        <w:rPr>
          <w:rFonts w:ascii="Arial" w:cs="Arial" w:eastAsia="Arial" w:hAnsi="Arial"/>
          <w:sz w:val="20"/>
          <w:szCs w:val="20"/>
          <w:color w:val="auto"/>
        </w:rPr>
        <w:t>Nancy Norton</w:t>
      </w:r>
    </w:p>
    <w:p>
      <w:pPr>
        <w:ind w:left="8"/>
        <w:spacing w:after="0" w:line="226" w:lineRule="auto"/>
        <w:rPr>
          <w:sz w:val="20"/>
          <w:szCs w:val="20"/>
          <w:color w:val="auto"/>
        </w:rPr>
      </w:pPr>
      <w:r>
        <w:rPr>
          <w:rFonts w:ascii="Arial" w:cs="Arial" w:eastAsia="Arial" w:hAnsi="Arial"/>
          <w:sz w:val="20"/>
          <w:szCs w:val="20"/>
          <w:color w:val="auto"/>
        </w:rPr>
        <w:t>Chief Legal Officer, Banzai</w:t>
      </w:r>
    </w:p>
    <w:p>
      <w:pPr>
        <w:ind w:left="8"/>
        <w:spacing w:after="0"/>
        <w:rPr>
          <w:sz w:val="20"/>
          <w:szCs w:val="20"/>
          <w:color w:val="auto"/>
        </w:rPr>
      </w:pPr>
      <w:r>
        <w:rPr>
          <w:rFonts w:ascii="Arial" w:cs="Arial" w:eastAsia="Arial" w:hAnsi="Arial"/>
          <w:sz w:val="20"/>
          <w:szCs w:val="20"/>
          <w:u w:val="single" w:color="auto"/>
          <w:color w:val="0000ED"/>
        </w:rPr>
        <w:t>media@banzai.io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8"/>
          </w:cols>
          <w:pgMar w:left="452" w:top="847"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png"/><Relationship Id="rId11" Type="http://schemas.openxmlformats.org/officeDocument/2006/relationships/hyperlink" Target="https://www.sec.gov/Archives/edgar/data/1826011/000119312526187087/bnzi-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2026-05-06T07:11:41Z</dcterms:created>
  <dcterms:modified xsi:type="dcterms:W3CDTF">2026-05-06T07:11:41Z</dcterms:modified>
</cp:coreProperties>
</file>