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AND ACCOMPANYING PROSPECTUS, RELATING TO AN EFFECTIVE REGISTRATION STATEMENT UNDER THE SECURITIES ACT OF 1933, AS AMENDED, IS NOT COMPLETE AND MAY BE CHANGED. A REGISTRATION STATEMENT RELATING TO THESE SECURITIES HAS BEEN DECLARED EFFECTIVE BY THE SECURITIES AND EXCHANGE COMMISSION. THIS PRELIMINARY PROSPECTUS SUPPLEMENT AND THE ACCOMPANYING PROSPECTUS ARE NOT AN OFFER TO SELL THESE SECURITIES AND WE ARE NOT SOLICITING AN OFFER TO BUY THESE SECURITIES IN ANY STATE OR OTHER JURISDICTION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10, 2026</w:t>
      </w:r>
    </w:p>
    <w:p>
      <w:pPr>
        <w:pStyle w:val="TextBody"/>
        <w:bidi w:val="0"/>
        <w:spacing w:before="0" w:after="0"/>
        <w:ind w:left="0" w:right="0" w:hanging="0"/>
        <w:jc w:val="center"/>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4130"/>
        <w:gridCol w:w="2735"/>
      </w:tblGrid>
      <w:tr>
        <w:trPr/>
        <w:tc>
          <w:tcPr>
            <w:tcW w:w="41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 SUPPLEMENT</w:t>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August 8, 2025)</w:t>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333-288908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  ]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  ] shares of Class A Common Stock, par value $0.0001 per share (the “Class A Common Stock”  or “Common Stock”), in this offering and, in lieu of common stock to certain investors that so choose, pre-funded warrants to purchase up to [  ] shares of our Class A Common Stock pursuant to this prospectus supplement and the accompanying prospectus. The purchase price of each pre-funded warrant equals the price per share at which shares of Class A Common Stock are being sold to the public in this offering, minus $0.0001, and the exercise price of each pre-funded warrant equals $0.0001 per share. Each pre-funded warrant may be exercised solely by means of a cashless exercise. This prospectus supplement also relates to the offering of the shares of Class A Common Stock issuable upon exercise of such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Capital Market under the symbol “BNZI.” There is no established public trading market for the pre-funded warrants, and we do not expect a market to develop. We do not intend to list the pre-funded warrants on The Nasdaq Capital Market or any other national securities exchange or nationally recognized trading system. On July 10, 2026, the last reported sale price of our Class A Common Stock on the Nasdaq Capital Market was $3.24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our outstanding voting and non-voting common equities held by non-affiliates was approximately $22.6 million based on 2,944,907 shares of Class A Common Stock held by non-affiliates and a price per share of $7.66, the closing price of our Class A Common Stock on May 15, 2026. During the previous 12 calendar months prior to and including the date of this prospectus supplement, we have sold $6,506,566 of our securities pursuant to General Instruction I.B.6 of Form S-3. Pursuant to General Instruction I.B.6 of Form S-3, in no event will we sell securities in public primary offerings on Form S-3 with a value exceeding one-third of our public float (as defined by General Instruction I.B.6) in any 12 calendar month period so long as our public float remains below $75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read carefully and consider the information under the heading “Risk Factors” beginning on page S-7 of this prospectus supplement, and in the documents incorporated by reference into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tbl>
      <w:tblPr>
        <w:tblW w:w="7086" w:type="dxa"/>
        <w:jc w:val="left"/>
        <w:tblInd w:w="0" w:type="dxa"/>
        <w:tblLayout w:type="fixed"/>
        <w:tblCellMar>
          <w:top w:w="0" w:type="dxa"/>
          <w:left w:w="0" w:type="dxa"/>
          <w:bottom w:w="0" w:type="dxa"/>
          <w:right w:w="0" w:type="dxa"/>
        </w:tblCellMar>
      </w:tblPr>
      <w:tblGrid>
        <w:gridCol w:w="4025"/>
        <w:gridCol w:w="60"/>
        <w:gridCol w:w="610"/>
        <w:gridCol w:w="429"/>
        <w:gridCol w:w="60"/>
        <w:gridCol w:w="60"/>
        <w:gridCol w:w="627"/>
        <w:gridCol w:w="427"/>
        <w:gridCol w:w="60"/>
        <w:gridCol w:w="60"/>
        <w:gridCol w:w="333"/>
        <w:gridCol w:w="260"/>
        <w:gridCol w:w="75"/>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Pre-Funded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4025" w:type="dxa"/>
            <w:tcBorders/>
            <w:shd w:fill="CCEEFF" w:val="clear"/>
            <w:vAlign w:val="center"/>
          </w:tcPr>
          <w:p>
            <w:pPr>
              <w:pStyle w:val="TableContents"/>
              <w:bidi w:val="0"/>
              <w:spacing w:before="0" w:after="283"/>
              <w:jc w:val="both"/>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w:t>
            </w:r>
          </w:p>
        </w:tc>
        <w:tc>
          <w:tcPr>
            <w:tcW w:w="4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w:t>
            </w:r>
          </w:p>
        </w:tc>
        <w:tc>
          <w:tcPr>
            <w:tcW w:w="4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Underwriting discounts and commissions (7%)</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w:t>
            </w:r>
          </w:p>
        </w:tc>
        <w:tc>
          <w:tcPr>
            <w:tcW w:w="4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w:t>
            </w:r>
          </w:p>
        </w:tc>
        <w:tc>
          <w:tcPr>
            <w:tcW w:w="4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p>
        </w:tc>
        <w:tc>
          <w:tcPr>
            <w:tcW w:w="2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w:t>
            </w:r>
          </w:p>
        </w:tc>
        <w:tc>
          <w:tcPr>
            <w:tcW w:w="4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w:t>
            </w:r>
          </w:p>
        </w:tc>
        <w:tc>
          <w:tcPr>
            <w:tcW w:w="4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will also be reimbursed for certain expenses incurred in this offering. See “Underwriting” on page S-16 of this prospectus supplement for additional information regarding underwriting compensation.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option for a period ending 45 days after the closing of this offering to purchase up to 15% additional shares of Common Stock and/or pre-funded warrants from us at the public offering price, less the underwriting discount, solely to cover over-allotments,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Except as otherwise indicated, all references to our Common Stock, share data, per share data and related information depict the effect of the 1-for-20 reverse stock split of the shares of our outstanding common stock, effective as of May 8, 2026 (the “May 2026 Reverse Stock Split”), as if it had occurred at the beginning of the earliest period presented.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shares of our Common Stock and pre-funded warrants against payment is expected to be made on or about July [  ], 2026, subject to customary closing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Book-Running Manager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_001"/>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360" w:right="0" w:hanging="36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45"/>
        <w:gridCol w:w="45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45"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ABOUT THIS PROSPECTUS SUPPLEMENT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6245" w:type="dxa"/>
            <w:tcBorders/>
            <w:shd w:fill="FFFFFF" w:val="clear"/>
            <w:vAlign w:val="center"/>
          </w:tcPr>
          <w:p>
            <w:pPr>
              <w:pStyle w:val="TableContents"/>
              <w:bidi w:val="0"/>
              <w:spacing w:before="0" w:after="283"/>
              <w:jc w:val="left"/>
              <w:rPr/>
            </w:pPr>
            <w:hyperlink w:anchor="m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6245" w:type="dxa"/>
            <w:tcBorders/>
            <w:shd w:fill="CCEEFF" w:val="clear"/>
            <w:vAlign w:val="center"/>
          </w:tcPr>
          <w:p>
            <w:pPr>
              <w:pStyle w:val="TableContents"/>
              <w:bidi w:val="0"/>
              <w:spacing w:before="0" w:after="283"/>
              <w:jc w:val="left"/>
              <w:rPr/>
            </w:pPr>
            <w:hyperlink w:anchor="m_003">
              <w:r>
                <w:rPr>
                  <w:rStyle w:val="InternetLink"/>
                  <w:rFonts w:ascii="Times New Roman;Times;Serif" w:hAnsi="Times New Roman;Times;Serif"/>
                  <w:b w:val="false"/>
                  <w:i w:val="false"/>
                  <w:caps w:val="false"/>
                  <w:smallCaps w:val="false"/>
                  <w:sz w:val="20"/>
                </w:rPr>
                <w:t>PROSPECTUS SUPPLEMENT SUMMARY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6245" w:type="dxa"/>
            <w:tcBorders/>
            <w:shd w:fill="FFFFFF" w:val="clear"/>
            <w:vAlign w:val="center"/>
          </w:tcPr>
          <w:p>
            <w:pPr>
              <w:pStyle w:val="TableContents"/>
              <w:bidi w:val="0"/>
              <w:spacing w:before="0" w:after="283"/>
              <w:jc w:val="left"/>
              <w:rPr/>
            </w:pPr>
            <w:hyperlink w:anchor="m_004">
              <w:r>
                <w:rPr>
                  <w:rStyle w:val="InternetLink"/>
                  <w:rFonts w:ascii="Times New Roman;Times;Serif" w:hAnsi="Times New Roman;Times;Serif"/>
                  <w:b w:val="false"/>
                  <w:i w:val="false"/>
                  <w:caps w:val="false"/>
                  <w:smallCaps w:val="false"/>
                  <w:sz w:val="20"/>
                </w:rPr>
                <w:t>THE OFFERING</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6245" w:type="dxa"/>
            <w:tcBorders/>
            <w:shd w:fill="CCEEFF" w:val="clear"/>
            <w:vAlign w:val="center"/>
          </w:tcPr>
          <w:p>
            <w:pPr>
              <w:pStyle w:val="TableContents"/>
              <w:bidi w:val="0"/>
              <w:spacing w:before="0" w:after="283"/>
              <w:jc w:val="left"/>
              <w:rPr/>
            </w:pPr>
            <w:hyperlink w:anchor="m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S-7</w:t>
            </w:r>
          </w:p>
        </w:tc>
      </w:tr>
      <w:tr>
        <w:trPr/>
        <w:tc>
          <w:tcPr>
            <w:tcW w:w="6245" w:type="dxa"/>
            <w:tcBorders/>
            <w:shd w:fill="FFFFFF" w:val="clear"/>
            <w:vAlign w:val="center"/>
          </w:tcPr>
          <w:p>
            <w:pPr>
              <w:pStyle w:val="TableContents"/>
              <w:bidi w:val="0"/>
              <w:spacing w:before="0" w:after="283"/>
              <w:jc w:val="left"/>
              <w:rPr/>
            </w:pPr>
            <w:hyperlink w:anchor="m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6245" w:type="dxa"/>
            <w:tcBorders/>
            <w:shd w:fill="CCEEFF" w:val="clear"/>
            <w:vAlign w:val="center"/>
          </w:tcPr>
          <w:p>
            <w:pPr>
              <w:pStyle w:val="TableContents"/>
              <w:bidi w:val="0"/>
              <w:spacing w:before="0" w:after="283"/>
              <w:jc w:val="left"/>
              <w:rPr/>
            </w:pPr>
            <w:hyperlink w:anchor="m_007">
              <w:r>
                <w:rPr>
                  <w:rStyle w:val="InternetLink"/>
                  <w:rFonts w:ascii="Times New Roman;Times;Serif" w:hAnsi="Times New Roman;Times;Serif"/>
                  <w:b w:val="false"/>
                  <w:i w:val="false"/>
                  <w:caps w:val="false"/>
                  <w:smallCaps w:val="false"/>
                  <w:sz w:val="20"/>
                </w:rPr>
                <w:t>DESCRIPTION OF SECURITIES WE ARE OFFERING</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6245" w:type="dxa"/>
            <w:tcBorders/>
            <w:shd w:fill="FFFFFF" w:val="clear"/>
            <w:vAlign w:val="center"/>
          </w:tcPr>
          <w:p>
            <w:pPr>
              <w:pStyle w:val="TableContents"/>
              <w:bidi w:val="0"/>
              <w:spacing w:before="0" w:after="283"/>
              <w:jc w:val="left"/>
              <w:rPr/>
            </w:pPr>
            <w:hyperlink w:anchor="m_008">
              <w:r>
                <w:rPr>
                  <w:rStyle w:val="InternetLink"/>
                  <w:rFonts w:ascii="Times New Roman;Times;Serif" w:hAnsi="Times New Roman;Times;Serif"/>
                  <w:b w:val="false"/>
                  <w:i w:val="false"/>
                  <w:caps w:val="false"/>
                  <w:smallCaps w:val="false"/>
                  <w:sz w:val="20"/>
                </w:rPr>
                <w:t>CAPITALIZATION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S-15</w:t>
            </w:r>
          </w:p>
        </w:tc>
      </w:tr>
      <w:tr>
        <w:trPr/>
        <w:tc>
          <w:tcPr>
            <w:tcW w:w="6245" w:type="dxa"/>
            <w:tcBorders/>
            <w:shd w:fill="CCEEFF" w:val="clear"/>
            <w:vAlign w:val="center"/>
          </w:tcPr>
          <w:p>
            <w:pPr>
              <w:pStyle w:val="TableContents"/>
              <w:bidi w:val="0"/>
              <w:spacing w:before="0" w:after="283"/>
              <w:jc w:val="left"/>
              <w:rPr/>
            </w:pPr>
            <w:hyperlink w:anchor="Rma_001">
              <w:r>
                <w:rPr>
                  <w:rStyle w:val="InternetLink"/>
                  <w:rFonts w:ascii="Times New Roman;Times;Serif" w:hAnsi="Times New Roman;Times;Serif"/>
                  <w:b w:val="false"/>
                  <w:i w:val="false"/>
                  <w:caps w:val="false"/>
                  <w:smallCaps w:val="false"/>
                  <w:sz w:val="20"/>
                </w:rPr>
                <w:t>UNDERWRITING</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S-16</w:t>
            </w:r>
          </w:p>
        </w:tc>
      </w:tr>
      <w:tr>
        <w:trPr/>
        <w:tc>
          <w:tcPr>
            <w:tcW w:w="6245" w:type="dxa"/>
            <w:tcBorders/>
            <w:shd w:fill="FFFFFF" w:val="clear"/>
            <w:vAlign w:val="center"/>
          </w:tcPr>
          <w:p>
            <w:pPr>
              <w:pStyle w:val="TableContents"/>
              <w:bidi w:val="0"/>
              <w:spacing w:before="0" w:after="283"/>
              <w:jc w:val="left"/>
              <w:rPr/>
            </w:pPr>
            <w:hyperlink w:anchor="m_009">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r>
        <w:trPr/>
        <w:tc>
          <w:tcPr>
            <w:tcW w:w="6245" w:type="dxa"/>
            <w:tcBorders/>
            <w:shd w:fill="CCEEFF" w:val="clear"/>
            <w:vAlign w:val="center"/>
          </w:tcPr>
          <w:p>
            <w:pPr>
              <w:pStyle w:val="TableContents"/>
              <w:bidi w:val="0"/>
              <w:spacing w:before="0" w:after="283"/>
              <w:jc w:val="left"/>
              <w:rPr/>
            </w:pPr>
            <w:hyperlink w:anchor="m_010">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r>
        <w:trPr/>
        <w:tc>
          <w:tcPr>
            <w:tcW w:w="6245" w:type="dxa"/>
            <w:tcBorders/>
            <w:shd w:fill="FFFFFF" w:val="clear"/>
            <w:vAlign w:val="center"/>
          </w:tcPr>
          <w:p>
            <w:pPr>
              <w:pStyle w:val="TableContents"/>
              <w:bidi w:val="0"/>
              <w:spacing w:before="0" w:after="283"/>
              <w:jc w:val="left"/>
              <w:rPr/>
            </w:pPr>
            <w:hyperlink w:anchor="m_011">
              <w:r>
                <w:rPr>
                  <w:rStyle w:val="InternetLink"/>
                  <w:rFonts w:ascii="Times New Roman;Times;Serif" w:hAnsi="Times New Roman;Times;Serif"/>
                  <w:b w:val="false"/>
                  <w:i w:val="false"/>
                  <w:caps w:val="false"/>
                  <w:smallCaps w:val="false"/>
                  <w:sz w:val="20"/>
                </w:rPr>
                <w:t>WHERE YOU CAN FIND ADDITIONAL INFORMATION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r>
        <w:trPr/>
        <w:tc>
          <w:tcPr>
            <w:tcW w:w="6245"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INFORMATION INCORPORATED BY REFERENCE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PROSPECTUS</w:t>
      </w:r>
    </w:p>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90"/>
        <w:gridCol w:w="455"/>
      </w:tblGrid>
      <w:tr>
        <w:trPr/>
        <w:tc>
          <w:tcPr>
            <w:tcW w:w="689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89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890" w:type="dxa"/>
            <w:tcBorders/>
            <w:shd w:fill="FFFF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890" w:type="dxa"/>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ABOUT BNZI</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90" w:type="dxa"/>
            <w:tcBorders/>
            <w:shd w:fill="FFFF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890" w:type="dxa"/>
            <w:tcBorders/>
            <w:shd w:fill="CCEE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FFFF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DILUTION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CCEE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DESCRIPTION OF SECURITIES TO BE REGISTERED</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FFFF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890" w:type="dxa"/>
            <w:tcBorders/>
            <w:shd w:fill="CCEEFF" w:val="clear"/>
            <w:vAlign w:val="center"/>
          </w:tcPr>
          <w:p>
            <w:pPr>
              <w:pStyle w:val="TableContents"/>
              <w:bidi w:val="0"/>
              <w:spacing w:before="0" w:after="283"/>
              <w:jc w:val="left"/>
              <w:rPr/>
            </w:pPr>
            <w:hyperlink w:anchor="sa_002">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FFFFFF" w:val="clear"/>
            <w:vAlign w:val="center"/>
          </w:tcPr>
          <w:p>
            <w:pPr>
              <w:pStyle w:val="TableContents"/>
              <w:bidi w:val="0"/>
              <w:spacing w:before="0" w:after="283"/>
              <w:jc w:val="left"/>
              <w:rPr/>
            </w:pPr>
            <w:hyperlink w:anchor="sa_003">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CCEEFF" w:val="clear"/>
            <w:vAlign w:val="center"/>
          </w:tcPr>
          <w:p>
            <w:pPr>
              <w:pStyle w:val="TableContents"/>
              <w:bidi w:val="0"/>
              <w:spacing w:before="0" w:after="283"/>
              <w:jc w:val="left"/>
              <w:rPr/>
            </w:pPr>
            <w:hyperlink w:anchor="sa_00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90" w:type="dxa"/>
            <w:tcBorders/>
            <w:shd w:fill="FFFFFF" w:val="clear"/>
            <w:vAlign w:val="center"/>
          </w:tcPr>
          <w:p>
            <w:pPr>
              <w:pStyle w:val="TableContents"/>
              <w:bidi w:val="0"/>
              <w:spacing w:before="0" w:after="283"/>
              <w:jc w:val="left"/>
              <w:rPr/>
            </w:pPr>
            <w:hyperlink w:anchor="sa_005">
              <w:r>
                <w:rPr>
                  <w:rStyle w:val="InternetLink"/>
                  <w:rFonts w:ascii="Times New Roman;Times;Serif" w:hAnsi="Times New Roman;Times;Serif"/>
                  <w:b w:val="false"/>
                  <w:i w:val="false"/>
                  <w:caps w:val="false"/>
                  <w:smallCaps w:val="false"/>
                  <w:sz w:val="20"/>
                </w:rPr>
                <w:t>INCORPORATION OF CERTAIN DOCUMENTS BY REFERENCE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m_001"/>
      <w:bookmarkEnd w:id="3"/>
      <w:r>
        <w:rPr>
          <w:rFonts w:ascii="Times New Roman;Times;Serif" w:hAnsi="Times New Roman;Times;Serif"/>
          <w:b/>
          <w:i w:val="false"/>
          <w:caps/>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dated August 8, 2025, are part of a registration statement that we filed on Form S-3 (333-288908) with the U.S. Securities and Exchange Commission (“SEC”), using a “shelf” registration process and that was declared effective by the SEC on August 8, 2025. By using a shelf registration statement, we may sell an unspecified amount of securities from time to time. This prospectus supplement and the accompanying prospectus relate to the offering of our Class A Common Stock or pre-funded warrants. We provide information to you about this offering of shares of our Class A Common Stock or pre-funded warrants in two separate documents that are bound together: (1) this prospectus supplement, including the documents incorporated by reference therein, which describes the specific details regarding this offering; and (2) the accompanying prospectus, including the documents incorporated by reference therein,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and “Information 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Aegis has not, authorized anyone to provide any information other than that contained in or incorporated by reference in this prospectus supplement, the accompanying prospectus and any free writing prospectus prepared by or on behalf of us or to which we have referred you. We and Aegis take no responsibility for, and can provide no assurance as to the reliability of, any other information that others may give you. We are not, and Aegis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or therein,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documents incorporated by reference into this prospectus supplement, the accompanying prospectus and any free writing prospectus that we may authorize for use in connection with this offering, in their entirety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full text of the actual documents, some of which have been filed or will be filed with the SEC and incorporated by reference herein. See “Where You Can Find More Information” in this prospectus supplement. 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“Banzai,” “we,” “our,” “us” and the “Company” in this prospectus supplement and the accompanying prospectus, we mean Banzai International, Inc., unless otherwise specified.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our trademarks in this prospectus as well as trademarks, tradenames and service marks that are the property of other organizations. 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m_002"/>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each contain forward-looking statements within the meaning of the Private Securities Litigation Reform Act of 1995. We intend such forward-looking statements to be covered by the safe harbor provisions for forward-looking statements contained in Section 27A of the Securities Act and Section 21E of the Securities Exchange Act of 1934, as amended (the “Exchange Act”). All statements contained in this prospectus supplement, the accompanying prospectus and the documents incorporated by reference herein and therein other than statements of historical fact, including statements regarding our future operating results and financial position, including profitability, our business strategy and plans, market growth, product and service releases, the status of product development, compliance with applicable listing requirements or standards of The Nasdaq Capital Market, demand for our products and services, and our objectives for future operations, are forward-looking statements. In some cases the words “believe,” “may,” “will,” “estimate,” “potential,” “continue,” “anticipate,” “intend,” “expect,” “could,” “would,” “project,” “plan,” “target,” or the negative of these terms and similar expressions are intended to identify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contained in this prospectus supplement, the accompanying prospectus and the documents incorporated by reference herein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on The Nasdaq Capital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our industry, outlook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we operate may differ materially from those made in or suggested by the forward-looking statements. Therefore, investors should not rely on any of these forward-looking statements. Factors that may cause actual results to differ materially include changes in the markets in which we operate, customer demand, the financial markets, economic, business and regulatory and other factors, such as our ability to execute on its strategy. More detailed information about risk factors can be found in this prospectus, our Annual Report on Form 10-K and our Quarterly Reports on Form 10-Q under the heading “Risk Factors,” and in other reports filed us, including reports on Form 8-K. We do not undertake any duty to update forward-looking statements after the date they are made, except as required by law.</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bdr w:val="single" w:sz="8" w:space="1" w:color="000000"/>
        </w:rPr>
      </w:pPr>
      <w:r>
        <w:rPr>
          <w:caps/>
          <w:bdr w:val="single" w:sz="8" w:space="1" w:color="000000"/>
        </w:rPr>
        <w:t> </w:t>
      </w:r>
    </w:p>
    <w:p>
      <w:pPr>
        <w:pStyle w:val="TextBody"/>
        <w:bidi w:val="0"/>
        <w:spacing w:before="0" w:after="0"/>
        <w:ind w:left="0" w:right="0" w:hanging="0"/>
        <w:jc w:val="left"/>
        <w:rPr>
          <w:caps/>
          <w:bdr w:val="single" w:sz="8" w:space="1" w:color="000000"/>
        </w:rPr>
      </w:pPr>
      <w:r>
        <w:rPr>
          <w:caps/>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5" w:name="m_003"/>
      <w:bookmarkEnd w:id="5"/>
      <w:r>
        <w:rPr>
          <w:rFonts w:ascii="Times New Roman;Times;Serif" w:hAnsi="Times New Roman;Times;Serif"/>
          <w:b/>
          <w:i w:val="false"/>
          <w:caps/>
          <w:sz w:val="20"/>
          <w:bdr w:val="single" w:sz="8" w:space="1" w:color="000000"/>
        </w:rPr>
        <w:t>PROSPECTUS SUPPLEMENT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Class A Common Stock </w:t>
      </w:r>
      <w:r>
        <w:rPr>
          <w:rFonts w:ascii="Times New Roman;Times;Serif" w:hAnsi="Times New Roman;Times;Serif"/>
          <w:b w:val="false"/>
          <w:i w:val="false"/>
          <w:caps w:val="false"/>
          <w:smallCaps w:val="false"/>
          <w:sz w:val="20"/>
          <w:bdr w:val="single" w:sz="8" w:space="1" w:color="000000"/>
        </w:rPr>
        <w:t xml:space="preserve">or pre-funded warrants </w:t>
      </w:r>
      <w:r>
        <w:rPr>
          <w:rFonts w:ascii="Times New Roman;Times;Serif" w:hAnsi="Times New Roman;Times;Serif"/>
          <w:b w:val="false"/>
          <w:i/>
          <w:caps w:val="false"/>
          <w:smallCaps w:val="false"/>
          <w:sz w:val="20"/>
          <w:bdr w:val="single" w:sz="8" w:space="1" w:color="000000"/>
        </w:rPr>
        <w:t xml:space="preserve">discussed under </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Risk Factors</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val="false"/>
          <w:i/>
          <w:caps w:val="false"/>
          <w:smallCaps w:val="false"/>
          <w:sz w:val="20"/>
          <w:bdr w:val="single" w:sz="8" w:space="1" w:color="000000"/>
        </w:rPr>
        <w:t xml:space="preserve">beginning on page S-7 of this prospectus supplement and under the section </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Risk Factors</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val="false"/>
          <w:i/>
          <w:caps w:val="false"/>
          <w:smallCaps w:val="false"/>
          <w:sz w:val="20"/>
          <w:bdr w:val="single" w:sz="8" w:space="1" w:color="000000"/>
        </w:rPr>
        <w:t>in our Annual Report on Form 10-K for the year ended December 31, 202</w:t>
      </w:r>
      <w:r>
        <w:rPr>
          <w:rFonts w:ascii="Times New Roman;Times;Serif" w:hAnsi="Times New Roman;Times;Serif"/>
          <w:b w:val="false"/>
          <w:i w:val="false"/>
          <w:caps w:val="false"/>
          <w:smallCaps w:val="false"/>
          <w:sz w:val="20"/>
          <w:bdr w:val="single" w:sz="8" w:space="1" w:color="000000"/>
        </w:rPr>
        <w:t>5</w:t>
      </w:r>
      <w:r>
        <w:rPr>
          <w:rFonts w:ascii="Times New Roman;Times;Serif" w:hAnsi="Times New Roman;Times;Serif"/>
          <w:b w:val="false"/>
          <w:i/>
          <w:caps w:val="false"/>
          <w:smallCaps w:val="false"/>
          <w:sz w:val="20"/>
          <w:bdr w:val="single" w:sz="8" w:space="1" w:color="000000"/>
        </w:rPr>
        <w:t>, and any amendment or update thereto reflected in subsequent filings with the SEC, along with our financial statements and notes to those financial statements and the other information incorporated by reference in this prospectus supplement and the accompanying prospectus.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shd w:fill="FFFFFF" w:val="clear"/>
        </w:rPr>
      </w:pPr>
      <w:r>
        <w:rPr>
          <w:rFonts w:ascii="Times New Roman;Times;Serif" w:hAnsi="Times New Roman;Times;Serif"/>
          <w:b w:val="false"/>
          <w:i/>
          <w:caps w:val="false"/>
          <w:smallCaps w:val="false"/>
          <w:sz w:val="20"/>
          <w:bdr w:val="single" w:sz="8" w:space="1" w:color="000000"/>
          <w:shd w:fill="FFFFFF" w:val="clear"/>
        </w:rPr>
        <w:t>Except as otherwise indicated, all references to our common stock, share data, per share data and related information depict the effect of the 1-for-20 reverse stock split of the shares of our outstanding common stock, effective as of May 8, 2026 (the “May 2026 Reverse Stock Split”), as if it had occurred at the beginning of the earliest period presented.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Our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June 2026 we acquired the assets of ConnectAndSell, Inc. (“ConnectAndSell”), to expand our product offerings and customer base. Our </w:t>
      </w:r>
      <w:r>
        <w:rPr>
          <w:rFonts w:ascii="Times New Roman;Times;Serif" w:hAnsi="Times New Roman;Times;Serif"/>
          <w:b w:val="false"/>
          <w:i w:val="false"/>
          <w:caps w:val="false"/>
          <w:smallCaps w:val="false"/>
          <w:sz w:val="20"/>
          <w:bdr w:val="single" w:sz="8" w:space="1" w:color="000000"/>
          <w:shd w:fill="FFFFFF" w:val="clear"/>
        </w:rPr>
        <w:t>platform currently includes several products, ranging across demand generation, webinar hosting, video creation and email newsletters.</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bdr w:val="single" w:sz="8" w:space="1" w:color="000000"/>
          <w:shd w:fill="FFFFFF" w:val="clear"/>
        </w:rPr>
        <w:t>Since 2021, we have focused on increasing mid-market and enterprise customers f</w:t>
      </w:r>
      <w:r>
        <w:rPr>
          <w:rFonts w:ascii="Times New Roman;Times;Serif" w:hAnsi="Times New Roman;Times;Serif"/>
          <w:b w:val="false"/>
          <w:i w:val="false"/>
          <w:caps w:val="false"/>
          <w:smallCaps w:val="false"/>
          <w:sz w:val="20"/>
          <w:bdr w:val="single" w:sz="8" w:space="1" w:color="000000"/>
        </w:rPr>
        <w:t>or Demio.</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wholly owned subsidiaries. Legacy Banzai was incorporated in Delaware in September 2015.</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Our Securities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authorized share capital consists of 350,000,000 shares, consisting of 250,000,000 shares of Class A Common Stock, 25,000,000 shares of Class B Common Stock, $0.0001 per share (the “Class B Common Stock”), 75,000,000 shares of Preferred Stock and 1 share of Series FE Preferred Stock. As of July 10, 2026, we have 2,953,278 shares of Class A Common Stock, 33,856 shares of Class B Common Stock, 0 shares of Preferred Stock and 0 shares of Series FE Preferred Stock issued and outstanding, respectively; we also have convertible and derivative securities outstanding, as noted elsewhere in this prospectus supplement. Holders of Class A Common Stock and Class B Common Stock have the same rights except for voting rights. In respect of matters requiring the votes of stockholders, each share of Class A Common Stock is entitled to one vote, and each share of Class B Common Stock is entitled to 10 votes.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Corporate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principal executive offices are located at 435 Ericksen Ave NE, Suite 250, Bainbridge Island, WA 98110. Our telephone number is (206) 414-1777. Our website address is </w:t>
      </w:r>
      <w:r>
        <w:rPr>
          <w:rFonts w:ascii="Times New Roman;Times;Serif" w:hAnsi="Times New Roman;Times;Serif"/>
          <w:b w:val="false"/>
          <w:i w:val="false"/>
          <w:caps w:val="false"/>
          <w:smallCaps w:val="false"/>
          <w:sz w:val="20"/>
          <w:u w:val="single"/>
          <w:bdr w:val="single" w:sz="8" w:space="1" w:color="000000"/>
        </w:rPr>
        <w:t>www.banzai.io</w:t>
      </w:r>
      <w:r>
        <w:rPr>
          <w:rFonts w:ascii="Times New Roman;Times;Serif" w:hAnsi="Times New Roman;Times;Serif"/>
          <w:b w:val="false"/>
          <w:i w:val="false"/>
          <w:caps w:val="false"/>
          <w:smallCaps w:val="false"/>
          <w:sz w:val="20"/>
          <w:bdr w:val="single" w:sz="8" w:space="1" w:color="000000"/>
        </w:rPr>
        <w:t>. The information on our corporate website is not part of, and is not incorporated by reference into, this prospectus.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 Smaller Reporting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bdr w:val="single" w:sz="8" w:space="1" w:color="000000"/>
        </w:rPr>
      </w:pPr>
      <w:r>
        <w:rPr>
          <w:caps/>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6" w:name="m_004"/>
      <w:bookmarkEnd w:id="6"/>
      <w:r>
        <w:rPr>
          <w:rFonts w:ascii="Times New Roman;Times;Serif" w:hAnsi="Times New Roman;Times;Serif"/>
          <w:b/>
          <w:i w:val="false"/>
          <w:caps/>
          <w:sz w:val="20"/>
          <w:bdr w:val="single" w:sz="8" w:space="1" w:color="000000"/>
        </w:rPr>
        <w:t>THE OFFERING</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935"/>
        <w:gridCol w:w="8270"/>
      </w:tblGrid>
      <w:tr>
        <w:trPr/>
        <w:tc>
          <w:tcPr>
            <w:tcW w:w="1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offered by us</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1935" w:type="dxa"/>
            <w:tcBorders/>
            <w:vAlign w:val="center"/>
          </w:tcPr>
          <w:p>
            <w:pPr>
              <w:pStyle w:val="TableContents"/>
              <w:bidi w:val="0"/>
              <w:spacing w:before="0" w:after="283"/>
              <w:jc w:val="left"/>
              <w:rPr>
                <w:caps w:val="false"/>
                <w:smallCaps w:val="false"/>
              </w:rPr>
            </w:pPr>
            <w:r>
              <w:rPr>
                <w:caps w:val="false"/>
                <w:smallCaps w:val="false"/>
              </w:rPr>
              <w:t> </w:t>
            </w:r>
          </w:p>
        </w:tc>
        <w:tc>
          <w:tcPr>
            <w:tcW w:w="8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outstanding immediately following the offering</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shares, assuming sales of [  ] shares in this offering at an assumed offering price of $[  ] per share.</w:t>
            </w:r>
          </w:p>
        </w:tc>
      </w:tr>
      <w:tr>
        <w:trPr/>
        <w:tc>
          <w:tcPr>
            <w:tcW w:w="1935" w:type="dxa"/>
            <w:tcBorders/>
            <w:vAlign w:val="center"/>
          </w:tcPr>
          <w:p>
            <w:pPr>
              <w:pStyle w:val="TableContents"/>
              <w:bidi w:val="0"/>
              <w:spacing w:before="0" w:after="283"/>
              <w:jc w:val="left"/>
              <w:rPr>
                <w:caps w:val="false"/>
                <w:smallCaps w:val="false"/>
              </w:rPr>
            </w:pPr>
            <w:r>
              <w:rPr>
                <w:caps w:val="false"/>
                <w:smallCaps w:val="false"/>
              </w:rPr>
              <w:t> </w:t>
            </w:r>
          </w:p>
        </w:tc>
        <w:tc>
          <w:tcPr>
            <w:tcW w:w="8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Over-Allotment Option</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option, exercisable until 45 days after the closing of this offering, to acquire purchase up to [  ] additional shares of Common Stock and/or pre-funded warrants solely to cover over-allotments, if any.</w:t>
            </w:r>
          </w:p>
        </w:tc>
      </w:tr>
      <w:tr>
        <w:trPr/>
        <w:tc>
          <w:tcPr>
            <w:tcW w:w="1935" w:type="dxa"/>
            <w:tcBorders/>
            <w:vAlign w:val="center"/>
          </w:tcPr>
          <w:p>
            <w:pPr>
              <w:pStyle w:val="TableContents"/>
              <w:bidi w:val="0"/>
              <w:spacing w:before="0" w:after="283"/>
              <w:jc w:val="left"/>
              <w:rPr>
                <w:caps w:val="false"/>
                <w:smallCaps w:val="false"/>
              </w:rPr>
            </w:pPr>
            <w:r>
              <w:rPr>
                <w:caps w:val="false"/>
                <w:smallCaps w:val="false"/>
              </w:rPr>
              <w:t> </w:t>
            </w:r>
          </w:p>
        </w:tc>
        <w:tc>
          <w:tcPr>
            <w:tcW w:w="8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Offered by Us</w:t>
            </w:r>
          </w:p>
        </w:tc>
        <w:tc>
          <w:tcPr>
            <w:tcW w:w="82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in lieu of Common Stock to certain investors, pre-funded warrants to purchase shares of Common Stock. The purchase price of each pre-funded warrant equals the price per share at which the shares of Common Stock are being sold to the public in this offering, minus $0.0001, and the exercise price of each pre-funded warrant will be $0.0001 per share. Each pre-funded warrant will be exercisable at any time after the date of issuance, solely by means of cashless exercise, subject to an ownership limitation. See “Description of the Securities We Are Offering.” This prospectus supplement also relates to the offering of the shares of Common Stock issuable upon exercise of such pre-funded warrants.</w:t>
            </w:r>
          </w:p>
        </w:tc>
      </w:tr>
      <w:tr>
        <w:trPr/>
        <w:tc>
          <w:tcPr>
            <w:tcW w:w="1935" w:type="dxa"/>
            <w:tcBorders/>
            <w:vAlign w:val="center"/>
          </w:tcPr>
          <w:p>
            <w:pPr>
              <w:pStyle w:val="TableContents"/>
              <w:bidi w:val="0"/>
              <w:spacing w:before="0" w:after="283"/>
              <w:jc w:val="left"/>
              <w:rPr>
                <w:caps w:val="false"/>
                <w:smallCaps w:val="false"/>
              </w:rPr>
            </w:pPr>
            <w:r>
              <w:rPr>
                <w:caps w:val="false"/>
                <w:smallCaps w:val="false"/>
              </w:rPr>
              <w:t> </w:t>
            </w:r>
          </w:p>
        </w:tc>
        <w:tc>
          <w:tcPr>
            <w:tcW w:w="8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of this offering, together with our existing cash and cash equivalents for working capital and other general corporate purposes, including sales and marketing activities, product development and capital expenditures. See “Use of Proceeds” on page S-11 of this prospectus supplement.</w:t>
            </w:r>
          </w:p>
        </w:tc>
      </w:tr>
      <w:tr>
        <w:trPr/>
        <w:tc>
          <w:tcPr>
            <w:tcW w:w="1935" w:type="dxa"/>
            <w:tcBorders/>
            <w:vAlign w:val="center"/>
          </w:tcPr>
          <w:p>
            <w:pPr>
              <w:pStyle w:val="TableContents"/>
              <w:bidi w:val="0"/>
              <w:spacing w:before="0" w:after="283"/>
              <w:jc w:val="left"/>
              <w:rPr>
                <w:caps w:val="false"/>
                <w:smallCaps w:val="false"/>
              </w:rPr>
            </w:pPr>
            <w:r>
              <w:rPr>
                <w:caps w:val="false"/>
                <w:smallCaps w:val="false"/>
              </w:rPr>
              <w:t> </w:t>
            </w:r>
          </w:p>
        </w:tc>
        <w:tc>
          <w:tcPr>
            <w:tcW w:w="8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“Risk Factors” on page S-7 in this prospectus supplement and the other information included in, or incorporated by reference into, this prospectus supplement and the accompanying prospectus for a discussion of certain factors you should carefully consider before deciding to invest in shares of our Class A Common Stock and pre-funded warrants.</w:t>
            </w:r>
          </w:p>
        </w:tc>
      </w:tr>
      <w:tr>
        <w:trPr/>
        <w:tc>
          <w:tcPr>
            <w:tcW w:w="1935" w:type="dxa"/>
            <w:tcBorders/>
            <w:vAlign w:val="center"/>
          </w:tcPr>
          <w:p>
            <w:pPr>
              <w:pStyle w:val="TableContents"/>
              <w:bidi w:val="0"/>
              <w:spacing w:before="0" w:after="283"/>
              <w:jc w:val="left"/>
              <w:rPr>
                <w:caps w:val="false"/>
                <w:smallCaps w:val="false"/>
              </w:rPr>
            </w:pPr>
            <w:r>
              <w:rPr>
                <w:caps w:val="false"/>
                <w:smallCaps w:val="false"/>
              </w:rPr>
              <w:t> </w:t>
            </w:r>
          </w:p>
        </w:tc>
        <w:tc>
          <w:tcPr>
            <w:tcW w:w="8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symbol</w:t>
            </w:r>
          </w:p>
        </w:tc>
        <w:tc>
          <w:tcPr>
            <w:tcW w:w="827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BNZI”</w:t>
            </w:r>
          </w:p>
        </w:tc>
      </w:tr>
      <w:tr>
        <w:trPr/>
        <w:tc>
          <w:tcPr>
            <w:tcW w:w="1935" w:type="dxa"/>
            <w:tcBorders/>
            <w:vAlign w:val="center"/>
          </w:tcPr>
          <w:p>
            <w:pPr>
              <w:pStyle w:val="TableContents"/>
              <w:bidi w:val="0"/>
              <w:spacing w:before="0" w:after="283"/>
              <w:jc w:val="left"/>
              <w:rPr>
                <w:caps w:val="false"/>
                <w:smallCaps w:val="false"/>
              </w:rPr>
            </w:pPr>
            <w:r>
              <w:rPr>
                <w:caps w:val="false"/>
                <w:smallCaps w:val="false"/>
              </w:rPr>
              <w:t> </w:t>
            </w:r>
          </w:p>
        </w:tc>
        <w:tc>
          <w:tcPr>
            <w:tcW w:w="8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35" w:type="dxa"/>
            <w:tcBorders/>
            <w:vAlign w:val="center"/>
          </w:tcPr>
          <w:p>
            <w:pPr>
              <w:pStyle w:val="TableContents"/>
              <w:bidi w:val="0"/>
              <w:spacing w:before="0" w:after="283"/>
              <w:jc w:val="left"/>
              <w:rPr>
                <w:caps w:val="false"/>
                <w:smallCaps w:val="false"/>
              </w:rPr>
            </w:pPr>
            <w:r>
              <w:rPr>
                <w:caps w:val="false"/>
                <w:smallCaps w:val="false"/>
              </w:rPr>
              <w:t> </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pre-funded warrants, and we do not expect a market to develop. We do not intend to list the pre-funded warrants on The Nasdaq Capital Select Market.</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of our Class A Common Stock to be outstanding immediately after this offering is based on 2,953,278 shares of our Class A Common Stock outstanding as of July 10, 2026, and excludes (the “Additional Securities”):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shares issuable upon exercise of outstanding Public Warrants with an exercise price of $115,000.00;</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the warrant issued on December 14, 2023 (the “GEM Warrant”), to GEM Global Yield LLC SCS and GEM Yield Bahamas Limited (collectively, “GEM”), with an exercise price of $68,145.00 per share, which will be adjusted downward to 105% of the per share consideration received in this offering pursuant to anti-dilution price protections contained within those warrants;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 shares issuable within 60 days from the report date upon exercise of outstanding stock options with a weighted average exercise price of $9,207.73 granted through September 6, 2026;</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55,324 shares issuable within 60 days from the report date upon vesting of outstanding restricted stock units granted through September 6, 2026;</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7435" w:type="dxa"/>
        <w:jc w:val="left"/>
        <w:tblInd w:w="0" w:type="dxa"/>
        <w:tblLayout w:type="fixed"/>
        <w:tblCellMar>
          <w:top w:w="0" w:type="dxa"/>
          <w:left w:w="0" w:type="dxa"/>
          <w:bottom w:w="0" w:type="dxa"/>
          <w:right w:w="0" w:type="dxa"/>
        </w:tblCellMar>
      </w:tblPr>
      <w:tblGrid>
        <w:gridCol w:w="75"/>
        <w:gridCol w:w="170"/>
        <w:gridCol w:w="7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33,856 shares issuable upon conversion of outstanding shares of Class B common stock;</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 shares issuable upon exercise of outstanding common stock purchase warrants with an exercise price of $1,800.00 that were issued May 2024 pursuant to a “best efforts” offering of our Class A Common Stock (“Best Efforts Offering”);</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warrants issued to the placement agent of the Best Efforts Offering with an exercise price of $2,000.00 per share;</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9850" w:type="dxa"/>
        <w:jc w:val="left"/>
        <w:tblInd w:w="0" w:type="dxa"/>
        <w:tblLayout w:type="fixed"/>
        <w:tblCellMar>
          <w:top w:w="0" w:type="dxa"/>
          <w:left w:w="0" w:type="dxa"/>
          <w:bottom w:w="0" w:type="dxa"/>
          <w:right w:w="0" w:type="dxa"/>
        </w:tblCellMar>
      </w:tblPr>
      <w:tblGrid>
        <w:gridCol w:w="75"/>
        <w:gridCol w:w="170"/>
        <w:gridCol w:w="9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 shares are issuable upon exercise of the CP BF common stock warrant with an exercise price of $50.00 per share;</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9820" w:type="dxa"/>
        <w:jc w:val="left"/>
        <w:tblInd w:w="0" w:type="dxa"/>
        <w:tblLayout w:type="fixed"/>
        <w:tblCellMar>
          <w:top w:w="0" w:type="dxa"/>
          <w:left w:w="0" w:type="dxa"/>
          <w:bottom w:w="0" w:type="dxa"/>
          <w:right w:w="0" w:type="dxa"/>
        </w:tblCellMar>
      </w:tblPr>
      <w:tblGrid>
        <w:gridCol w:w="75"/>
        <w:gridCol w:w="170"/>
        <w:gridCol w:w="9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6,657 shares are issuable upon exercise of the Alco common stock warrant with an exercise price of $804.00 per share;</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A Common Stock purchase warrants that were issued on November 6, 2024, with an exercise price of $500.00;</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B common stock purchase warrants that were issued on November 6, 2024, with an exercise price of $500.00;</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shares issuable upon exercise of warrants issued to the placement agent pursuant to the “PIPE” that closed in June 2025, with an exercise price of $1,062.50;</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134,128 shares issuable upon exercise of common stock purchase of 3i, LP warrants issued on June 30,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52,983 shares issuable upon exercise of warrants issued to the financial advisor of the transaction that closed on June 30,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133,213 shares issuable upon exercise of common stock purchase of 3i, LP warrants issued on August 19,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52,965 shares issuable upon exercise of warrants issued to the financial advisor of 3i, LP of the transaction that closed on August 19,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151,378 shares issuable upon exercise of common stock purchase of 3i, LP warrants issued on October 8,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60,303 shares issuable upon exercise of warrants issued to the financial advisor of 3i, LP of the transaction that closed on October 8,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141,286 shares issuable upon exercise of common stock purchase of 3i, LP warrants issued on February 13, 2026, with an exercise price of $3.303 as per exercise price adjustment and reset as of June 4, 2026; and</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56,295 shares issuable upon exercise of warrants issued to the financial advisor of 3i, LP of the transaction that closed on February 13, 2026 with an exercise price of $3.303 as per exercise price adjustment and reset as of June 4, 2026.</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Except as otherwise indicated, all information in this prospectus supplement assumes no exercise by the underwriters of their option to purchase additional shares of our Class A common stock and no exercise of the pre-funded warrants that we are offering in this offering in lieu of Common Stock to certain investors.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m_005"/>
      <w:bookmarkEnd w:id="7"/>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review the risks and uncertainties described below and under the section titled “Risk Factors” in our most recent Annual Report on Form 10-K and any subsequent Quarterly Reports on Form 10-Q or Current Reports on Form 8-K we file after the date of this prospectus supplement and the accompanying prospectus, and all other information contained or incorporated by reference into this prospectus supplement and the accompanying prospectus, as updated by our subsequent filings under the Exchange Act, before acquiring any of such securities. The occurrence of any of these risks might cause you to lose all or part of your investment in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not use them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of this offering, together with our existing cash and cash equivalents for working capital and other general corporate purposes, including sales and marketing activities, product development and capital expenditures. The failure by our management to apply these funds effectively could harm our business. Pending their use, we may invest the net proceeds from this offering in short- and intermediate- 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Common Stock may be adversely affected by the future issuance and sale of additional shares of our Class A Common Stock or by our announcement that such issuances and sales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stock currently outstanding consists of our Class A Common Stock and Class B common stock. In addition, the applicable conversion rates for certain of our warrants may be adjusted based on sales of Class A Common Stock in this offering based on applicable anti-dilution provisions, which may lead to the issuance of additional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shares of Class A Common Stock may be sold in the market and will be freely tradeable, except for any shares held by our “affiliates,” as that term is defined in Rule 144 under the Securities Act. We cannot predict the size of future issuances or sales of shares of our Class A Common Stock, including those made in connection with future acquisitions or capital raising activities, or the effect, if any, that such issuances or sales may have on the market price of our Class A Common Stock. The issuance and sale of substantial amounts of shares of our Class A Common Stock or announcement that such issuances and sales may occur, could adversely affect the market price of our Class A Common Stock. If there are more shares of Class A Common Stock offered for sale than buyers are willing to purchase, then the market price of our Class A Common Stock may decline to a market price at which buyers are willing to purchase the offered shares of Class A Common Stock and sellers remain willing to sell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sales of stock by any of our executive officers or directors could have a material adverse effect on the trading price of our Class A Common Stock.</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our Class A Common Stock or instruments convertible or exercisable into our Class A Common Stock may materially and adversely affect the price of our Class A Common Stock and cause dilution to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raised capital by issuing common stock, preferred stock and warrants in various offerings because no other reasonable sources of capital were available. These offerings of common stock, preferred stock and warrants have materially and adversely affected the prevailing market prices of our Class A Common Stock and caused significant dilution to our stockholders. We have also previously raised capital through the issuance of convertible notes, none of which are currently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raise capital through offerings of common stock, preferred stock, warrants and convertible debt in the future. We may obtain additional funds through public or private debt or equity financings, subject to certain limitations. If we issue additional shares of Class A Common Stock or instruments convertible or exercisable into Class A Common Stock, it may materially and adversely affect the price of our Class A Common Stock. In addition, the exercise and/or conversion price, as applicable, of some or all of our warrants and/or convertible notes, as applicable, may dilute the ownership interests of our stockholders, and any sales in the public market of any of our Class A Common Stock issuable upon such conversion or exercise could adversely affect prevailing market prices of our Class A Common Stock. In addition, the applicable conversion rates for certain of our warrants may be adjusted based on sales of Class A Common Stock in this offering based on applicable anti-dilution provisions, which may lead to the issuance of additional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shares of our Class A Common Stock or pre-funded warrants sold in this offering, you may incur immediate and substantial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public offering price per share in this offering may exceed the pro-forma as adjusted net tangible book value per share of our outstanding Class A Common Stock. After giving effect to an assumed sale of shares of Class A Common Stock in the aggregate amount of $[  ] at an assumed public offering price of $[  ] per share, and after deducting the commissions and estimated offering expenses payable by us, you would incur immediate and substantial dilution in the amount of $[  ]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this offering, subject to market conditions and other factors, we may pursue additional equity financings in the future, including future public offerings or future private placements of equity securities or securities convertible into or exchangeable for equity securities at prices that may be higher or lower than the price per share of common stock paid by you in this offering. Further, the exercise of outstanding options or warrants could result in further dilution to investors and any additional shares issued in connection with acquisitions will result in dilution to investors. In addition, the market price of our common stock could fall as a result of resales of any of these shares of common stock due to an increased number of shares available for sale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may be thinly traded, highly volatile and could fluctuate widely in price in response to various factors, many of which are beyond our control, including the following:</w:t>
      </w:r>
    </w:p>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85"/>
        <w:gridCol w:w="447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and unpredictability of our sales cycle;</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85"/>
        <w:gridCol w:w="489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physical security and technology industries;</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185"/>
        <w:gridCol w:w="26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future competition;</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85"/>
        <w:gridCol w:w="339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85"/>
        <w:gridCol w:w="55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sales of our Class A Common Stock and other securities;</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business plan;</w:t>
            </w:r>
          </w:p>
        </w:tc>
      </w:tr>
    </w:tbl>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185"/>
        <w:gridCol w:w="377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that fall below expectations;</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185"/>
        <w:gridCol w:w="27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strategic relationship;</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185"/>
        <w:gridCol w:w="354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access to working capital funds;</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85"/>
        <w:gridCol w:w="336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other external factors;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threat of terrorism, geopolitical tensions, and general disruptions in the global economy, including the impacts of military action, financial and economic sanctions, and increasing geopolitical tensions related to the ongoing conflicts between Russia and Ukraine and Israel and its surrounding areas.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markets have from time-to-time experienced significant price and volume fluctuations that are unrelated to the operating performance of particular companies. These market fluctuations may also materially and adversely affect the market price of our Class A Common Stock. As a result, you may be unable to resell your shares at the desired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existing stockholders, restrict our operations or require us to relinquish rights to our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stockholders may be diluted, and the terms of such securities may include liquidation or other preferences that adversely affect your rights 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raise additional capital through debt financing, it 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the pre-funded warrants being offered by us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pre-funded warrants being offered in this offering, and we do not expect a market to develop. In addition, we do not intend to apply to list the pre-funded warrants on any securities exchange or other nationally recognized trading system, including The Nasdaq Capital Market.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Except for the right to participate in certain dividends and distributions, holders of pre-funded warrants purchased in this offering will have no rights as common stockholders until such holders exercise their pre-funded warrants and acquire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holders of pre-funded warrants acquire shares of our Common Stock upon exercise of such warrants, except for the right to participate in certain dividends and distributions, such holders will have no rights with respect to the shares of our Common Stock underlying such warrants. Upon exercise of the pre-funded warrants, the holders thereof will be entitled to exercise the rights of common stockholders only as to matters for which the record date occurs after the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Each pre-funded warrant may be exercised solely by means of a cashless exercise and we will not receive any additional funds upon the exercise of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will be exercisable from the date of issuance until fully exercised and may be exercised solely by means of a cashless exercise, meaning that the holder will not pay a cash purchase price upon exercise, but instead will receive upon such exercise the net number of shares of our Common Stock determined according to the formula set forth in the pre-funded warrant. Accordingly, we will not receive any additional funds upon the exercise of such pre-funded warrants.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holders or beneficial holders of our Common Stock may not be permitted to exercise pre-funded warrants that they 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pre-funded warrant will not be entitled to exercise any portion of any pre-funded warrant, which, upon giving effect to such exercise, would cause (i) the aggregate number of shares of our Common Stock beneficially owned by the holder (together with its affiliates) to exceed 4.99% of the number of shares of our Common Stock outstanding immediately after giving effect to the exercise, or (ii) the combined voting power of our securities beneficially owned by the holder (together with its affiliates) to exceed 4.99% of the combined voting power of all of our securities then outstanding immediately after giving effect to the exercise, as such percentage ownership is determined in accordance with the terms of the pre-funded warrants, unless such percentage is increased upon at least 61 days’ prior notice, but not in excess of 19.99%.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 To regain compliance with the Minimum Bid Price Requirement, we effected a reverse stock split on September 19, 2024, July 8, 2025, and May 8, 2026 (the “May 2026 Reverse Stock Split”). Following the May 2026 Reverse Stock Split, the bid price of our Class A Common Stock surpassed $1.00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reverse split in September and the 1-for-10 reverse split in July,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m_006"/>
      <w:bookmarkEnd w:id="8"/>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net proceeds from this offering will be approximately $[  ] million, after deducting estimated offering expenses payable by us. We will not receive any additional proceeds upon the exercise of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working capital and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or pre-funded warrants, your interest will be diluted immediately to the extent of the difference between the public offering price per share or pre-funded warrant, as applicable, and the adjusted net tangible book value per share of our Common Stock after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on March 31, 2026 was approximately ($21.6) million, or ($24.94) per share. “Net tangible book value” is total assets minus the sum of liabilities and intangible assets. “Net tangible book value per share” is net tangible book value divided by the total number of shares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our sale of [*] shares of our Common Stock at a public offering price of $[*] per share and pre-funded warrants to purchase [*] shares of our Common Stock at the public offering price of $[*] per pre-funded warrant, including shares of Common Stock issuable upon exercise of the pre-funded warrants but excluding any resulting accounting associated therewith, excluding the exercise of the underwriter’s option to purchase additional shares, and after deducting underwriting discounts, commissions and estimated offering expenses payable by us, our pro forma net tangible book value as of March 31, 2026 would have been $[*], or $[*] per share. This represents an immediate increase in net tangible book value of $[*] per share to our existing stockholders and an immediate dilution of $[*] per share to investors participating in this offering. The following table illustrates this dilution per share to investors participating in this offering:</w:t>
      </w:r>
    </w:p>
    <w:p>
      <w:pPr>
        <w:pStyle w:val="TextBody"/>
        <w:bidi w:val="0"/>
        <w:spacing w:before="0" w:after="0"/>
        <w:ind w:left="0" w:right="0" w:firstLine="72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5840"/>
        <w:gridCol w:w="60"/>
        <w:gridCol w:w="140"/>
        <w:gridCol w:w="290"/>
        <w:gridCol w:w="60"/>
        <w:gridCol w:w="60"/>
        <w:gridCol w:w="140"/>
        <w:gridCol w:w="290"/>
        <w:gridCol w:w="75"/>
      </w:tblGrid>
      <w:tr>
        <w:trPr/>
        <w:tc>
          <w:tcPr>
            <w:tcW w:w="5840" w:type="dxa"/>
            <w:tcBorders/>
            <w:shd w:fill="CCEEFF" w:val="clear"/>
            <w:vAlign w:val="center"/>
          </w:tcPr>
          <w:p>
            <w:pPr>
              <w:pStyle w:val="TableContents"/>
              <w:bidi w:val="0"/>
              <w:spacing w:before="0" w:after="283"/>
              <w:jc w:val="left"/>
              <w:rPr/>
            </w:pPr>
            <w:r>
              <w:rPr/>
              <w:t>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pPr>
            <w:r>
              <w:rPr/>
              <w:t>Net tangible book value per share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2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Increase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pPr>
            <w:r>
              <w:rPr/>
              <w:t>Pro forma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Dilution per share to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9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867,355 shares of our Common Stock outstanding as of March 31, 2026 and assumes the full exercise of the pre-funded warrants sold in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of our outstanding options or warrants are exercised, we grant additional options or other awards under our stock incentive plan or issue additional warrants, or we issue additional shares of Common Stock in the future, there may be further 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amounts in the table above assume no exercise by the underwriter of its option to purchase additional shares. If the underwriter exercises its option to purchase shares of our Common Stock in full, the pro forma net tangible book value per share after this offering would be approximately $[*] per share, representing an increase in net tangible book value per share attributable to this offering of approximately $[*] and dilution in net tangible book value per share to investors in this offering of approximately $[*].</w:t>
      </w:r>
    </w:p>
    <w:p>
      <w:pPr>
        <w:pStyle w:val="TextBody"/>
        <w:bidi w:val="0"/>
        <w:spacing w:before="0" w:after="0"/>
        <w:ind w:left="0" w:right="0" w:firstLine="72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m_007"/>
      <w:bookmarkEnd w:id="9"/>
      <w:r>
        <w:rPr>
          <w:rFonts w:ascii="Times New Roman;Times;Serif" w:hAnsi="Times New Roman;Times;Serif"/>
          <w:b/>
          <w:i w:val="false"/>
          <w:caps w:val="false"/>
          <w:smallCaps w:val="false"/>
          <w:sz w:val="20"/>
        </w:rPr>
        <w:t>DESCRIPTION OF THE SECURITIES WE ARE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terms and conditions of the common stock and pre-funded warrants being offered in this offering. The following description is subject in all respects to the provisions contained in instruments governing the applicable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common stock are described under the heading “Description of Securities to be Registered”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issued as individual warrant agreements to the investors that elect to purchase pre-funded warrants. The form of pre-funded warrant will be filed as an exhibit to a Current Report on Form 8-K that we will file with the SEC in connection with this offering and will be incorporated by reference into the registration statement of which this prospectus supplement forms a part. Prospective investors should carefully review the terms and provisions of the form of pre-funded warrant for a complete description of the terms and conditions of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not expire.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exercisable at any time between their original issuance and their expiration. The pre-funded warrants will be exercisable, at the option of each holder, in whole or in part by delivering to us a duly executed exercise notice, in which the holder would receive upon such exercise the net number of shares of our common stock determined according to the formula set forth in the pre-funded warrant. No fractional shares of Common Stock will be issued in connection with the exercise of a pre-funded warrant. As to any fraction of a share the holder would otherwise be entitled to purchase upon exercise of the warrant,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also be exercisable on a “cashless exercise” basis under which the holder will receive upon such exercise a net number of common shares determined according to a formula set forth in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pre-funded warrants, we may not effect the exercise of any pre-funded warrant, and a holder will not be entitled to exercise any portion of any pre-funded warrant, which, upon giving effect to such exercise, would cause (i) the aggregate number of shares of our Class A Common Stock beneficially owned by the holder (together with its affiliates and certain related persons) to exceed 4.99% of the number of shares of our Class A Common Stock outstanding immediately after giving effect to the exercise, or (ii) the combined voting power of our securities beneficially owned by the holder (together with its affiliates and certain related persons) to exceed 4.99% of the combined voting power of all of our securities then outstanding immediately after giving effect to the exercise, as such percentage ownership is determined in accordance with the terms of the pre-funded warrants. However, any holder may increase or decrease such percentage to any other percentage not in excess of 19.99% upon at least 61 days’ prior notice from the holder to us.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per whole share of our Class A Common Stock purchasable upon the exercise of the pre-funded warrants is $0.00001 per share of Class A Common Stock. The exercise price of the pre-funded warrants and the number of shares of our Class A Common Stock issuable upon exercise of the pre-funded warrants is subject to appropriate adjustment in the event of certain stock dividends and distributions, stock splits, stock combinations, reclassifications or similar events affecting our Class A Common Stock. The exercise price will not be adjusted below the par value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the pre-funded warrants may be offered for sale, sold, transferred or assigned without our consent. The pre-funded warrants will be held in definitive form by the warrant agent. The ownership of the pre-funded warrants and any transfers of the pre-funded warrants will be registered in a warrant register maintained by the warrant agent. We will initially act as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pre-funded warrants, and we do not plan on applying to list the pre-funded warrants on the Nasdaq Capital Market, any other national securities exchange or any other nationally recognized trading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initially serve as the warrant agent under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a fundamental transaction (as described in the pre-funded warrants, and generally including any reorganization, recapitalization or reclassification of our Class A Common Stock, the sale, transfer or other disposition of all or substantially all of our assets, our consolidation or merger with or into another person in which we are not the surviving entity, the acquisition of more than 50% of our outstanding Class A Common Stock, or any person or group becoming the beneficial owner of 50% of the voting power of our outstanding Class A Common Stock), the holders of the pre-funded warrants will be entitled to receive, upon exercise of the pre-funded warrants, the same kind and amount of securities, cash or other property that such holders would have received had they exercised the pre-funded warrants immediately prior to such fundamental transaction, without regard to any limitations on exercise contained in the pre-funded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rights 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by virtue of such holder’s ownership of shares of our Class A Common Stock, and except for the right to participate in certain dividends and distributions, the holder of a pre-funded warrant does not have the rights or privileges of a holder of our Class A Common Stock, including any voting rights, until such holder exercises the pre-funded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Waivers and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term of the pre-funded warrant may be amended or waived without the written consent of the holder of such pre-funded warrant.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m_008"/>
      <w:bookmarkEnd w:id="10"/>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as well as our capitalization, as of March 31, 2026, as follows:</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 actual basis;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as adjusted basis to give further effect to the issuance and sale of up to [  ] shares of Common Stock in this offering based at an offering price of $[  ] per Share for net proceeds of approximately $[  ] million, after deducting estimated offering expenses payable by us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following table should be read in conjunction with, and is qualified in its entirety by, reference to our audited financial statements and the notes thereto incorporated by reference into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03"/>
        <w:gridCol w:w="60"/>
        <w:gridCol w:w="140"/>
        <w:gridCol w:w="875"/>
        <w:gridCol w:w="95"/>
        <w:gridCol w:w="60"/>
        <w:gridCol w:w="146"/>
        <w:gridCol w:w="915"/>
        <w:gridCol w:w="111"/>
      </w:tblGrid>
      <w:tr>
        <w:trPr/>
        <w:tc>
          <w:tcPr>
            <w:tcW w:w="7803" w:type="dxa"/>
            <w:tcBorders>
              <w:bottom w:val="single" w:sz="8" w:space="0" w:color="000000"/>
            </w:tcBorders>
            <w:vAlign w:val="center"/>
          </w:tcPr>
          <w:p>
            <w:pPr>
              <w:pStyle w:val="TableContents"/>
              <w:bidi w:val="0"/>
              <w:spacing w:before="0" w:after="283"/>
              <w:jc w:val="left"/>
              <w:rPr>
                <w:i/>
              </w:rPr>
            </w:pPr>
            <w:r>
              <w:rPr>
                <w:i/>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bottom w:val="single" w:sz="8" w:space="0" w:color="000000"/>
            </w:tcBorders>
            <w:vAlign w:val="center"/>
          </w:tcPr>
          <w:p>
            <w:pPr>
              <w:pStyle w:val="TableContents"/>
              <w:bidi w:val="0"/>
              <w:spacing w:before="0" w:after="283"/>
              <w:jc w:val="center"/>
              <w:rPr>
                <w:b/>
              </w:rPr>
            </w:pPr>
            <w:r>
              <w:rPr>
                <w:b/>
              </w:rPr>
              <w:t>Actual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1" w:type="dxa"/>
            <w:gridSpan w:val="2"/>
            <w:tcBorders>
              <w:bottom w:val="single" w:sz="8" w:space="0" w:color="000000"/>
            </w:tcBorders>
            <w:vAlign w:val="center"/>
          </w:tcPr>
          <w:p>
            <w:pPr>
              <w:pStyle w:val="TableContents"/>
              <w:bidi w:val="0"/>
              <w:spacing w:before="0" w:after="283"/>
              <w:jc w:val="center"/>
              <w:rPr>
                <w:b/>
              </w:rPr>
            </w:pPr>
            <w:r>
              <w:rPr>
                <w:b/>
              </w:rPr>
              <w:t>As Adjusted</w:t>
            </w:r>
          </w:p>
        </w:tc>
        <w:tc>
          <w:tcPr>
            <w:tcW w:w="111" w:type="dxa"/>
            <w:tcBorders/>
            <w:tcMar>
              <w:bottom w:w="0" w:type="dxa"/>
            </w:tcMar>
            <w:vAlign w:val="center"/>
          </w:tcPr>
          <w:p>
            <w:pPr>
              <w:pStyle w:val="TableContents"/>
              <w:bidi w:val="0"/>
              <w:spacing w:before="0" w:after="283"/>
              <w:jc w:val="left"/>
              <w:rPr/>
            </w:pPr>
            <w:r>
              <w:rPr/>
              <w:t> </w:t>
            </w:r>
          </w:p>
        </w:tc>
      </w:tr>
      <w:tr>
        <w:trPr/>
        <w:tc>
          <w:tcPr>
            <w:tcW w:w="7803" w:type="dxa"/>
            <w:tcBorders/>
            <w:shd w:fill="CCEEFF" w:val="clear"/>
            <w:tcMar>
              <w:bottom w:w="0" w:type="dxa"/>
            </w:tcMar>
            <w:vAlign w:val="center"/>
          </w:tcPr>
          <w:p>
            <w:pPr>
              <w:pStyle w:val="TableContents"/>
              <w:bidi w:val="0"/>
              <w:spacing w:before="0" w:after="283"/>
              <w:jc w:val="left"/>
              <w:rPr/>
            </w:pPr>
            <w:r>
              <w:rPr/>
              <w:t>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75" w:type="dxa"/>
            <w:tcBorders>
              <w:bottom w:val="single" w:sz="8" w:space="0" w:color="000000"/>
            </w:tcBorders>
            <w:shd w:fill="CCEEFF" w:val="clear"/>
            <w:vAlign w:val="center"/>
          </w:tcPr>
          <w:p>
            <w:pPr>
              <w:pStyle w:val="TableContents"/>
              <w:bidi w:val="0"/>
              <w:spacing w:before="0" w:after="283"/>
              <w:jc w:val="right"/>
              <w:rPr/>
            </w:pPr>
            <w:r>
              <w:rPr/>
              <w:t>137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w:t>
            </w:r>
          </w:p>
        </w:tc>
        <w:tc>
          <w:tcPr>
            <w:tcW w:w="915" w:type="dxa"/>
            <w:tcBorders>
              <w:bottom w:val="single" w:sz="8" w:space="0" w:color="000000"/>
            </w:tcBorders>
            <w:shd w:fill="CCEEFF" w:val="clear"/>
            <w:vAlign w:val="center"/>
          </w:tcPr>
          <w:p>
            <w:pPr>
              <w:pStyle w:val="TableContents"/>
              <w:bidi w:val="0"/>
              <w:spacing w:before="0" w:after="283"/>
              <w:jc w:val="right"/>
              <w:rPr/>
            </w:pPr>
            <w:r>
              <w:rPr/>
              <w:t>137</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803" w:type="dxa"/>
            <w:tcBorders/>
            <w:shd w:fill="FFFFFF" w:val="clear"/>
            <w:tcMar>
              <w:bottom w:w="0" w:type="dxa"/>
            </w:tcMar>
            <w:vAlign w:val="center"/>
          </w:tcPr>
          <w:p>
            <w:pPr>
              <w:pStyle w:val="TableContents"/>
              <w:bidi w:val="0"/>
              <w:spacing w:before="0" w:after="283"/>
              <w:jc w:val="left"/>
              <w:rPr/>
            </w:pPr>
            <w:r>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875" w:type="dxa"/>
            <w:tcBorders>
              <w:bottom w:val="double" w:sz="6" w:space="0" w:color="000000"/>
            </w:tcBorders>
            <w:shd w:fill="FFFFFF" w:val="clear"/>
            <w:vAlign w:val="center"/>
          </w:tcPr>
          <w:p>
            <w:pPr>
              <w:pStyle w:val="TableContents"/>
              <w:bidi w:val="0"/>
              <w:spacing w:before="0" w:after="283"/>
              <w:jc w:val="right"/>
              <w:rPr/>
            </w:pPr>
            <w:r>
              <w:rPr/>
              <w:t>23,377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vAlign w:val="center"/>
          </w:tcPr>
          <w:p>
            <w:pPr>
              <w:pStyle w:val="TableContents"/>
              <w:bidi w:val="0"/>
              <w:spacing w:before="0" w:after="283"/>
              <w:jc w:val="left"/>
              <w:rPr/>
            </w:pPr>
            <w:r>
              <w:rPr/>
              <w:t>$</w:t>
            </w:r>
          </w:p>
        </w:tc>
        <w:tc>
          <w:tcPr>
            <w:tcW w:w="915" w:type="dxa"/>
            <w:tcBorders>
              <w:bottom w:val="double" w:sz="6" w:space="0" w:color="000000"/>
            </w:tcBorders>
            <w:shd w:fill="FFFFFF" w:val="clear"/>
            <w:vAlign w:val="center"/>
          </w:tcPr>
          <w:p>
            <w:pPr>
              <w:pStyle w:val="TableContents"/>
              <w:bidi w:val="0"/>
              <w:spacing w:before="0" w:after="283"/>
              <w:jc w:val="right"/>
              <w:rPr/>
            </w:pPr>
            <w:r>
              <w:rPr/>
              <w:t>23,377</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803" w:type="dxa"/>
            <w:tcBorders/>
            <w:shd w:fill="CCEEFF" w:val="clear"/>
            <w:tcMar>
              <w:bottom w:w="0" w:type="dxa"/>
            </w:tcMar>
            <w:vAlign w:val="center"/>
          </w:tcPr>
          <w:p>
            <w:pPr>
              <w:pStyle w:val="TableContents"/>
              <w:bidi w:val="0"/>
              <w:spacing w:before="0" w:after="283"/>
              <w:jc w:val="left"/>
              <w:rPr/>
            </w:pPr>
            <w:r>
              <w:rPr/>
              <w:t>Stockholders’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803" w:type="dxa"/>
            <w:tcBorders/>
            <w:shd w:fill="FFFFFF" w:val="clear"/>
            <w:tcMar>
              <w:bottom w:w="0" w:type="dxa"/>
            </w:tcMar>
            <w:vAlign w:val="center"/>
          </w:tcPr>
          <w:p>
            <w:pPr>
              <w:pStyle w:val="TableContents"/>
              <w:bidi w:val="0"/>
              <w:spacing w:before="0" w:after="283"/>
              <w:jc w:val="left"/>
              <w:rPr/>
            </w:pPr>
            <w:r>
              <w:rPr/>
              <w:t>Preferred stock, $0.0001 par value, 75,000,000 shares authorized, 0 shares issued and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915" w:type="dxa"/>
            <w:tcBorders/>
            <w:shd w:fill="FFFFFF" w:val="clear"/>
            <w:tcMar>
              <w:bottom w:w="0" w:type="dxa"/>
            </w:tcM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803" w:type="dxa"/>
            <w:tcBorders/>
            <w:shd w:fill="CCEEFF" w:val="clear"/>
            <w:tcMar>
              <w:bottom w:w="0" w:type="dxa"/>
            </w:tcMar>
            <w:vAlign w:val="center"/>
          </w:tcPr>
          <w:p>
            <w:pPr>
              <w:pStyle w:val="TableContents"/>
              <w:bidi w:val="0"/>
              <w:spacing w:before="0" w:after="283"/>
              <w:jc w:val="left"/>
              <w:rPr/>
            </w:pPr>
            <w:r>
              <w:rPr/>
              <w:t>Common stock, $0.0001 par value, 275,000,000 shares (250,000,000 Class A Common Stock and 25,000,000 Class B Common Stock) authorized; 867,355 shares (855,799 Class A Common Stock and 11,556 Class B Common Stock) issued and outstanding, actual, and 867,355 shares (855,799 Class A Common Stock and 11,556 Class B Common Stock issued and outstanding, as adjusted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915"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803" w:type="dxa"/>
            <w:tcBorders/>
            <w:shd w:fill="FFFFFF" w:val="clear"/>
            <w:tcMar>
              <w:bottom w:w="0" w:type="dxa"/>
            </w:tcMar>
            <w:vAlign w:val="center"/>
          </w:tcPr>
          <w:p>
            <w:pPr>
              <w:pStyle w:val="TableContents"/>
              <w:bidi w:val="0"/>
              <w:spacing w:before="0" w:after="283"/>
              <w:jc w:val="left"/>
              <w:rPr/>
            </w:pPr>
            <w:r>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jc w:val="right"/>
              <w:rPr/>
            </w:pPr>
            <w:r>
              <w:rPr/>
              <w:t>117,346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915" w:type="dxa"/>
            <w:tcBorders/>
            <w:shd w:fill="FFFFFF" w:val="clear"/>
            <w:tcMar>
              <w:bottom w:w="0" w:type="dxa"/>
            </w:tcMar>
            <w:vAlign w:val="center"/>
          </w:tcPr>
          <w:p>
            <w:pPr>
              <w:pStyle w:val="TableContents"/>
              <w:bidi w:val="0"/>
              <w:spacing w:before="0" w:after="283"/>
              <w:jc w:val="right"/>
              <w:rPr/>
            </w:pPr>
            <w:r>
              <w:rPr/>
              <w:t>117,346</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803" w:type="dxa"/>
            <w:tcBorders/>
            <w:shd w:fill="CCEEFF" w:val="clear"/>
            <w:tcMar>
              <w:bottom w:w="0" w:type="dxa"/>
            </w:tcMar>
            <w:vAlign w:val="center"/>
          </w:tcPr>
          <w:p>
            <w:pPr>
              <w:pStyle w:val="TableContents"/>
              <w:bidi w:val="0"/>
              <w:spacing w:before="0" w:after="283"/>
              <w:jc w:val="left"/>
              <w:rPr/>
            </w:pPr>
            <w:r>
              <w:rPr/>
              <w:t>Accumulated other comprehensive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75" w:type="dxa"/>
            <w:tcBorders/>
            <w:shd w:fill="CCEEFF" w:val="clear"/>
            <w:tcMar>
              <w:bottom w:w="0" w:type="dxa"/>
            </w:tcMar>
            <w:vAlign w:val="center"/>
          </w:tcPr>
          <w:p>
            <w:pPr>
              <w:pStyle w:val="TableContents"/>
              <w:bidi w:val="0"/>
              <w:spacing w:before="0" w:after="283"/>
              <w:jc w:val="right"/>
              <w:rPr/>
            </w:pPr>
            <w:r>
              <w:rPr/>
              <w:t>(60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15" w:type="dxa"/>
            <w:tcBorders/>
            <w:shd w:fill="CCEEFF" w:val="clear"/>
            <w:tcMar>
              <w:bottom w:w="0" w:type="dxa"/>
            </w:tcMar>
            <w:vAlign w:val="center"/>
          </w:tcPr>
          <w:p>
            <w:pPr>
              <w:pStyle w:val="TableContents"/>
              <w:bidi w:val="0"/>
              <w:spacing w:before="0" w:after="283"/>
              <w:jc w:val="right"/>
              <w:rPr/>
            </w:pPr>
            <w:r>
              <w:rPr/>
              <w:t>(60</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803" w:type="dxa"/>
            <w:tcBorders/>
            <w:shd w:fill="FFFFFF" w:val="clear"/>
            <w:tcMar>
              <w:bottom w:w="0" w:type="dxa"/>
            </w:tcMar>
            <w:vAlign w:val="center"/>
          </w:tcPr>
          <w:p>
            <w:pPr>
              <w:pStyle w:val="TableContents"/>
              <w:bidi w:val="0"/>
              <w:spacing w:before="0" w:after="283"/>
              <w:jc w:val="left"/>
              <w:rPr/>
            </w:pPr>
            <w:r>
              <w:rPr/>
              <w:t>Accumulated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875" w:type="dxa"/>
            <w:tcBorders>
              <w:bottom w:val="single" w:sz="8" w:space="0" w:color="000000"/>
            </w:tcBorders>
            <w:shd w:fill="FFFFFF" w:val="clear"/>
            <w:vAlign w:val="center"/>
          </w:tcPr>
          <w:p>
            <w:pPr>
              <w:pStyle w:val="TableContents"/>
              <w:bidi w:val="0"/>
              <w:spacing w:before="0" w:after="283"/>
              <w:jc w:val="right"/>
              <w:rPr/>
            </w:pPr>
            <w:r>
              <w:rPr/>
              <w:t>(109,189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FFFFFF" w:val="clear"/>
            <w:vAlign w:val="center"/>
          </w:tcPr>
          <w:p>
            <w:pPr>
              <w:pStyle w:val="TableContents"/>
              <w:bidi w:val="0"/>
              <w:spacing w:before="0" w:after="283"/>
              <w:jc w:val="left"/>
              <w:rPr/>
            </w:pPr>
            <w:r>
              <w:rPr/>
              <w:t>$</w:t>
            </w:r>
          </w:p>
        </w:tc>
        <w:tc>
          <w:tcPr>
            <w:tcW w:w="915" w:type="dxa"/>
            <w:tcBorders>
              <w:bottom w:val="single" w:sz="8" w:space="0" w:color="000000"/>
            </w:tcBorders>
            <w:shd w:fill="FFFFFF" w:val="clear"/>
            <w:vAlign w:val="center"/>
          </w:tcPr>
          <w:p>
            <w:pPr>
              <w:pStyle w:val="TableContents"/>
              <w:bidi w:val="0"/>
              <w:spacing w:before="0" w:after="283"/>
              <w:jc w:val="right"/>
              <w:rPr/>
            </w:pPr>
            <w:r>
              <w:rPr/>
              <w:t>(109,189</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803" w:type="dxa"/>
            <w:tcBorders/>
            <w:shd w:fill="CCEEFF" w:val="clear"/>
            <w:tcMar>
              <w:bottom w:w="0" w:type="dxa"/>
            </w:tcMar>
            <w:vAlign w:val="center"/>
          </w:tcPr>
          <w:p>
            <w:pPr>
              <w:pStyle w:val="TableContents"/>
              <w:bidi w:val="0"/>
              <w:spacing w:before="0" w:after="283"/>
              <w:jc w:val="left"/>
              <w:rPr/>
            </w:pPr>
            <w:r>
              <w:rPr/>
              <w:t>Total stockholders’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75" w:type="dxa"/>
            <w:tcBorders>
              <w:bottom w:val="double" w:sz="6" w:space="0" w:color="000000"/>
            </w:tcBorders>
            <w:shd w:fill="CCEEFF" w:val="clear"/>
            <w:vAlign w:val="center"/>
          </w:tcPr>
          <w:p>
            <w:pPr>
              <w:pStyle w:val="TableContents"/>
              <w:bidi w:val="0"/>
              <w:spacing w:before="0" w:after="283"/>
              <w:jc w:val="right"/>
              <w:rPr/>
            </w:pPr>
            <w:r>
              <w:rPr/>
              <w:t>8,097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vAlign w:val="center"/>
          </w:tcPr>
          <w:p>
            <w:pPr>
              <w:pStyle w:val="TableContents"/>
              <w:bidi w:val="0"/>
              <w:spacing w:before="0" w:after="283"/>
              <w:jc w:val="left"/>
              <w:rPr/>
            </w:pPr>
            <w:r>
              <w:rPr/>
              <w:t>$</w:t>
            </w:r>
          </w:p>
        </w:tc>
        <w:tc>
          <w:tcPr>
            <w:tcW w:w="915" w:type="dxa"/>
            <w:tcBorders>
              <w:bottom w:val="double" w:sz="6" w:space="0" w:color="000000"/>
            </w:tcBorders>
            <w:shd w:fill="CCEEFF" w:val="clear"/>
            <w:vAlign w:val="center"/>
          </w:tcPr>
          <w:p>
            <w:pPr>
              <w:pStyle w:val="TableContents"/>
              <w:bidi w:val="0"/>
              <w:spacing w:before="0" w:after="283"/>
              <w:jc w:val="right"/>
              <w:rPr/>
            </w:pPr>
            <w:r>
              <w:rPr/>
              <w:t>8,097</w:t>
            </w:r>
          </w:p>
        </w:tc>
        <w:tc>
          <w:tcPr>
            <w:tcW w:w="11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to be outstanding immediately after giving effect to this offering as shown above excludes the Additional Securities.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Rma_001"/>
      <w:bookmarkEnd w:id="11"/>
      <w:r>
        <w:rPr>
          <w:rFonts w:ascii="Times New Roman;Times;Serif" w:hAnsi="Times New Roman;Times;Serif"/>
          <w:b/>
          <w:i w:val="false"/>
          <w:caps w:val="false"/>
          <w:smallCaps w:val="false"/>
          <w:sz w:val="20"/>
        </w:rPr>
        <w:t>UNDERWRITING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underwriting agreement, dated July [  ], 2026, between us and Aegis Capital Corp., (the “Underwriter” or “Aegis”) as the exclusive underwriter of this offering, we have agreed to sell to the Underwriter, and the Underwriter has agreed to purchase from us the number of shares of Class A Common Stock and pre-funded warrants shown opposite its name below:</w:t>
      </w:r>
    </w:p>
    <w:p>
      <w:pPr>
        <w:pStyle w:val="TextBody"/>
        <w:bidi w:val="0"/>
        <w:spacing w:before="0" w:after="0"/>
        <w:ind w:left="0" w:right="0" w:hanging="0"/>
        <w:jc w:val="both"/>
        <w:rPr>
          <w:caps w:val="false"/>
          <w:smallCaps w:val="false"/>
        </w:rPr>
      </w:pPr>
      <w:r>
        <w:rPr>
          <w:caps w:val="false"/>
          <w:smallCaps w:val="false"/>
        </w:rPr>
        <w:t> </w:t>
      </w:r>
    </w:p>
    <w:tbl>
      <w:tblPr>
        <w:tblW w:w="5113" w:type="dxa"/>
        <w:jc w:val="left"/>
        <w:tblInd w:w="0" w:type="dxa"/>
        <w:tblLayout w:type="fixed"/>
        <w:tblCellMar>
          <w:top w:w="0" w:type="dxa"/>
          <w:left w:w="0" w:type="dxa"/>
          <w:bottom w:w="28" w:type="dxa"/>
          <w:right w:w="0" w:type="dxa"/>
        </w:tblCellMar>
      </w:tblPr>
      <w:tblGrid>
        <w:gridCol w:w="1925"/>
        <w:gridCol w:w="60"/>
        <w:gridCol w:w="726"/>
        <w:gridCol w:w="1153"/>
        <w:gridCol w:w="60"/>
        <w:gridCol w:w="60"/>
        <w:gridCol w:w="407"/>
        <w:gridCol w:w="647"/>
        <w:gridCol w:w="75"/>
      </w:tblGrid>
      <w:tr>
        <w:trPr/>
        <w:tc>
          <w:tcPr>
            <w:tcW w:w="1925" w:type="dxa"/>
            <w:tcBorders>
              <w:bottom w:val="single" w:sz="8"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Pre-Funded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75" w:type="dxa"/>
            <w:tcBorders/>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Aegis Capital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7" w:type="dxa"/>
            <w:tcBorders/>
            <w:shd w:fill="CCEEFF" w:val="clear"/>
            <w:tcMar>
              <w:bottom w:w="0" w:type="dxa"/>
            </w:tcMar>
            <w:vAlign w:val="center"/>
          </w:tcPr>
          <w:p>
            <w:pPr>
              <w:pStyle w:val="TableContents"/>
              <w:bidi w:val="0"/>
              <w:spacing w:before="0" w:after="283"/>
              <w:jc w:val="left"/>
              <w:rPr/>
            </w:pPr>
            <w:r>
              <w:rPr/>
              <w:t> </w:t>
            </w:r>
          </w:p>
        </w:tc>
        <w:tc>
          <w:tcPr>
            <w:tcW w:w="647"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tcPr>
          <w:p>
            <w:pPr>
              <w:pStyle w:val="TableContents"/>
              <w:bidi w:val="0"/>
              <w:spacing w:before="0" w:after="283"/>
              <w:jc w:val="left"/>
              <w:rPr>
                <w:sz w:val="4"/>
                <w:szCs w:val="4"/>
              </w:rPr>
            </w:pPr>
            <w:r>
              <w:rPr>
                <w:sz w:val="4"/>
                <w:szCs w:val="4"/>
              </w:rPr>
            </w:r>
          </w:p>
        </w:tc>
      </w:tr>
      <w:tr>
        <w:trPr/>
        <w:tc>
          <w:tcPr>
            <w:tcW w:w="192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7" w:type="dxa"/>
            <w:tcBorders/>
            <w:shd w:fill="FFFFFF" w:val="clear"/>
            <w:tcMar>
              <w:bottom w:w="0" w:type="dxa"/>
            </w:tcMar>
            <w:vAlign w:val="center"/>
          </w:tcPr>
          <w:p>
            <w:pPr>
              <w:pStyle w:val="TableContents"/>
              <w:bidi w:val="0"/>
              <w:spacing w:before="0" w:after="283"/>
              <w:jc w:val="left"/>
              <w:rPr/>
            </w:pPr>
            <w:r>
              <w:rPr/>
              <w:t> </w:t>
            </w:r>
          </w:p>
        </w:tc>
        <w:tc>
          <w:tcPr>
            <w:tcW w:w="64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provides that the Underwriter’s obligation to purchase shares of Class A Common Stock and pre-funded warrants on the satisfaction of the conditions contained in the underwriting agreement including:</w:t>
      </w:r>
    </w:p>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05"/>
        <w:gridCol w:w="200"/>
        <w:gridCol w:w="60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made by us to the Underwriter are true;</w:t>
            </w:r>
          </w:p>
        </w:tc>
      </w:tr>
    </w:tbl>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05"/>
        <w:gridCol w:w="200"/>
        <w:gridCol w:w="58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material change in our business or the financial markets; and</w:t>
            </w:r>
          </w:p>
        </w:tc>
      </w:tr>
    </w:tbl>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05"/>
        <w:gridCol w:w="200"/>
        <w:gridCol w:w="49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customary closing documents to the Underwriter.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has agreed to purchase all of the shares of Class A Common Stock or pre-funded warrants offered by this prospectus (other than those covered by the over-allotment option described below), if any are purchased under the 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is offering the shares of Class A Common Stock and pre-funded warrants subject to various conditions and may reject all or part of any order. The Underwriter has advised us that it proposes to offer the shares of Class A Common Stock and pre-funded warrants directly to the public at the public offering price per share that appears on the cover page of this prospectus. After the shares are released for sale to the public, the Underwriter may change the offering price and other selling terms at various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over-allotment option. This option, which is exercisable for 45 days after the closing of this offering, permits the Underwriter to purchase up to an aggregate of [  ] additional shares of Class A Common Stock and/or pre-funded warrants (equal to 15% of the number of securities offered hereby) at the public offering price per share, less underwriting discounts and commissions, solely to cover over-allotments, if any. If the Underwriter exercises this option in whole or in part, then the Underwriter will be severally committed, subject to the conditions described in the underwriting agreement, to purchase the additional shares of Class A Common Stock in proportion to their respective commitments set forth in the prior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Discounts, Commissions and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has advised us that it proposes to offer the shares of Class A Common Stock and pre-funded warrants to the public at the public offering price per share set forth on the cover page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underwriting discounts and commissions and proceeds, before expenses, to us assuming no exercise and full exercise by the Underwriter of its over-allotment option, respectively:</w:t>
      </w:r>
    </w:p>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4460"/>
        <w:gridCol w:w="60"/>
        <w:gridCol w:w="260"/>
        <w:gridCol w:w="780"/>
        <w:gridCol w:w="60"/>
        <w:gridCol w:w="60"/>
        <w:gridCol w:w="153"/>
        <w:gridCol w:w="857"/>
        <w:gridCol w:w="60"/>
        <w:gridCol w:w="60"/>
        <w:gridCol w:w="146"/>
        <w:gridCol w:w="564"/>
        <w:gridCol w:w="60"/>
        <w:gridCol w:w="60"/>
        <w:gridCol w:w="140"/>
        <w:gridCol w:w="480"/>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75"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5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Underwriting discounts and commissions (7%)</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w:t>
            </w:r>
          </w:p>
        </w:tc>
        <w:tc>
          <w:tcPr>
            <w:tcW w:w="7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85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5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5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pay all expenses in connection with the offering, including the following expenses: (a) all filing fees and expenses relating to the registration of the shares with SEC; (b) all FINRA public offering filing fees; (c) all fees and expenses relating to the listing of the Company’s equity or equity-linked securities on an Exchange; (d) all fees, expenses and disbursements relating to the registration or qualification of the shares under the “blue sky” securities laws of such states and other jurisdictions as Aegis may reasonably designate (including, without limitation, all filing and registration fees, and the reasonable fees and disbursements of the Company’s “blue sky” counsel, which will be Aegis’s counsel) unless such filings are not required in connection with the Company’s proposed Exchange listing; (e) any fees for counsel to lead investors in the Offering; (f) all fees, expenses and disbursements relating to the registration, qualification or exemption of the shares under the securities laws of such foreign jurisdictions as Aegis may reasonably designate; (g) the costs of all mailing and printing of the offering documents; (h) transfer and/or stamp taxes, if any, payable upon the transfer of shares from the Company to Aegis; and (i) the fees and expenses of the Company’s accountants; and (j) a maximum of $50,000 for reasonable legal fees and disbursements for the Underwriter’s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expenses of this offering payable by us, not including underwriting discounts and commissions, including amounts for which we agreed to reimburse the Underwriter for certain of its expenses, will be approximately $[  ]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and directors and shareholders holding at least ten percent (10%) of the outstanding Common Stock shall agree in writing, in a form satisfactory to Aegis, subject to certain exceptions, not to sell, transfer or otherwise dispose of any such securities (or underlying securities) of our company for a period of 60 days after the closing of this offering without the express written consent of Aegis, which consent may be given or withheld in the sole discretion of Aegis.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Standstill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without the prior written consent of the Underwriter, we will not, for a period of twenty (20) days after the closing of this offering, subject to certain exceptions, (a) offer, sell, issue, or otherwise transfer or dispose of, directly or indirectly, any equity of our company or any securities convertible into or exercisable or exchangeable for equity of our company; (b) file or caused to be filed any registration statement with the SEC relating to the offering of any equity of our company or any securities convertible into or exercisable or exchangeable for equity of our company; or (c) enter into any agreement or announce the intention to effect any of the actions described in subsections (a) or (b)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Offer, Sale and Distribution of Class A Common Stock and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the websites maintained by one or more underwriters, or selling group members, if any, participating in the offering. The Underwriter may agree to allocate a number of shares of Class A Common Stock and pre-funded warrants to Underwriter and selling group members for sale to their online brokerage account holders. Internet distributions will be allocated by the Underwriter and selling group members that may make Internet distributions on the same basis as other allocations.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Stabilization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Regulation M under the Exchange Act, the Underwriter may engage in activities that stabilize, maintain or otherwise affect the price of our Class A Common Stock, including short sales and purchases to cover positions created by short positions, stabilizing transactions, syndicate covering transactions, penalty bids and passive market making.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positions involve sales by the Underwriter of shares of Class A Common Stock in excess of the number of shares the Underwriter is obligated to purchase, which creates a syndicate short position. The short position may be either a covered short position or a naked short position. In a covered short position, the number of shares involved in the sales made by the Underwriter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 may close out any short position by either exercising their option to purchase additional shares or purchasing shares in the open market.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Stabilizing transactions permit bids to purchase the underlying security as long as the stabilizing bids do not exceed a specific maximum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Syndicate covering transactions involve purchases of our Class A Common Stock in the open market after the distribution has been completed to cover syndicate short positions. In determining the source of shares to close out the short position, the Underwriter will consider, among other things, the price of shares available for purchase in the open market as compared to the price at which they may purchase shares through the Underwriter’s option to purchase additional shares. If the Underwriter sells more shares than could be covered by the Underwriter’s option to purchase additional shares, thereby creating a naked short position, the position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representative to reclaim a selling concession from a syndicate member when the Class A Common Stock originally sold by the syndicate member is purchased in a stabilizing or syndicate covering transaction to cover syndicate short positions.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passive market making, market makers in our Class A Common Stock who are underwriters or prospective underwriters may, subject to limitations, make bids for or purchase our Class A Common Stock until the time, if any, at which a stabilizing bid is made.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activities may have the effect of raising or maintaining the market price of our Class A Common Stock or preventing a decline in the market price of our Class A Common Stock. As a result of these activities, the price of our Class A Common Stock may be higher than the price that might otherwise exist in the open market. These transactions may be effected on the Nasdaq Capital Market or otherwise and, if commenced,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Underwriter makes any representation or prediction as to the direction or magnitude of any effect that the transactions described above may have on the price of our Class A Common Stock. In addition, neither we nor the Underwriter makes any representation that Aegis will engage in these stabilizing transactions or that any transaction, once commenced, will not be discontinued without notice.</w:t>
      </w:r>
    </w:p>
    <w:p>
      <w:pPr>
        <w:pStyle w:val="TextBody"/>
        <w:bidi w:val="0"/>
        <w:spacing w:before="0" w:after="0"/>
        <w:ind w:left="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Aegis, its affiliates, and each person controlling Aegis against any losses, claims, damages, judgments, assessments, costs, and other liabilities, as the same are incurred (including the reasonable fees and expenses of counsel), relating to or arising out of the offering, undertaken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is a full service financial institution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have provided in the past and may in the future provide various investment banking, commercial banking and other financial services for us and our affiliates for which they may in the future receive customary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its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 or otherwise) publish or express independent research views in respect of such assets, securities or instruments and may at any time hold, or recommend to clients that they should acquire, long and/or short positions in such assets, securities and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 July 9, 2026, we entered into an Investment Banking Engagement Letter (the “IB Engagement Letter”) with Aegis pursuant to which Aegis may act as the exclusive investment bank and provider of investment banking advisory services to us.  Under the IB Engagement Letter, Aegis is entitled to receive additional compensation from us upon the occurrence of certain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restrictions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Underwriter that would permit a public offering of the shares offered by this prospectus supplement in any jurisdiction where action for that purpose is required. The shares offered by this prospectus supplement and the accompanying prospectus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shares offered by this prospectus supplement in any jurisdiction in which such an offer or a solicitation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Class A Common Stock is Continental Stock Transfer &amp; Trust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m_009"/>
      <w:bookmarkEnd w:id="12"/>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 New York, New York, will pass upon certain legal matters relating to the issuance and sale of the securities offered hereby on behalf of Banzai International, Inc. Aegis is being represented in connection with this offering by Baker &amp; Hostetler LLP, Los Angeles,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m_010"/>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Banzai International, Inc. as of December 31, 2024 and for the year ended December 31, 2024, before the effects of the retrospective adjustments related to the 1-for-20 reverse stock split of Banzai International, Inc.’s Class A and Class B common stock, effective May 8, 2026, as disclosed in Note 1 to the consolidated financial statements, incorporate by reference into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2025 and for the year ended December 31, 2025 incorporate by reference into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ConnectAndSell, Inc. as of December 31, 2025 and 2024 and for each of the years in the two-year period ended December 31, 2025 have been audited by SingerLewak LLP, independent registered public accounting firm, as stated in their report thereon which report expresses an unqualified opinion and includes an explanatory paragraph related to substantial doubt about ConnectAndSell, Inc.’s ability to continue as a going concern, and are incorporated by reference into this prospectus and in the registration statement in reliance on such report and upon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m_011"/>
      <w:bookmarkEnd w:id="14"/>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reports, proxy statements and other information with the SEC. The SEC maintains a website that contains reports, proxy and information statements and other information about issuers, including us, who file electronically with the SEC. The address of that website is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www.banzai.io. The information on our website, however, is not, and should not be deemed to be, a part of this prospectus supplement or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that we filed with the SEC and does not contain all of the information in the registration statement. The full registration statement may be obtained from the SEC or us, as provided below. Contracts, agreements or other documents are or may be filed as exhibits to the registration statement, or documents incorporated by reference in the registration statement.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h_001"/>
      <w:bookmarkEnd w:id="15"/>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 prospectus, and subsequent information that we file with the SEC will automatically update and supersede that information. Any statement contained in this prospectus supplement, the accompanying prospectus or a previously filed document incorporated by reference will be deemed to be modified or superseded for purposes of this prospectus supplement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incorporate by reference the documents set forth below that have previously been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2025 Annual Report on Form 10-K, filed with the SEC on </w:t>
            </w:r>
            <w:hyperlink r:id="rId2">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for the quarter ended March 31, 2026, filed with the SEC on </w:t>
            </w:r>
            <w:hyperlink r:id="rId3">
              <w:r>
                <w:rPr>
                  <w:rStyle w:val="InternetLink"/>
                  <w:rFonts w:ascii="Times New Roman;Times;Serif" w:hAnsi="Times New Roman;Times;Serif"/>
                  <w:b w:val="false"/>
                  <w:i w:val="false"/>
                  <w:caps w:val="false"/>
                  <w:smallCaps w:val="false"/>
                  <w:sz w:val="20"/>
                </w:rPr>
                <w:t>May 15,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and Form 8-K/A filed with the SEC on, </w:t>
            </w:r>
            <w:hyperlink r:id="rId4">
              <w:r>
                <w:rPr>
                  <w:rStyle w:val="InternetLink"/>
                  <w:rFonts w:ascii="Times New Roman;Times;Serif" w:hAnsi="Times New Roman;Times;Serif"/>
                  <w:b w:val="false"/>
                  <w:i w:val="false"/>
                  <w:caps w:val="false"/>
                  <w:smallCaps w:val="false"/>
                  <w:sz w:val="20"/>
                </w:rPr>
                <w:t>January 15,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February 13,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April 28,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5,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May 6,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18,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filed as </w:t>
            </w:r>
            <w:hyperlink r:id="rId11">
              <w:r>
                <w:rPr>
                  <w:rStyle w:val="InternetLink"/>
                  <w:rFonts w:ascii="Times New Roman;Times;Serif" w:hAnsi="Times New Roman;Times;Serif"/>
                  <w:b w:val="false"/>
                  <w:i w:val="false"/>
                  <w:caps w:val="false"/>
                  <w:smallCaps w:val="false"/>
                  <w:sz w:val="20"/>
                </w:rPr>
                <w:t>Exhibit 4.11</w:t>
              </w:r>
            </w:hyperlink>
            <w:r>
              <w:rPr>
                <w:rFonts w:ascii="Times New Roman;Times;Serif" w:hAnsi="Times New Roman;Times;Serif"/>
                <w:b w:val="false"/>
                <w:i w:val="false"/>
                <w:caps w:val="false"/>
                <w:smallCaps w:val="false"/>
                <w:sz w:val="20"/>
              </w:rPr>
              <w:t xml:space="preserve"> to our Annual Report on </w:t>
            </w:r>
            <w:hyperlink r:id="rId1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filed with the SEC on May 15,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prospectus shall be deemed to incorporate information furnished, but not filed, with the SEC pursuant to Item 2.02 or Item 7.01 of Form 8-K and corresponding information furnished under Item 9.01 of Form 8-K or included as an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br/>
        <w:t>Investor Relations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Suite 250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Washington</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(206) 414-1777</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at prices and on terms that we will determine at the time of each offering, sell Class A common stock, preferred stock, warrants, subscription rights, debt securities, units, or a combination of these securities, for an aggregate offering price of up to $30,000,000. This prospectus describes the general manner in which our securities may be offered using this prospectus. Each time we offer and sell securities, we will provide you with a prospectus supplement that will contain specific information about the terms of that offering.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offer and sell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par value $0.0001 per share (the “Class A common stock”), is currently listed on the Nasdaq Capital Market under the symbol “BNZI”. As of the date of this prospectus, none of the other securities that we may offer by this prospectus is listed on any national securities exchange or automated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22, 2025, the aggregate market value of our Class A common stock held by non-affiliates was $9,192,701, based on 2,425,515 shares of outstanding Class A common stock held by non-affiliates and the closing price of $3.79 on July 22,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I.B.6 of Form S-3, in no event will we sell our securities in a public primary offering with a value exceeding more than one-third of our public float in any 12-month period so long as our public float remains below $75,000,000. We have not offered any securities pursuant to General Instruction I.B.6 of Form S-3 during the 12 calendar months prior to and including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prospectus involve a high degree of risk. See “Risk Factors” beginning on page 2, in addition to Risk Factors contained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 securities directly or through agents or to or through underwriters or dealers. If any agents or underwriters are involved in the sale of the securities their names, and any applicable purchase price, fee, commission, or discount arrangement between or among them, will be set forth, or will be calculable from the information set forth, in an accompanying prospectus supplement. We can sell the securities through agents, underwriters, or dealers only with delivery of a prospectus supplement describing the method and terms of the offering of such securities.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dated August 8,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toc_002"/>
      <w:bookmarkEnd w:id="16"/>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90"/>
        <w:gridCol w:w="455"/>
      </w:tblGrid>
      <w:tr>
        <w:trPr/>
        <w:tc>
          <w:tcPr>
            <w:tcW w:w="689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89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2">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3">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4">
              <w:r>
                <w:rPr>
                  <w:rStyle w:val="InternetLink"/>
                  <w:rFonts w:ascii="Times New Roman;Times;Serif" w:hAnsi="Times New Roman;Times;Serif"/>
                  <w:b w:val="false"/>
                  <w:i w:val="false"/>
                  <w:caps w:val="false"/>
                  <w:smallCaps w:val="false"/>
                  <w:sz w:val="20"/>
                </w:rPr>
                <w:t>ABOUT BNZI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7">
              <w:r>
                <w:rPr>
                  <w:rStyle w:val="InternetLink"/>
                  <w:rFonts w:ascii="Times New Roman;Times;Serif" w:hAnsi="Times New Roman;Times;Serif"/>
                  <w:b w:val="false"/>
                  <w:i w:val="false"/>
                  <w:caps w:val="false"/>
                  <w:smallCaps w:val="false"/>
                  <w:sz w:val="20"/>
                </w:rPr>
                <w:t>DILUTION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8">
              <w:r>
                <w:rPr>
                  <w:rStyle w:val="InternetLink"/>
                  <w:rFonts w:ascii="Times New Roman;Times;Serif" w:hAnsi="Times New Roman;Times;Serif"/>
                  <w:b w:val="false"/>
                  <w:i w:val="false"/>
                  <w:caps w:val="false"/>
                  <w:smallCaps w:val="false"/>
                  <w:sz w:val="20"/>
                </w:rPr>
                <w:t>DESCRIPTION OF SECURITIES TO BE REGISTERED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a_001">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a_002">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a_003">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a_00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a_005">
              <w:r>
                <w:rPr>
                  <w:rStyle w:val="InternetLink"/>
                  <w:rFonts w:ascii="Times New Roman;Times;Serif" w:hAnsi="Times New Roman;Times;Serif"/>
                  <w:b w:val="false"/>
                  <w:i w:val="false"/>
                  <w:caps w:val="false"/>
                  <w:smallCaps w:val="false"/>
                  <w:sz w:val="20"/>
                </w:rPr>
                <w:t>INCORPORATION OF CERTAIN DOCUMENTS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or any prospectus supplement.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You should assume that the information contained in this prospectus or any prospectus supplement is accurate only as of the date on the front of the document and that any information contained in any document we have incorporated by reference is accurate only as of the date of the document incorporated by reference, regardless of the time of delivery of this prospectus or any prospectus supplement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h_002"/>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using a “shelf” registration process. Under this shelf registration process, we may sell any combination of the securities described in this prospectus in one of more offerings up to a total dollar amount of proceeds of $30,000,000. This prospectus describes the general manner in which our securities may be offered by this prospectus. Each time we sell securities, we will provide a prospectus supplement that will contain specific information about the terms of that offering. The prospectus supplement may also add, update or change information contained in this prospectus or in documents incorporated by reference in this prospectus. The prospectus supplement that contains specific information about the terms of the securities being offered may also include a discussion of certain U.S. Federal income tax consequences and any risk factors or other special considerations applicable to those securities. To the extent that any statement that we make in a prospectus supplement is inconsistent with statements made in this prospectus or in documents incorporated by reference in this prospectus, you should rely on the information in the prospectus supplement. You should carefully read both this prospectus and any prospectus supplement together with the additional information described under “Where You Can Find More Information” before buying any securities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to “we,” “our,” “us,” “BNZI” or the “Company” in this prospectus mean BANZAI INTERNATIONAL, INC., a Delaware corporation, on a consolidated basis with its wholly owned subsidiaries, as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sh_003"/>
      <w:bookmarkEnd w:id="18"/>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and information incorporated by reference in this prospectus include forward-looking statements within the meaning of Section 27A of the Securities Act of 1933, as amended, or the Securities Act, and Section 21E of the Securities Exchange Act of 1934, as amended, or the Exchange Act. These statements are based on our management’s beliefs and assumptions and on information currently available to our management. Such forward-looking statements include those that express plans, anticipation, intent, contingency, goals, targets or future development and/or otherwise are not statements of historical 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prospectus and the documents and information incorporated by reference in this prospectus that are not historical facts are forward-looking statements. We may, in some cases, use terms such as “anticipates,” “believes,” “could,” “estimates,” “expects,” “intends,” “may,” “plans,” “potential,” “predicts,” “projects,” “should,” “will,” “would” or similar expressions or the negative of such items that convey uncertainty of future events or outcomes to identify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with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the Company’s industry, outlook and market trends;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sh_004"/>
      <w:bookmarkEnd w:id="19"/>
      <w:r>
        <w:rPr>
          <w:rFonts w:ascii="Times New Roman;Times;Serif" w:hAnsi="Times New Roman;Times;Serif"/>
          <w:b/>
          <w:i w:val="false"/>
          <w:caps w:val="false"/>
          <w:smallCaps w:val="false"/>
          <w:sz w:val="20"/>
        </w:rPr>
        <w:t>ABOUT BNZI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Our customer base included over 3,070 customers as of December 31, 2024, and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Progress towards this is reflected in our increase in multi-host Demio customers from 14 on January 1, 2021, to 94 as of March 31, 2025. Our overall customer base has also increased due to the addition of 419 customers from OpenReel (as further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Banzai’s customer contracts vary in term length from single months to multiple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listed on The Nasdaq Capital Market under the symbol “BNZI.” Our warrants, each exercisable for one share of Class A common stock at a price of $11.50 per share, originally issued in the IPO (the “Public Warrants”), are currently listed on The Nasdaq Capital Market under the symbol “BNZIW.”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Class A common stock and Public Warrants are governed by our second amended and restated certificate of incorporation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435 Ericksen Ave NE, Suite 250, Bainbridge Island, WA 98110. Our telephone number is (206) 414-1777.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 and a 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(the “JOBS Act”). We will remain an emerging growth company under the JOBS Act until the earliest of (i) the last day of our first fiscal year (a) following the fifth anniversary of 7GC’s IPO (December 22, 2025), (b) in which we have total annual gross revenue of at least $1.235 billion, or (c) in which we are deemed to be a “large accelerated filer” under the rules of the SEC with at least $700.0 million of outstanding securities held by non-affiliates; and (ii) the date on which we have issued more than $1.00 billion in non-convertible debt securities during the prior three-year period.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h_005"/>
      <w:bookmarkEnd w:id="20"/>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risks, uncertainties and other factors described in our most recent Annual Report on Form 10-K, as supplemented and updated by subsequent quarterly reports on Form 10-Q and current reports on Form 8-K that we have filed or will file with the SEC, which are incorporated by reference into this prospectus. Please also see the risk factor stated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regain compliance with the Minimum Bid Price Rule, the Company effected a reverse stock split at a ratio of 1-for-50, effective as of September 19, 2024 (the “September Reverse Stock Split”). Subsequently, the Company effected a 1-for-10 reverse stock split of the shares of the Company’s common stock, effective as of July 8, 2025 (the “July Reverse Stock Split”). Following the July Reverse Stock Split, the bid price of the Company’s common stock surpassed $1.00 per share. However, we have not yet been notified that we regained compliance with the Minimum Bid Price Requirement and cannot guarantee that Nasdaq will decide that we have.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w:t>
      </w:r>
      <w:r>
        <w:rPr>
          <w:rFonts w:ascii="Times New Roman;Times;Serif" w:hAnsi="Times New Roman;Times;Serif"/>
          <w:b w:val="false"/>
          <w:i/>
          <w:caps w:val="false"/>
          <w:smallCaps w:val="false"/>
          <w:sz w:val="20"/>
        </w:rPr>
        <w:t>Rule 5810</w:t>
      </w:r>
      <w:r>
        <w:rPr>
          <w:rFonts w:ascii="Times New Roman;Times;Serif" w:hAnsi="Times New Roman;Times;Serif"/>
          <w:b w:val="false"/>
          <w:i w:val="false"/>
          <w:caps w:val="false"/>
          <w:smallCaps w:val="false"/>
          <w:sz w:val="20"/>
        </w:rPr>
        <w:t>(c)(3)(A)(iv)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since the Company has effected the 1-for-50 September Reverse Stock Split and the 1-for-10 July Reverse Split, Nasdaq would begin the process of delisting our common stock without providing a Minimum Bid Price Requirement compliance period. However, the Company could still be eligible to request a hearing before the Nasdaq Panel to present its plan for regaining and sustaining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ceases to be listed for trading on the Nasdaq Capital Market, we expect that our common stock would be traded on one of the three tiered marketplaces of the OTC Markets Group. If Nasdaq were to delist our common stock, it would be more difficult for our stockholders to dispose of our common stock and more difficult to obtain accurate price quotations on our common stock. Our ability to issue additional securities for financing or other purposes, or otherwise to arrange for any financing we may need in the future, may also be materially and adversely affected if our common stock or warrants are not listed on a national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SELECTED FINANCIAL DATA REFLECTING REVERSE </w:t>
      </w:r>
      <w:r>
        <w:rPr>
          <w:rFonts w:ascii="Times New Roman;Times;Serif" w:hAnsi="Times New Roman;Times;Serif"/>
          <w:b/>
          <w:i/>
          <w:caps w:val="false"/>
          <w:smallCaps w:val="false"/>
          <w:sz w:val="20"/>
        </w:rPr>
        <w:t>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Reverse </w:t>
      </w:r>
      <w:r>
        <w:rPr>
          <w:rFonts w:ascii="Times New Roman;Times;Serif" w:hAnsi="Times New Roman;Times;Serif"/>
          <w:b/>
          <w:i/>
          <w:caps w:val="false"/>
          <w:smallCaps w:val="false"/>
          <w:sz w:val="20"/>
        </w:rPr>
        <w:t>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8, 2025, we effected a 1-for-10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xml:space="preserve"> of our Class A common stock and Class B common stock. Based on such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xml:space="preserve">, the total number of outstanding shares of Class A common stock was adjusted from 22,710,739 to approximately 2,271,074 and the total number of outstanding shares of Class B common stock was adjusted from 2,311,134 to approximately 231,114. The par value per common share remained unchanged at $0.0001. Our audited consolidated financial statements included in the Annual Report on Form 10-K for the year ended December 31, 2024, and the unaudited condensed consolidated financial statements included in our Quarterly Report on Form 10-Q for the quarterly period ended March 31, 2025, which are incorporated by reference into this prospectus are presented without giving effect to the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xml:space="preserve">. Except where the context otherwise requires, share numbers in this prospectus supplement reflect the 1-for-10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xml:space="preserve"> of both classes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selected financial data has been derived from our audited consolidated financial statements included in our Annual Report on Form 10-K filed with the SEC on April 15, 2025, and our unaudited condensed consolidated financial statements included in our Quarterly Report on Form 10-Q filed with the SEC on May 15, 2025, as adjusted to reflect the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xml:space="preserve"> for all periods presented. Our historical results are not indicative of the results that may be expected in the future and results of interim periods are not indicative of the results for the entire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p>
      <w:pPr>
        <w:pStyle w:val="TextBody"/>
        <w:bidi w:val="0"/>
        <w:spacing w:before="0" w:after="0"/>
        <w:ind w:left="0" w:right="0" w:hanging="0"/>
        <w:jc w:val="both"/>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6140"/>
        <w:gridCol w:w="60"/>
        <w:gridCol w:w="140"/>
        <w:gridCol w:w="1175"/>
        <w:gridCol w:w="95"/>
        <w:gridCol w:w="60"/>
        <w:gridCol w:w="140"/>
        <w:gridCol w:w="117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(31,095,029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(14,406,262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(6.00</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4,458,169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2,401,988</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8,195,163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2,585,297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900" w:type="dxa"/>
        <w:jc w:val="left"/>
        <w:tblInd w:w="0" w:type="dxa"/>
        <w:tblLayout w:type="fixed"/>
        <w:tblCellMar>
          <w:top w:w="0" w:type="dxa"/>
          <w:left w:w="0" w:type="dxa"/>
          <w:bottom w:w="0" w:type="dxa"/>
          <w:right w:w="0" w:type="dxa"/>
        </w:tblCellMar>
      </w:tblPr>
      <w:tblGrid>
        <w:gridCol w:w="6140"/>
        <w:gridCol w:w="60"/>
        <w:gridCol w:w="140"/>
        <w:gridCol w:w="1100"/>
        <w:gridCol w:w="95"/>
        <w:gridCol w:w="60"/>
        <w:gridCol w:w="140"/>
        <w:gridCol w:w="105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(3,643,479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(4,290,132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(1.64</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23,963,166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2,612,025</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period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14,686,775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2,669,346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ADJUSTED FOR 1-FOR-10 REVERSE </w:t>
      </w:r>
      <w:r>
        <w:rPr>
          <w:rFonts w:ascii="Times New Roman;Times;Serif" w:hAnsi="Times New Roman;Times;Serif"/>
          <w:b/>
          <w:i/>
          <w:caps w:val="false"/>
          <w:smallCaps w:val="false"/>
          <w:sz w:val="20"/>
        </w:rPr>
        <w:t>STOCK SPLIT</w:t>
      </w:r>
      <w:r>
        <w:rPr>
          <w:rFonts w:ascii="Times New Roman;Times;Serif" w:hAnsi="Times New Roman;Times;Serif"/>
          <w:b/>
          <w:i w:val="false"/>
          <w:caps w:val="false"/>
          <w:smallCaps w:val="false"/>
          <w:sz w:val="20"/>
        </w:rPr>
        <w:t xml:space="preserve"> (unaudited)</w:t>
      </w:r>
    </w:p>
    <w:p>
      <w:pPr>
        <w:pStyle w:val="TextBody"/>
        <w:bidi w:val="0"/>
        <w:spacing w:before="0" w:after="0"/>
        <w:ind w:left="0" w:right="0" w:hanging="0"/>
        <w:jc w:val="both"/>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6140"/>
        <w:gridCol w:w="60"/>
        <w:gridCol w:w="140"/>
        <w:gridCol w:w="1175"/>
        <w:gridCol w:w="95"/>
        <w:gridCol w:w="60"/>
        <w:gridCol w:w="140"/>
        <w:gridCol w:w="117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(31,095,029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(14,406,262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(59.98</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445,817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240,199</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819,516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258,530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855" w:type="dxa"/>
        <w:jc w:val="left"/>
        <w:tblInd w:w="0" w:type="dxa"/>
        <w:tblLayout w:type="fixed"/>
        <w:tblCellMar>
          <w:top w:w="0" w:type="dxa"/>
          <w:left w:w="0" w:type="dxa"/>
          <w:bottom w:w="0" w:type="dxa"/>
          <w:right w:w="0" w:type="dxa"/>
        </w:tblCellMar>
      </w:tblPr>
      <w:tblGrid>
        <w:gridCol w:w="6140"/>
        <w:gridCol w:w="60"/>
        <w:gridCol w:w="140"/>
        <w:gridCol w:w="1055"/>
        <w:gridCol w:w="95"/>
        <w:gridCol w:w="60"/>
        <w:gridCol w:w="140"/>
        <w:gridCol w:w="105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(3,643,479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(4,290,132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(16.42</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2,396,317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261,203</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period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1,468,678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266,935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sh_006"/>
      <w:bookmarkEnd w:id="21"/>
      <w:r>
        <w:rPr>
          <w:rFonts w:ascii="Times New Roman;Times;Serif" w:hAnsi="Times New Roman;Times;Serif"/>
          <w:b/>
          <w:i w:val="false"/>
          <w:caps w:val="false"/>
          <w:smallCaps w:val="false"/>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 sale of the securities under this prospectus for general corporate purposes, including for general working capital purposes, which may include the repayment of outstanding debt.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sh_007"/>
      <w:bookmarkEnd w:id="22"/>
      <w:r>
        <w:rPr>
          <w:rFonts w:ascii="Times New Roman;Times;Serif" w:hAnsi="Times New Roman;Times;Serif"/>
          <w:b/>
          <w:i w:val="false"/>
          <w:caps w:val="false"/>
          <w:smallCaps w:val="false"/>
          <w:sz w:val="20"/>
        </w:rPr>
        <w:t>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tangible book value per share of our equity securities before and after the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immediate dilution from the public offering price which will be absorbed by such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sh_008"/>
      <w:bookmarkEnd w:id="23"/>
      <w:r>
        <w:rPr>
          <w:rFonts w:ascii="Times New Roman;Times;Serif" w:hAnsi="Times New Roman;Times;Serif"/>
          <w:b/>
          <w:i w:val="false"/>
          <w:caps w:val="false"/>
          <w:smallCaps w:val="false"/>
          <w:sz w:val="20"/>
        </w:rPr>
        <w:t>DESCRIPTION OF SECURITIES TO BE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from time to time, in one or more offerings the following securities:</w:t>
      </w:r>
    </w:p>
    <w:p>
      <w:pPr>
        <w:pStyle w:val="TextBody"/>
        <w:bidi w:val="0"/>
        <w:spacing w:before="0" w:after="0"/>
        <w:ind w:left="0" w:right="0" w:firstLine="72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170"/>
        <w:gridCol w:w="26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170"/>
        <w:gridCol w:w="20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170"/>
        <w:gridCol w:w="12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exercisable for debt securities, Class A common stock, or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to purchase any of such securities (“Rights”); and</w:t>
            </w:r>
          </w:p>
        </w:tc>
      </w:tr>
    </w:tbl>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of debt securities, common stock, Class A preferred stock, or warrants, in any combination.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material general terms of the various securities that we may offer. The specific terms of the securities will be described in a prospectus supplement, information incorporated by reference or related free writing prospectus, which may be in addition to or different from the general terms summarized in this prospectus. Where applicable, the prospectus supplement, information incorporated by reference or related free writing prospectus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supplements, information incorporated by reference or related free writing prospectus may not contain all of the information that you would find useful. Accordingly, you should read the actual documents relating to any securities sold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particular offering, the initial offering price and the net proceeds to us will be contained in the prospectus supplement, information incorporated by reference or free writing prospectus, relating to such offering.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22, 2025, there were 2,590,936 and 231,114 shares of our Class A common stock, par value $0.0001 per share, and Class B common stock, par value $0.0001 per share (“Class B common stock”),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 A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A common stock is entitled to one vote for each share of Class A common stock held of record by such holder on all matters voted upon by the Company’s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the Charter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 relating to any series of preferred stock) or pursuant to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Company’s board of directors (the “Board”) out of any of the Company’s assets legally available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Class A common stock is entitled to preemptive or subscription rights contained in the Charter or in the Bylaws. There are no redemption or sinking fund provisions applicable to the Class A common stock. The rights, preferences, and privileges of holders of the Class A common stock are subject to those of the holders of any shares of the preferred stock that the Company may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 B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Class B common stock.</w:t>
      </w:r>
      <w:r>
        <w:rPr>
          <w:rFonts w:ascii="Times New Roman;Times;Serif" w:hAnsi="Times New Roman;Times;Serif"/>
          <w:b w:val="false"/>
          <w:i w:val="false"/>
          <w:caps w:val="false"/>
          <w:smallCaps w:val="false"/>
          <w:sz w:val="20"/>
        </w:rPr>
        <w:t xml:space="preserve"> Shares of Class B common stock may be issued only to, and registered in the name of, the Company’s Chief Executive Officer, Joseph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B common stock is entitled to 10 votes for each share of Class B common stock held of record by such holder on all matters voted upon by the Company’s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the Charter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 relating to any series of preferred stock) or pursuant to the DGCL.</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the Company’s assets legally available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Transfers</w:t>
      </w:r>
      <w:r>
        <w:rPr>
          <w:rFonts w:ascii="Times New Roman;Times;Serif" w:hAnsi="Times New Roman;Times;Serif"/>
          <w:b w:val="false"/>
          <w:i w:val="false"/>
          <w:caps w:val="false"/>
          <w:smallCaps w:val="false"/>
          <w:sz w:val="20"/>
        </w:rPr>
        <w:t>. Pursuant to the Charter, holders of shares of Class B common stock are generally restricted from transferring such shares, other than to Josephy Davy, a Permitted Class B Owner or in connection with a divorce or domestic relations order or decree.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Each share of Class B common stock will be (1) automatically converted into an equal number of fully paid and nonassessable shares of Class A common stock upon any Transfer (as defined in the Charter) of such shares of Class B common stock, except for a Permitted Transfer (as defined in the Charter) and (2) subject to conversion into an equal number of Class B common stock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Class B common stock is entitled to preemptive or subscription rights contained in the Charter or in the Bylaws. There are no redemption or sinking fund provisions applicable to the Class B common stock. The rights, preferences, and privileges of holders of the shares of Class B common stock are subject to those of the holders of any shares of the preferred stock that the Company may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the Class A common stock, impairing the liquidation rights of the capital stock of the Company, or delaying or preventing a change in control of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1 share of series FE preferred stock, par value $0.0001 per share (the “Series FE Preferred Stock”) issued and outstanding; there is only share of Series FE Preferred stock authorized. The FE Preferred Stock does not earn any dividends, is not convertible into any other equity securities of the Company and does not have any voting power (other than with respect to an amendment to the Company’s Certificate of Incorporation or designation that materially and adversely affects the rights and preferences of the Series FE Preferred Stock). The Series FE Preferred Stock has a right to participate in any future issuance of company securities for a period of two years after the Series FE Preferred Stock was issued, subject to certain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security holders entitled to the rights distribution;</w:t>
            </w:r>
          </w:p>
        </w:tc>
      </w:tr>
    </w:tbl>
    <w:p>
      <w:pPr>
        <w:pStyle w:val="TextBody"/>
        <w:bidi w:val="0"/>
        <w:spacing w:before="0" w:after="0"/>
        <w:ind w:left="0" w:right="0" w:hanging="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 and the aggregate amount of securities purchasable upon exercise of the rights;</w:t>
            </w:r>
          </w:p>
        </w:tc>
      </w:tr>
    </w:tbl>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bl>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completion of the rights offering;</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will commence and the date on which the rights will expire; and</w:t>
            </w:r>
          </w:p>
        </w:tc>
      </w:tr>
    </w:tbl>
    <w:p>
      <w:pPr>
        <w:pStyle w:val="TextBody"/>
        <w:bidi w:val="0"/>
        <w:spacing w:before="0" w:after="0"/>
        <w:ind w:left="0" w:right="0" w:hanging="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70"/>
        <w:gridCol w:w="40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federal income tax considerations.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Class A common stock or preferred shares. Warrants may be issued independently or together with any other securities that may be sold by us pursuant to this prospectus or any combination of the foregoing and may be attached to, or separate from, such securities. To the extent warrants that we issue are to be publicly traded, each series of such warrants will be issued under a separate warrant agreement to be entered into between us and a warrant agent.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another report that we file with the SEC, the form of the warrant and/or warrant agreement, if any,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warrants will be described in the prospectus supplement relating to the issue. Those terms may include:</w:t>
      </w:r>
    </w:p>
    <w:p>
      <w:pPr>
        <w:pStyle w:val="TextBody"/>
        <w:bidi w:val="0"/>
        <w:spacing w:before="0" w:after="0"/>
        <w:ind w:left="0" w:right="0" w:firstLine="72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170"/>
        <w:gridCol w:w="19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warrants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amount and terms of the securities or other rights for which the warrants are exercisable;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other securities, if any, with which the warrants are to be issued and the number of warrants issued with each other security;</w:t>
            </w:r>
          </w:p>
        </w:tc>
      </w:tr>
    </w:tbl>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securities or other rights purchasable upon exercise of the warrants may be purchased;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the warrants and the securities or other rights purchasable upon exercise of the warrants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U.S. federal income tax considerations applicable to the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warrants will commence, and the date on which the right will expire;</w:t>
            </w:r>
          </w:p>
        </w:tc>
      </w:tr>
    </w:tbl>
    <w:p>
      <w:pPr>
        <w:pStyle w:val="TextBody"/>
        <w:bidi w:val="0"/>
        <w:spacing w:before="0" w:after="0"/>
        <w:ind w:left="0" w:right="0" w:hanging="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or minimum number of warrants that may be exercised at any time;</w:t>
            </w:r>
          </w:p>
        </w:tc>
      </w:tr>
    </w:tbl>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warrants, including terms, procedures and limitations relating to the exchange and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of warrants to purchase the number of Class A common stock or preferred shares of the relevant class or series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Class A common stock or preferred shares of the relevant class or series, holders of the warrants will not have any of the rights of holders of Class A common stock or preferred shares purchasable upon exercise, including the right to vote or to receive any payments of dividends or payments upon our liquidation, dissolution or winding up on the Class A common stock or preferred shares purchasable upon exercise,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22, 2025, we have issued and outstanding warrants to purchase up to 1,149,998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Class A common stock or preferred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72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series of units;</w:t>
            </w:r>
          </w:p>
        </w:tc>
      </w:tr>
    </w:tbl>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description of the separate constituent securities comprising the units;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units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constituent securities comprising the units will be separately transferable, if applicable;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certain United States federal income tax considerations applicable to the units; and</w:t>
            </w:r>
          </w:p>
        </w:tc>
      </w:tr>
    </w:tbl>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the units and their constituent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Securities to be Registered – Common Stock and Preferred Stock” and “Description of Warrants” will apply to each unit and to any Class A common stock, preferred shares or warrant included in each unit,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in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unit agreements with a unit agent.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As of the date of this prospectus, we have no outstanding registered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notes under senior or subordinated indentures or, separately, without the use of an indenture. If we issue senior or subordinated notes without the use of an indenture, we will issue such senior or subordinated notes directly to the purchasers of such senior or subordinated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senior notes under a senior indenture, we will enter into such subordinated indenture with the trustee to be named in such senior indenture. If we issue subordinated notes under a subordinated indenture, we will enter into such subordinated indenture with the trustee to be named in such subordinated indenture. We will file as exhibits to the registration statement of which this prospectus is a part, or will incorporate by reference from another report that we file with the SEC, the form of such notes and indentures, if any, that describes the terms of the particular note we may offer under this prospectus, and any supplement agreements, before the issuance of the related note. We use the term “indentures” to refer to both the senior indenture and the subordinated indenture.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be qualified under the Trust Indenture Act of 1939. References to the Trust Indenture Act of 1939 include all amendments thereto. We use the term “debenture trustee” to refer to either the senior trustee or the subordinated trustee,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notes, the subordinated notes and the indentures are subject to, and qualified in their entirety by reference to, all the provisions of the indenture applicable to a particular series of debt securities, and all supplements thereto. We urge you to read the applicable prospectus supplements related to the debt securities that we sell under this prospectus, as well as the complete indentures that contain the terms of the debt securities. Except as we may otherwise indicate, the terms of the senior and the subordinated indentures are identical.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debt securities and any indentures are summaries of these provisions, do not purport to be complete and are subject to, and are qualified in their entirety by reference to, all of the provisions of the debt securities and the indentures (including any amendments or supplements we may enter into from time to time which are permitted under the debt securities or any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In addition, the particular terms of each series of debt securities will be described in a prospectus supplement relating to such series, including any pricing supplement. The prospectus supplement will set forth, among other things:</w:t>
      </w:r>
    </w:p>
    <w:p>
      <w:pPr>
        <w:pStyle w:val="TextBody"/>
        <w:bidi w:val="0"/>
        <w:spacing w:before="0" w:after="0"/>
        <w:ind w:left="0" w:right="0" w:firstLine="72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75"/>
        <w:gridCol w:w="170"/>
        <w:gridCol w:w="7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w:t>
            </w:r>
          </w:p>
        </w:tc>
      </w:tr>
    </w:tbl>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being offered, and, if a series, the total amount authorized and the total amount outstanding;</w:t>
            </w:r>
          </w:p>
        </w:tc>
      </w:tr>
    </w:tbl>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 on the amount that may be issued;</w:t>
            </w:r>
          </w:p>
        </w:tc>
      </w:tr>
    </w:tbl>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we will issue the series of debt securities in global form and, if so, the terms and who the depositary will be;</w:t>
            </w:r>
          </w:p>
        </w:tc>
      </w:tr>
    </w:tbl>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if any, we will pay additional amounts on any debt securities held by a person who is not a U.S. person for tax purposes, and whether we can redeem the debt securities if we have to pay such additional amounts;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subordination of any series of subordinated debt, if applicable;</w:t>
            </w:r>
          </w:p>
        </w:tc>
      </w:tr>
    </w:tbl>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payments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transfer, sale, or other assignment, if any;</w:t>
            </w:r>
          </w:p>
        </w:tc>
      </w:tr>
    </w:tbl>
    <w:p>
      <w:pPr>
        <w:pStyle w:val="TextBody"/>
        <w:bidi w:val="0"/>
        <w:spacing w:before="0" w:after="0"/>
        <w:ind w:left="0" w:right="0" w:hanging="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interest and the maximum length of any such deferral period;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after which, the conditions upon which, and the price at which we may, at our option, redeem the series of debt securities pursuant to any optional or provisional redemption provisions, and any other applicable terms of those redemption provisions;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0" w:right="0" w:hanging="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indenture will restrict our ability and/or the ability of our subsidiaries to, among other things:</w:t>
            </w:r>
          </w:p>
        </w:tc>
      </w:tr>
    </w:tbl>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indebtedness;</w:t>
            </w:r>
          </w:p>
        </w:tc>
      </w:tr>
    </w:tbl>
    <w:p>
      <w:pPr>
        <w:pStyle w:val="TextBody"/>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additional securities;</w:t>
            </w:r>
          </w:p>
        </w:tc>
      </w:tr>
    </w:tbl>
    <w:p>
      <w:pPr>
        <w:pStyle w:val="TextBody"/>
        <w:bidi w:val="0"/>
        <w:spacing w:before="0" w:after="0"/>
        <w:ind w:left="0" w:right="0" w:hanging="0"/>
        <w:jc w:val="both"/>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170"/>
        <w:gridCol w:w="10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liens;</w:t>
            </w:r>
          </w:p>
        </w:tc>
      </w:tr>
    </w:tbl>
    <w:p>
      <w:pPr>
        <w:pStyle w:val="TextBody"/>
        <w:bidi w:val="0"/>
        <w:spacing w:before="0" w:after="0"/>
        <w:ind w:left="0" w:right="0" w:hanging="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and make distributions in respect of our capital stock and the capital stock of our subsidiaries;</w:t>
            </w:r>
          </w:p>
        </w:tc>
      </w:tr>
    </w:tbl>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70"/>
        <w:gridCol w:w="17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 capital stock;</w:t>
            </w:r>
          </w:p>
        </w:tc>
      </w:tr>
    </w:tbl>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restrictions on our subsidiaries’ ability to pay dividends, make distributions or transfer assets;</w:t>
            </w:r>
          </w:p>
        </w:tc>
      </w:tr>
    </w:tbl>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investments or other restricted payments;</w:t>
            </w:r>
          </w:p>
        </w:tc>
      </w:tr>
    </w:tbl>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or otherwise dispose of assets;</w:t>
            </w:r>
          </w:p>
        </w:tc>
      </w:tr>
    </w:tbl>
    <w:p>
      <w:pPr>
        <w:pStyle w:val="TextBody"/>
        <w:bidi w:val="0"/>
        <w:spacing w:before="0" w:after="0"/>
        <w:ind w:left="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170"/>
        <w:gridCol w:w="31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sale-leaseback transactions;</w:t>
            </w:r>
          </w:p>
        </w:tc>
      </w:tr>
    </w:tbl>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transactions with stockholders and affiliates;</w:t>
            </w:r>
          </w:p>
        </w:tc>
      </w:tr>
    </w:tbl>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70"/>
        <w:gridCol w:w="3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or sell stock of our subsidiaries;</w:t>
            </w:r>
          </w:p>
        </w:tc>
      </w:tr>
    </w:tbl>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a consolidation or merger;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indenture will require us to maintain any interest coverage, fixed charge, cash flow-based, asset-based, or other financial ratios;</w:t>
            </w:r>
          </w:p>
        </w:tc>
      </w:tr>
    </w:tbl>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describing any book-entry features;</w:t>
            </w:r>
          </w:p>
        </w:tc>
      </w:tr>
    </w:tbl>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a sinking fund purchase or other analogous fund,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to be offered at a price such that they will be deemed to be offered at an “original issue discount” as defined in paragraph (a) of Section 1273 of the Internal Revenue Code;</w:t>
            </w:r>
          </w:p>
        </w:tc>
      </w:tr>
    </w:tbl>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any auction and remarketing,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dollars, the currency in which the series of debt securities will be denominated;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that may be required by us or advisable under applicable laws or regulations or advisable in connection with the marketing of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or Exchange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on which a series of debt securities may be convertible into or exchangeable for Class A common stock, preferred shares,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Consolidation, Merger or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the acquirer of such assets must assume all of our obligations under the indentures and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convertible for our other securities,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in the forms initially filed as exhibits to the registration statement with respect to any series of debt securities that we may issue: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interest when due and payable and our failure continues for 90 days and the time for payment has not been extended or deferred;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the principal, sinking fund payment or premium, if any, when due and payable and the time for payment has not been extended or delayed;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observe or perform any other covenant contained in the debt securities or the indentures, other than a covenant specifically relating to another series of debt securities, and our failure continues for 90 days after we receive notice from the debenture trustee or holders of at least 25%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specified events of bankruptcy, insolvency or reorganization occur.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debenture trustee or the holders of at least 25% in aggregate principal amount of the outstanding debt securities of that series, by notice to us in writing, and to the debenture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debenture trustee or any holder.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firstLine="72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direction so given by the holder is not in conflict with any law or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its duties under the Trust Indenture Act of 1939, the debenture trustee need not take any action that might involve it in personal liability or might be unduly prejudicial to the holders not involved in the proceeding.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firstLine="72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has given written notice to the debenture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aggregate principal amount of the outstanding debt securities of that series have made written request, and such holders have offered reasonable indemnity, to the debenture trustee to institute the proceeding as trustee;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debenture trustee regarding our compliance with specified covenants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Indenture;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debenture trustee may change an indenture without the consent of any holders with respect to specific matters, including:</w:t>
      </w:r>
    </w:p>
    <w:p>
      <w:pPr>
        <w:pStyle w:val="TextBody"/>
        <w:bidi w:val="0"/>
        <w:spacing w:before="0" w:after="0"/>
        <w:ind w:left="0" w:right="0" w:firstLine="72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fix any ambiguity, defect or inconsistency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70"/>
        <w:gridCol w:w="7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provisions described above under “Consolidation, Merger or Sale”;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any requirements of the SEC in connection with the qualification of any indenture under the Trust Indenture Act of 1939;</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and provide for the acceptance of appointment by a successor trustee;</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uncertificated debt securities and to make all appropriate changes for such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issuance, authorization and delivery of debt securities or any series, as set forth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anything that does not materially adversely affect the interests of any holder of debt securities of any series.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that is affected. However, we and the debenture trustee may only make the following changes with the consent of each holder of any outstanding debt securities affected:</w:t>
      </w:r>
    </w:p>
    <w:p>
      <w:pPr>
        <w:pStyle w:val="TextBody"/>
        <w:bidi w:val="0"/>
        <w:spacing w:before="0" w:after="0"/>
        <w:ind w:left="0" w:right="0" w:firstLine="72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extending the fixed maturity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principal amount, reducing the rate of or extending the time of payment of interest, or reducing any premium payable upon the redemption of any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that the following obligations, among others survive until the maturity date or the redemption date:</w:t>
      </w:r>
    </w:p>
    <w:p>
      <w:pPr>
        <w:pStyle w:val="TextBody"/>
        <w:bidi w:val="0"/>
        <w:spacing w:before="0" w:after="0"/>
        <w:ind w:left="0" w:right="0" w:firstLine="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or exchange of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75"/>
        <w:gridCol w:w="170"/>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paying agencies;</w:t>
            </w:r>
          </w:p>
        </w:tc>
      </w:tr>
    </w:tbl>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170"/>
        <w:gridCol w:w="2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monies for payment in trust;</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any successor trustee; and the following obligations survive the maturity date or the redemption date;</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 excess money held by the debenture trustee;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compensate and indemnify the debenture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set forth in the indentures, in order to exercise our rights to be discharged, we must either deliver for cancellation all securities of a series to the debenture trustee or must deposit with the debenture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Exchange and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New York, New York, known as DTC, or another depositary named by us and identified in a prospectus supplement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a board resolution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Concerning the Debenture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and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board resolution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of 1939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Subordination of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of payment to certain of our other indebtedness to the extent described in a prospectus supplement. The indentures in the forms initially filed as exhibits to the registration statement of which this prospectus is a part do not limit the amount of indebtedness that we may incur, including senior indebtedness or subordinated indebtedness, and do not limit us from issuing any other debt, including secured debt or unsecured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Delaware law, our Articles of Incorporation and our Bylaws may have the effect of delaying, deferring or discouraging another person from acquiring control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up to 75,000,000 shares of preferred stock, with any rights, preferences, and privileges as they may designate, including the right to approve an acquisition or other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the Board;</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Board is classified into three classes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the Company’s stockholders must be effected at a duly called annual or special meeting of stockholders and not be taken by written consent or electronic transmission;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the Company’s stockholders may be called only by the chairperson of the Board, the Company’s Chief Executive Officer or by the Board pursuant to a resolution adopted by a majority of the total number of authorized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the Company’s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the Company’s annual meeting of stockholders, must provide timely notice of their intent in writing. To be timely under the Bylaws, a stockholder’s notice needs to be received by the Secretary of the Company at the Company’s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the Company’s stockholders from bringing matters before its annual meeting of stockholders or from making nominations for directors at our annual meeting of stockholders.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Authorized but Unissued Shares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Exclusive Forum Selection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the Company consents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the Company’s directors and officers, although the Company’s stockholders will not be deemed to have waived its compliance with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owns 15% or more of the Company’s outstanding voting stock (otherwise known as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an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of an interested stockholder, for three years following the date that the stockholder became an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the Company’s assets. However, the above provisions of Section 203 do not apply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approves the transaction that made the stockholder an “interested stockholder,” prior to the date of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that resulted in the stockholder becoming an interested stockholder, that stockholder owned at least 85% of the Company’s voting stock outstanding at the time the transaction commenced, other than statutorily excluded shares of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the date of the transaction, the initial business combination is approved by the Board and authorized at a meeting of the Company’s stockholders, and not by written consent, by an affirmative vote of at least two-thirds of the outstanding voting stock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Business Corporation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with, disposition of assets to, or issuance or redemption of stock to or from, the acquiring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of 5% or more of the employees of the target corporation as a result of the acquiring person’s acquisition of 10% or more of the shares; and</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the acquiring person to receive any disproportionate benefit as a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five-year period, a significant business transaction may take place as long as it complies with certain fair price provisions of the WBCA or is approved at an annual or special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definition of a target corporation, the WBCA may have the effect of delaying, deferring, or preventing a future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firstLine="72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derives an improper personal benefit;</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or</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duty of loyalty to the corporation or its stockholders.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30th Floor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10004-1571</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212.845.3299</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www.continentalstock.com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sa_001"/>
      <w:bookmarkEnd w:id="24"/>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managing underwriter or 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underwriters may purchase additional securities from us;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sale of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delayed delivery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commissions and other items constituting underwriters’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commissions paid to agents;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common stock,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sa_002"/>
      <w:bookmarkEnd w:id="25"/>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and any supplement thereto, will be passed upon for us by Hunter Taubman Fischer &amp; Li LLC, New York, NY. The legality of the securities for any underwriters, dealers or agents will be passed upon by counsel as may be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sa_003"/>
      <w:bookmarkEnd w:id="26"/>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Marcum LLP</w:t>
      </w:r>
      <w:r>
        <w:rPr>
          <w:rFonts w:ascii="Times New Roman;Times;Serif" w:hAnsi="Times New Roman;Times;Serif"/>
          <w:b w:val="false"/>
          <w:i w:val="false"/>
          <w:caps w:val="false"/>
          <w:smallCaps w:val="false"/>
          <w:sz w:val="20"/>
        </w:rPr>
        <w:t xml:space="preserve"> (“Marcum”), an independent registered public accounting firm, audited our financial statements for the years ended December 31, 2024 and 2023 included in our Annual Report on Form 10-K for the year ended December 31, 2024, as set forth in their report included therein, which report includes an explanatory paragraph regarding the Company’s ability to continue as a going concern, and is incorporated by reference in this prospectus and elsewhere in the registration statement. Our financial statements are incorporated by reference in reliance on Marcum’s report, given 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 an independent registered public accounting firm (“CBIZ CPAs”), has audited ClearDoc, Inc.’s financial statements for the years ended December 31, 2023 and 2022, as set forth in their report. The office of CBIZ CPAs is located at700 W 47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 Ste. 1100 Kansas City, MO 64112. ClearDoc, Inc.’s financial statements are incorporated by reference in reliance on CBIZ CPAs’ report, given 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Bush &amp; Associates CPA LLC, an independent registered public accounting firm (“B&amp;A”), has audited Vidello’s financial statements for the years ended March 31, 2024 and 2023, as set forth in their report. The office of B&amp;A is located at 179 N. Gibson Rd., Henderson, NV 89014. Vidello’s financial statements are incorporated by reference in reliance on B&amp;A’s report, given 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sa_004"/>
      <w:bookmarkEnd w:id="27"/>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special reports, along with other information with the SEC. Our SEC filings are available to the public over the Internet at the SEC’s website at http://www.sec.gov; you can also find our filings on our company website: www.banzai.io. You may also read and copy any document we file at the SEC’s Public Reference Room at 100 F Street, NE, Washington, D.C. 20549. Please call the SEC at 1-800-SEC-0330 for further information on the Public Reference Room. The information on our website is not intended to form a part of or be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to register the securities offered hereby under the Securities Act of 1933, as amended. This prospectus does not contain all of the information included in the registration statement, including certain exhibits and schedules. You may obtain the registration statement and exhibits to the registration statement from the SEC at the address listed above or from the SEC’s internet site.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sa_005"/>
      <w:bookmarkEnd w:id="28"/>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under certain conditions, which means that we can disclose important information to you by referring you to those documents. The information incorporated by reference is considered to be a part of this prospectus and any information that we file subsequent to this prospectus with the SEC will automatically update and supersede this information. The documents we are incorporating by reference are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Annual Report on </w:t>
            </w:r>
            <w:hyperlink r:id="rId1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as filed with the SEC on April 15,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Quarterly Report on </w:t>
            </w:r>
            <w:hyperlink r:id="rId14">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2025, as filed with the SEC on May 15,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Current Reports on Form 8-K filed on </w:t>
            </w:r>
            <w:hyperlink r:id="rId15">
              <w:r>
                <w:rPr>
                  <w:rStyle w:val="InternetLink"/>
                  <w:rFonts w:ascii="Times New Roman;Times;Serif" w:hAnsi="Times New Roman;Times;Serif"/>
                  <w:b w:val="false"/>
                  <w:i w:val="false"/>
                  <w:caps w:val="false"/>
                  <w:smallCaps w:val="false"/>
                  <w:sz w:val="20"/>
                </w:rPr>
                <w:t>January 23,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January 31, 2025</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March 4, 2025</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April 11, 2025</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April 15, 2025</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April 25, 2025</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June 27, 2025</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July 2, 2025</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July 3, 2025</w:t>
              </w:r>
            </w:hyperlink>
            <w:r>
              <w:rPr>
                <w:rFonts w:ascii="Times New Roman;Times;Serif" w:hAnsi="Times New Roman;Times;Serif"/>
                <w:b w:val="false"/>
                <w:i w:val="false"/>
                <w:caps w:val="false"/>
                <w:smallCaps w:val="false"/>
                <w:sz w:val="20"/>
              </w:rPr>
              <w:t xml:space="preserve"> and </w:t>
            </w:r>
            <w:hyperlink r:id="rId24">
              <w:r>
                <w:rPr>
                  <w:rStyle w:val="InternetLink"/>
                  <w:rFonts w:ascii="Times New Roman;Times;Serif" w:hAnsi="Times New Roman;Times;Serif"/>
                  <w:b w:val="false"/>
                  <w:i w:val="false"/>
                  <w:caps w:val="false"/>
                  <w:smallCaps w:val="false"/>
                  <w:sz w:val="20"/>
                </w:rPr>
                <w:t>July 9, 2025</w:t>
              </w:r>
            </w:hyperlink>
            <w:r>
              <w:rPr>
                <w:rFonts w:ascii="Times New Roman;Times;Serif" w:hAnsi="Times New Roman;Times;Serif"/>
                <w:b w:val="false"/>
                <w:i w:val="false"/>
                <w:caps w:val="false"/>
                <w:smallCaps w:val="false"/>
                <w:sz w:val="20"/>
              </w:rPr>
              <w:t xml:space="preserve"> (except for the portions of such reports deemed to be furnished and not filed);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Current Reports on Form 8-K/A filed on </w:t>
            </w:r>
            <w:hyperlink r:id="rId25">
              <w:r>
                <w:rPr>
                  <w:rStyle w:val="InternetLink"/>
                  <w:rFonts w:ascii="Times New Roman;Times;Serif" w:hAnsi="Times New Roman;Times;Serif"/>
                  <w:b w:val="false"/>
                  <w:i w:val="false"/>
                  <w:caps w:val="false"/>
                  <w:smallCaps w:val="false"/>
                  <w:sz w:val="20"/>
                </w:rPr>
                <w:t>February 3, 2025</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February 13, 2025</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March 3, 2025</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April 18, 2025</w:t>
              </w:r>
            </w:hyperlink>
            <w:r>
              <w:rPr>
                <w:rFonts w:ascii="Times New Roman;Times;Serif" w:hAnsi="Times New Roman;Times;Serif"/>
                <w:b w:val="false"/>
                <w:i w:val="false"/>
                <w:caps w:val="false"/>
                <w:smallCaps w:val="false"/>
                <w:sz w:val="20"/>
              </w:rPr>
              <w:t xml:space="preserve">, and </w:t>
            </w:r>
            <w:hyperlink r:id="rId29">
              <w:r>
                <w:rPr>
                  <w:rStyle w:val="InternetLink"/>
                  <w:rFonts w:ascii="Times New Roman;Times;Serif" w:hAnsi="Times New Roman;Times;Serif"/>
                  <w:b w:val="false"/>
                  <w:i w:val="false"/>
                  <w:caps w:val="false"/>
                  <w:smallCaps w:val="false"/>
                  <w:sz w:val="20"/>
                </w:rPr>
                <w:t>June 10, 2025</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Registrant’s common stock, par value $0.0001, contained in the Registrant’s </w:t>
            </w:r>
            <w:hyperlink r:id="rId30">
              <w:r>
                <w:rPr>
                  <w:rStyle w:val="InternetLink"/>
                  <w:rFonts w:ascii="Times New Roman;Times;Serif" w:hAnsi="Times New Roman;Times;Serif"/>
                  <w:b w:val="false"/>
                  <w:i w:val="false"/>
                  <w:caps w:val="false"/>
                  <w:smallCaps w:val="false"/>
                  <w:sz w:val="20"/>
                </w:rPr>
                <w:t>Form 8-K</w:t>
              </w:r>
            </w:hyperlink>
            <w:r>
              <w:rPr>
                <w:rFonts w:ascii="Times New Roman;Times;Serif" w:hAnsi="Times New Roman;Times;Serif"/>
                <w:b w:val="false"/>
                <w:i w:val="false"/>
                <w:caps w:val="false"/>
                <w:smallCaps w:val="false"/>
                <w:sz w:val="20"/>
              </w:rPr>
              <w:t xml:space="preserve"> filed on December 20, 2023 and any amendment or report filed for the purpose of updating such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the documents referred to above that are incorporated by reference in this prospectus were filed prior to the 1-for-10 reverse split of our common stock that was effective on July 8, 2025, and do not reflect the effects of such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after the initial filing date of this prospectus, through the date declared effective, until the termination of the offering of securities contemplated by this prospectus shall be deemed to be incorporated by reference into this prospectus. These documents that we file later with the SEC and that are incorporated by reference in this prospectus will automatically update information contained in this prospectus or that was previously incorporated by reference into this prospectus. You will be deemed to have notice of all information incorporated by reference in this prospectus as if that information was included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any person, including any beneficial owner, to whom this prospectus is delivered, a copy of any or all of the information that has been incorporated by reference in this prospectus but not delivered with this prospectus (excluding exhibits, unless the exhibits are specifically incorporated), at no cost to the requesting party, upon request to us in writing or by telephone using the following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Suite 250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Washington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(206) 414-1777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Commission Position on Indemnification for Securities 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  ]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6011/000119312526134714/bnzi-20251231.htm" TargetMode="External"/><Relationship Id="rId3" Type="http://schemas.openxmlformats.org/officeDocument/2006/relationships/hyperlink" Target="https://www.sec.gov/Archives/edgar/data/1826011/000119312526226795/bnzi-20260331.htm" TargetMode="External"/><Relationship Id="rId4" Type="http://schemas.openxmlformats.org/officeDocument/2006/relationships/hyperlink" Target="https://www.sec.gov/Archives/edgar/data/1826011/000149315226002436/form8-k.htm" TargetMode="External"/><Relationship Id="rId5" Type="http://schemas.openxmlformats.org/officeDocument/2006/relationships/hyperlink" Target="https://www.sec.gov/Archives/edgar/data/1826011/000149315226006807/form8-k.htm" TargetMode="External"/><Relationship Id="rId6" Type="http://schemas.openxmlformats.org/officeDocument/2006/relationships/hyperlink" Target="https://www.sec.gov/Archives/edgar/data/1826011/000119312526187087/bnzi-20260428.htm" TargetMode="External"/><Relationship Id="rId7" Type="http://schemas.openxmlformats.org/officeDocument/2006/relationships/hyperlink" Target="https://www.sec.gov/Archives/edgar/data/1826011/000119312526206397/bnzi-20251217.htm" TargetMode="External"/><Relationship Id="rId8" Type="http://schemas.openxmlformats.org/officeDocument/2006/relationships/hyperlink" Target="https://www.sec.gov/Archives/edgar/data/1826011/000119312526207628/bnzi-20260505.htm" TargetMode="External"/><Relationship Id="rId9" Type="http://schemas.openxmlformats.org/officeDocument/2006/relationships/hyperlink" Target="https://www.sec.gov/Archives/edgar/data/1826011/000119312526227353/bnzi-20240925.htm" TargetMode="External"/><Relationship Id="rId10" Type="http://schemas.openxmlformats.org/officeDocument/2006/relationships/hyperlink" Target="https://www.sec.gov/Archives/edgar/data/1826011/000119312526297663/bnzi-20260707.htm" TargetMode="External"/><Relationship Id="rId11" Type="http://schemas.openxmlformats.org/officeDocument/2006/relationships/hyperlink" Target="https://www.sec.gov/Archives/edgar/data/1826011/000119312526134714/bnzi-ex4_11.htm" TargetMode="External"/><Relationship Id="rId12" Type="http://schemas.openxmlformats.org/officeDocument/2006/relationships/hyperlink" Target="https://www.sec.gov/Archives/edgar/data/1826011/000119312526134714/bnzi-20251231.htm" TargetMode="External"/><Relationship Id="rId13" Type="http://schemas.openxmlformats.org/officeDocument/2006/relationships/hyperlink" Target="https://www.sec.gov/Archives/edgar/data/1826011/000095017025054303/bnzi-20241231.htm" TargetMode="External"/><Relationship Id="rId14" Type="http://schemas.openxmlformats.org/officeDocument/2006/relationships/hyperlink" Target="https://www.sec.gov/Archives/edgar/data/1826011/000095017025072501/bnzi-20250331.htm" TargetMode="External"/><Relationship Id="rId15" Type="http://schemas.openxmlformats.org/officeDocument/2006/relationships/hyperlink" Target="https://www.sec.gov/Archives/edgar/data/1826011/000149315225003319/form8-k.htm" TargetMode="External"/><Relationship Id="rId16" Type="http://schemas.openxmlformats.org/officeDocument/2006/relationships/hyperlink" Target="https://www.sec.gov/Archives/edgar/data/1826011/000149315225004502/form8-k.htm" TargetMode="External"/><Relationship Id="rId17" Type="http://schemas.openxmlformats.org/officeDocument/2006/relationships/hyperlink" Target="https://www.sec.gov/Archives/edgar/data/1826011/000149315225009079/form8-k.htm" TargetMode="External"/><Relationship Id="rId18" Type="http://schemas.openxmlformats.org/officeDocument/2006/relationships/hyperlink" Target="https://www.sec.gov/Archives/edgar/data/1826011/000164117225003843/form8-k.htm" TargetMode="External"/><Relationship Id="rId19" Type="http://schemas.openxmlformats.org/officeDocument/2006/relationships/hyperlink" Target="https://www.sec.gov/Archives/edgar/data/1826011/000164117225004902/form8-k.htm" TargetMode="External"/><Relationship Id="rId20" Type="http://schemas.openxmlformats.org/officeDocument/2006/relationships/hyperlink" Target="https://www.sec.gov/Archives/edgar/data/1826011/000164117225006216/form8-k.htm" TargetMode="External"/><Relationship Id="rId21" Type="http://schemas.openxmlformats.org/officeDocument/2006/relationships/hyperlink" Target="https://www.sec.gov/Archives/edgar/data/1826011/000164117225016949/form8-k.htm" TargetMode="External"/><Relationship Id="rId22" Type="http://schemas.openxmlformats.org/officeDocument/2006/relationships/hyperlink" Target="https://www.sec.gov/Archives/edgar/data/1826011/000164117225017577/form8-k.htm" TargetMode="External"/><Relationship Id="rId23" Type="http://schemas.openxmlformats.org/officeDocument/2006/relationships/hyperlink" Target="https://www.sec.gov/Archives/edgar/data/1826011/000164117225017861/form8-k.htm" TargetMode="External"/><Relationship Id="rId24" Type="http://schemas.openxmlformats.org/officeDocument/2006/relationships/hyperlink" Target="https://www.sec.gov/Archives/edgar/data/1826011/000164117225018464/form8-k.htm" TargetMode="External"/><Relationship Id="rId25" Type="http://schemas.openxmlformats.org/officeDocument/2006/relationships/hyperlink" Target="https://www.sec.gov/Archives/edgar/data/1826011/000149315225004641/form8-ka.htm" TargetMode="External"/><Relationship Id="rId26" Type="http://schemas.openxmlformats.org/officeDocument/2006/relationships/hyperlink" Target="https://www.sec.gov/Archives/edgar/data/1826011/000149315225006424/form8-ka.htm" TargetMode="External"/><Relationship Id="rId27" Type="http://schemas.openxmlformats.org/officeDocument/2006/relationships/hyperlink" Target="https://www.sec.gov/Archives/edgar/data/1826011/000149315225008763/form8-ka.htm" TargetMode="External"/><Relationship Id="rId28" Type="http://schemas.openxmlformats.org/officeDocument/2006/relationships/hyperlink" Target="https://www.sec.gov/Archives/edgar/data/1826011/000164117225005389/form8-ka.htm" TargetMode="External"/><Relationship Id="rId29" Type="http://schemas.openxmlformats.org/officeDocument/2006/relationships/hyperlink" Target="https://www.sec.gov/Archives/edgar/data/1826011/000164117225014546/form8-ka.htm" TargetMode="External"/><Relationship Id="rId30" Type="http://schemas.openxmlformats.org/officeDocument/2006/relationships/hyperlink" Target="https://www.sec.gov/Archives/edgar/data/1826011/000119312523300033/d449527d8k.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29379</Words>
  <Characters>153519</Characters>
  <CharactersWithSpaces>183007</CharactersWithSpaces>
  <Paragraphs>2489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