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424b5.htm"/>
      <w:bookmarkStart w:id="1" w:name="ksform424b5"/>
      <w:bookmarkEnd w:id="0"/>
      <w:bookmarkEnd w:id="1"/>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3080"/>
        <w:gridCol w:w="2735"/>
      </w:tblGrid>
      <w:tr>
        <w:trPr/>
        <w:tc>
          <w:tcPr>
            <w:tcW w:w="30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tc>
        <w:tc>
          <w:tcPr>
            <w:tcW w:w="273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r>
          </w:p>
        </w:tc>
      </w:tr>
      <w:tr>
        <w:trPr/>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Prospectus dated August 8, 2025)</w:t>
            </w:r>
          </w:p>
        </w:tc>
        <w:tc>
          <w:tcPr>
            <w:tcW w:w="273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333-288908</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327,273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Shares of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327,273 shares of Class A Common Stock, par value $0.0001 per share (the “Class A Common Stock” or “Common Stock”), in this offering pursuant to this prospectus supplement and the accompanying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listed on the Nasdaq Capital Market under the symbol “BNZI.” On July 10, 2026, the last reported sale price of our Class A Common Stock on the Nasdaq Capital Market was $3.24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our outstanding voting and non-voting common equities held by non-affiliates was approximately $22.6 million based on 2,944,907 shares of Class A Common Stock held by non-affiliates and a price per share of $7.66, the closing price of our Class A Common Stock on May 15, 2026. During the previous 12 calendar months prior to and including the date of this prospectus supplement, we have sold $6,506,566 of our securities pursuant to General Instruction I.B.6 of Form S-3. Pursuant to General Instruction I.B.6 of Form S-3, in no event will we sell securities in public primary offerings on Form S-3 with a value exceeding one-third of our public float (as defined by General Instruction I.B.6) in any 12 calendar month period so long as our public float remains below $75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read carefully and consider the information under the heading “Risk Factors” beginning on page S-7 of this prospectus supplement, and in the documents incorporated by reference into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tbl>
      <w:tblPr>
        <w:tblW w:w="6319" w:type="dxa"/>
        <w:jc w:val="left"/>
        <w:tblInd w:w="0" w:type="dxa"/>
        <w:tblLayout w:type="fixed"/>
        <w:tblCellMar>
          <w:top w:w="0" w:type="dxa"/>
          <w:left w:w="0" w:type="dxa"/>
          <w:bottom w:w="0" w:type="dxa"/>
          <w:right w:w="0" w:type="dxa"/>
        </w:tblCellMar>
      </w:tblPr>
      <w:tblGrid>
        <w:gridCol w:w="4025"/>
        <w:gridCol w:w="60"/>
        <w:gridCol w:w="165"/>
        <w:gridCol w:w="874"/>
        <w:gridCol w:w="60"/>
        <w:gridCol w:w="60"/>
        <w:gridCol w:w="140"/>
        <w:gridCol w:w="860"/>
        <w:gridCol w:w="75"/>
      </w:tblGrid>
      <w:tr>
        <w:trPr/>
        <w:tc>
          <w:tcPr>
            <w:tcW w:w="4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 Share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center"/>
              <w:rPr/>
            </w:pPr>
            <w:r>
              <w:rPr/>
              <w:t> </w:t>
            </w:r>
          </w:p>
        </w:tc>
      </w:tr>
      <w:tr>
        <w:trPr/>
        <w:tc>
          <w:tcPr>
            <w:tcW w:w="4025" w:type="dxa"/>
            <w:tcBorders/>
            <w:shd w:fill="CCEEFF" w:val="clear"/>
            <w:vAlign w:val="center"/>
          </w:tcPr>
          <w:p>
            <w:pPr>
              <w:pStyle w:val="TableContents"/>
              <w:bidi w:val="0"/>
              <w:spacing w:before="0" w:after="283"/>
              <w:jc w:val="both"/>
              <w:rPr/>
            </w:pPr>
            <w:r>
              <w:rPr/>
              <w:t>Public offering price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74" w:type="dxa"/>
            <w:tcBorders/>
            <w:shd w:fill="CCEEFF" w:val="clear"/>
            <w:vAlign w:val="center"/>
          </w:tcPr>
          <w:p>
            <w:pPr>
              <w:pStyle w:val="TableContents"/>
              <w:bidi w:val="0"/>
              <w:spacing w:before="0" w:after="283"/>
              <w:jc w:val="right"/>
              <w:rPr/>
            </w:pPr>
            <w:r>
              <w:rPr/>
              <w:t xml:space="preserve">2.75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 xml:space="preserve">900,000 </w:t>
            </w:r>
          </w:p>
        </w:tc>
        <w:tc>
          <w:tcPr>
            <w:tcW w:w="7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Underwriting discounts and commissions (7%)</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874" w:type="dxa"/>
            <w:tcBorders/>
            <w:shd w:fill="FFFFFF" w:val="clear"/>
            <w:vAlign w:val="center"/>
          </w:tcPr>
          <w:p>
            <w:pPr>
              <w:pStyle w:val="TableContents"/>
              <w:bidi w:val="0"/>
              <w:spacing w:before="0" w:after="283"/>
              <w:jc w:val="right"/>
              <w:rPr/>
            </w:pPr>
            <w:r>
              <w:rPr/>
              <w:t xml:space="preserve">0.1925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jc w:val="right"/>
              <w:rPr/>
            </w:pPr>
            <w:r>
              <w:rPr/>
              <w:t xml:space="preserve">63,000 </w:t>
            </w:r>
          </w:p>
        </w:tc>
        <w:tc>
          <w:tcPr>
            <w:tcW w:w="7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both"/>
              <w:rPr/>
            </w:pPr>
            <w:r>
              <w:rPr/>
              <w:t>Proceeds, before expenses, to us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74" w:type="dxa"/>
            <w:tcBorders/>
            <w:shd w:fill="CCEEFF" w:val="clear"/>
            <w:vAlign w:val="center"/>
          </w:tcPr>
          <w:p>
            <w:pPr>
              <w:pStyle w:val="TableContents"/>
              <w:bidi w:val="0"/>
              <w:spacing w:before="0" w:after="283"/>
              <w:jc w:val="right"/>
              <w:rPr/>
            </w:pPr>
            <w:r>
              <w:rPr/>
              <w:t xml:space="preserve">2.5575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 xml:space="preserve">837,000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 will also be reimbursed for certain expenses incurred in this offering. See “Underwriting” on page S-15 of this prospectus supplement for additional information regarding underwriting compensation.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the underwriter an option for a period ending 45 days after the closing of this offering to purchase 36,364 additional shares of Common Stock from us at the public offering price, less the underwriting discount, solely to cover over-allotments,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Except as otherwise indicated, all references to our Common Stock, share data, per share data and related information depict the effect of the 1-for-20 reverse stock split of the shares of our outstanding common stock, effective as of May 8, 2026 (the “May 2026 Reverse Stock Split”), as if it had occurred at the beginning of the earliest period presented. The May 2026 Reverse Stock Split combined each twenty shares of our outstanding shares of common stock into one share of common stock, without any change in the par value per share, and the May 2026 Reverse Stock Split correspondingly adjusted, among other things, the number of shares of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the shares of our Common Stock against payment is expected to be made on or about July 14, 2026, subject to customary closing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Sole Book-Running Manager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Aegis Capital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July 13,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toc_001"/>
      <w:bookmarkEnd w:id="2"/>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360" w:right="0" w:hanging="360"/>
        <w:jc w:val="both"/>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6245"/>
        <w:gridCol w:w="455"/>
      </w:tblGrid>
      <w:tr>
        <w:trPr/>
        <w:tc>
          <w:tcPr>
            <w:tcW w:w="624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245" w:type="dxa"/>
            <w:tcBorders/>
            <w:shd w:fill="CCEEFF" w:val="clear"/>
            <w:vAlign w:val="center"/>
          </w:tcPr>
          <w:p>
            <w:pPr>
              <w:pStyle w:val="TableContents"/>
              <w:bidi w:val="0"/>
              <w:spacing w:before="0" w:after="283"/>
              <w:jc w:val="left"/>
              <w:rPr/>
            </w:pPr>
            <w:hyperlink w:anchor="m_001">
              <w:r>
                <w:rPr>
                  <w:rStyle w:val="InternetLink"/>
                  <w:rFonts w:ascii="Times New Roman;Times;Serif" w:hAnsi="Times New Roman;Times;Serif"/>
                  <w:b w:val="false"/>
                  <w:i w:val="false"/>
                  <w:caps w:val="false"/>
                  <w:smallCaps w:val="false"/>
                  <w:sz w:val="20"/>
                </w:rPr>
                <w:t>ABOUT THIS PROSPECTUS SUPPLEMENT</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r>
      <w:tr>
        <w:trPr/>
        <w:tc>
          <w:tcPr>
            <w:tcW w:w="6245" w:type="dxa"/>
            <w:tcBorders/>
            <w:shd w:fill="FFFFFF" w:val="clear"/>
            <w:vAlign w:val="center"/>
          </w:tcPr>
          <w:p>
            <w:pPr>
              <w:pStyle w:val="TableContents"/>
              <w:bidi w:val="0"/>
              <w:spacing w:before="0" w:after="283"/>
              <w:jc w:val="left"/>
              <w:rPr/>
            </w:pPr>
            <w:hyperlink w:anchor="m_002">
              <w:r>
                <w:rPr>
                  <w:rStyle w:val="InternetLink"/>
                  <w:rFonts w:ascii="Times New Roman;Times;Serif" w:hAnsi="Times New Roman;Times;Serif"/>
                  <w:b w:val="false"/>
                  <w:i w:val="false"/>
                  <w:caps w:val="false"/>
                  <w:smallCaps w:val="false"/>
                  <w:sz w:val="20"/>
                </w:rPr>
                <w:t>CAUTIONARY NOTE REGARDING FORWARD-LOOKING STATEMENTS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w:t>
            </w:r>
          </w:p>
        </w:tc>
      </w:tr>
      <w:tr>
        <w:trPr/>
        <w:tc>
          <w:tcPr>
            <w:tcW w:w="6245" w:type="dxa"/>
            <w:tcBorders/>
            <w:shd w:fill="CCEEFF" w:val="clear"/>
            <w:vAlign w:val="center"/>
          </w:tcPr>
          <w:p>
            <w:pPr>
              <w:pStyle w:val="TableContents"/>
              <w:bidi w:val="0"/>
              <w:spacing w:before="0" w:after="283"/>
              <w:jc w:val="left"/>
              <w:rPr/>
            </w:pPr>
            <w:hyperlink w:anchor="m_003">
              <w:r>
                <w:rPr>
                  <w:rStyle w:val="InternetLink"/>
                  <w:rFonts w:ascii="Times New Roman;Times;Serif" w:hAnsi="Times New Roman;Times;Serif"/>
                  <w:b w:val="false"/>
                  <w:i w:val="false"/>
                  <w:caps w:val="false"/>
                  <w:smallCaps w:val="false"/>
                  <w:sz w:val="20"/>
                </w:rPr>
                <w:t>PROSPECTUS SUPPLEMENT SUMMARY</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S-3</w:t>
            </w:r>
          </w:p>
        </w:tc>
      </w:tr>
      <w:tr>
        <w:trPr/>
        <w:tc>
          <w:tcPr>
            <w:tcW w:w="6245" w:type="dxa"/>
            <w:tcBorders/>
            <w:shd w:fill="FFFFFF" w:val="clear"/>
            <w:vAlign w:val="center"/>
          </w:tcPr>
          <w:p>
            <w:pPr>
              <w:pStyle w:val="TableContents"/>
              <w:bidi w:val="0"/>
              <w:spacing w:before="0" w:after="283"/>
              <w:jc w:val="left"/>
              <w:rPr/>
            </w:pPr>
            <w:hyperlink w:anchor="m_004">
              <w:r>
                <w:rPr>
                  <w:rStyle w:val="InternetLink"/>
                  <w:rFonts w:ascii="Times New Roman;Times;Serif" w:hAnsi="Times New Roman;Times;Serif"/>
                  <w:b w:val="false"/>
                  <w:i w:val="false"/>
                  <w:caps w:val="false"/>
                  <w:smallCaps w:val="false"/>
                  <w:sz w:val="20"/>
                </w:rPr>
                <w:t>THE OFFERING</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S-5</w:t>
            </w:r>
          </w:p>
        </w:tc>
      </w:tr>
      <w:tr>
        <w:trPr/>
        <w:tc>
          <w:tcPr>
            <w:tcW w:w="6245" w:type="dxa"/>
            <w:tcBorders/>
            <w:shd w:fill="CCEEFF" w:val="clear"/>
            <w:vAlign w:val="center"/>
          </w:tcPr>
          <w:p>
            <w:pPr>
              <w:pStyle w:val="TableContents"/>
              <w:bidi w:val="0"/>
              <w:spacing w:before="0" w:after="283"/>
              <w:jc w:val="left"/>
              <w:rPr/>
            </w:pPr>
            <w:hyperlink w:anchor="m_005">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S-7</w:t>
            </w:r>
          </w:p>
        </w:tc>
      </w:tr>
      <w:tr>
        <w:trPr/>
        <w:tc>
          <w:tcPr>
            <w:tcW w:w="6245" w:type="dxa"/>
            <w:tcBorders/>
            <w:shd w:fill="FFFFFF" w:val="clear"/>
            <w:vAlign w:val="center"/>
          </w:tcPr>
          <w:p>
            <w:pPr>
              <w:pStyle w:val="TableContents"/>
              <w:bidi w:val="0"/>
              <w:spacing w:before="0" w:after="283"/>
              <w:jc w:val="left"/>
              <w:rPr/>
            </w:pPr>
            <w:hyperlink w:anchor="m_006">
              <w:r>
                <w:rPr>
                  <w:rStyle w:val="InternetLink"/>
                  <w:rFonts w:ascii="Times New Roman;Times;Serif" w:hAnsi="Times New Roman;Times;Serif"/>
                  <w:b w:val="false"/>
                  <w:i w:val="false"/>
                  <w:caps w:val="false"/>
                  <w:smallCaps w:val="false"/>
                  <w:sz w:val="20"/>
                </w:rPr>
                <w:t>USE OF PROCEEDS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S-11</w:t>
            </w:r>
          </w:p>
        </w:tc>
      </w:tr>
      <w:tr>
        <w:trPr/>
        <w:tc>
          <w:tcPr>
            <w:tcW w:w="6245" w:type="dxa"/>
            <w:tcBorders/>
            <w:shd w:fill="CCEEFF" w:val="clear"/>
            <w:vAlign w:val="center"/>
          </w:tcPr>
          <w:p>
            <w:pPr>
              <w:pStyle w:val="TableContents"/>
              <w:bidi w:val="0"/>
              <w:spacing w:before="0" w:after="283"/>
              <w:jc w:val="left"/>
              <w:rPr/>
            </w:pPr>
            <w:hyperlink w:anchor="m_007">
              <w:r>
                <w:rPr>
                  <w:rStyle w:val="InternetLink"/>
                  <w:rFonts w:ascii="Times New Roman;Times;Serif" w:hAnsi="Times New Roman;Times;Serif"/>
                  <w:b w:val="false"/>
                  <w:i w:val="false"/>
                  <w:caps w:val="false"/>
                  <w:smallCaps w:val="false"/>
                  <w:sz w:val="20"/>
                </w:rPr>
                <w:t>DESCRIPTION OF SECURITIES WE ARE OFFERING</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S-13</w:t>
            </w:r>
          </w:p>
        </w:tc>
      </w:tr>
      <w:tr>
        <w:trPr/>
        <w:tc>
          <w:tcPr>
            <w:tcW w:w="6245" w:type="dxa"/>
            <w:tcBorders/>
            <w:shd w:fill="FFFFFF" w:val="clear"/>
            <w:vAlign w:val="center"/>
          </w:tcPr>
          <w:p>
            <w:pPr>
              <w:pStyle w:val="TableContents"/>
              <w:bidi w:val="0"/>
              <w:spacing w:before="0" w:after="283"/>
              <w:jc w:val="left"/>
              <w:rPr/>
            </w:pPr>
            <w:hyperlink w:anchor="m_008">
              <w:r>
                <w:rPr>
                  <w:rStyle w:val="InternetLink"/>
                  <w:rFonts w:ascii="Times New Roman;Times;Serif" w:hAnsi="Times New Roman;Times;Serif"/>
                  <w:b w:val="false"/>
                  <w:i w:val="false"/>
                  <w:caps w:val="false"/>
                  <w:smallCaps w:val="false"/>
                  <w:sz w:val="20"/>
                </w:rPr>
                <w:t>CAPITALIZATION</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S-14</w:t>
            </w:r>
          </w:p>
        </w:tc>
      </w:tr>
      <w:tr>
        <w:trPr/>
        <w:tc>
          <w:tcPr>
            <w:tcW w:w="6245" w:type="dxa"/>
            <w:tcBorders/>
            <w:shd w:fill="CCEEFF" w:val="clear"/>
            <w:vAlign w:val="center"/>
          </w:tcPr>
          <w:p>
            <w:pPr>
              <w:pStyle w:val="TableContents"/>
              <w:bidi w:val="0"/>
              <w:spacing w:before="0" w:after="283"/>
              <w:jc w:val="left"/>
              <w:rPr/>
            </w:pPr>
            <w:hyperlink w:anchor="Rma_001">
              <w:r>
                <w:rPr>
                  <w:rStyle w:val="InternetLink"/>
                  <w:rFonts w:ascii="Times New Roman;Times;Serif" w:hAnsi="Times New Roman;Times;Serif"/>
                  <w:b w:val="false"/>
                  <w:i w:val="false"/>
                  <w:caps w:val="false"/>
                  <w:smallCaps w:val="false"/>
                  <w:sz w:val="20"/>
                </w:rPr>
                <w:t>UNDERWRITING</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S-15</w:t>
            </w:r>
          </w:p>
        </w:tc>
      </w:tr>
      <w:tr>
        <w:trPr/>
        <w:tc>
          <w:tcPr>
            <w:tcW w:w="6245" w:type="dxa"/>
            <w:tcBorders/>
            <w:shd w:fill="FFFFFF" w:val="clear"/>
            <w:vAlign w:val="center"/>
          </w:tcPr>
          <w:p>
            <w:pPr>
              <w:pStyle w:val="TableContents"/>
              <w:bidi w:val="0"/>
              <w:spacing w:before="0" w:after="283"/>
              <w:jc w:val="left"/>
              <w:rPr/>
            </w:pPr>
            <w:hyperlink w:anchor="m_009">
              <w:r>
                <w:rPr>
                  <w:rStyle w:val="InternetLink"/>
                  <w:rFonts w:ascii="Times New Roman;Times;Serif" w:hAnsi="Times New Roman;Times;Serif"/>
                  <w:b w:val="false"/>
                  <w:i w:val="false"/>
                  <w:caps w:val="false"/>
                  <w:smallCaps w:val="false"/>
                  <w:sz w:val="20"/>
                </w:rPr>
                <w:t>LEGAL MATTERS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S-18</w:t>
            </w:r>
          </w:p>
        </w:tc>
      </w:tr>
      <w:tr>
        <w:trPr/>
        <w:tc>
          <w:tcPr>
            <w:tcW w:w="6245" w:type="dxa"/>
            <w:tcBorders/>
            <w:shd w:fill="CCEEFF" w:val="clear"/>
            <w:vAlign w:val="center"/>
          </w:tcPr>
          <w:p>
            <w:pPr>
              <w:pStyle w:val="TableContents"/>
              <w:bidi w:val="0"/>
              <w:spacing w:before="0" w:after="283"/>
              <w:jc w:val="left"/>
              <w:rPr/>
            </w:pPr>
            <w:hyperlink w:anchor="m_010">
              <w:r>
                <w:rPr>
                  <w:rStyle w:val="InternetLink"/>
                  <w:rFonts w:ascii="Times New Roman;Times;Serif" w:hAnsi="Times New Roman;Times;Serif"/>
                  <w:b w:val="false"/>
                  <w:i w:val="false"/>
                  <w:caps w:val="false"/>
                  <w:smallCaps w:val="false"/>
                  <w:sz w:val="20"/>
                </w:rPr>
                <w:t>EXPERTS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S-18</w:t>
            </w:r>
          </w:p>
        </w:tc>
      </w:tr>
      <w:tr>
        <w:trPr/>
        <w:tc>
          <w:tcPr>
            <w:tcW w:w="6245" w:type="dxa"/>
            <w:tcBorders/>
            <w:shd w:fill="FFFFFF" w:val="clear"/>
            <w:vAlign w:val="center"/>
          </w:tcPr>
          <w:p>
            <w:pPr>
              <w:pStyle w:val="TableContents"/>
              <w:bidi w:val="0"/>
              <w:spacing w:before="0" w:after="283"/>
              <w:jc w:val="left"/>
              <w:rPr/>
            </w:pPr>
            <w:hyperlink w:anchor="m_011">
              <w:r>
                <w:rPr>
                  <w:rStyle w:val="InternetLink"/>
                  <w:rFonts w:ascii="Times New Roman;Times;Serif" w:hAnsi="Times New Roman;Times;Serif"/>
                  <w:b w:val="false"/>
                  <w:i w:val="false"/>
                  <w:caps w:val="false"/>
                  <w:smallCaps w:val="false"/>
                  <w:sz w:val="20"/>
                </w:rPr>
                <w:t>WHERE YOU CAN FIND ADDITIONAL INFORMATION</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S-18</w:t>
            </w:r>
          </w:p>
        </w:tc>
      </w:tr>
      <w:tr>
        <w:trPr/>
        <w:tc>
          <w:tcPr>
            <w:tcW w:w="6245" w:type="dxa"/>
            <w:tcBorders/>
            <w:shd w:fill="CCEEFF" w:val="clear"/>
            <w:vAlign w:val="center"/>
          </w:tcPr>
          <w:p>
            <w:pPr>
              <w:pStyle w:val="TableContents"/>
              <w:bidi w:val="0"/>
              <w:spacing w:before="0" w:after="283"/>
              <w:jc w:val="left"/>
              <w:rPr/>
            </w:pPr>
            <w:hyperlink w:anchor="sh_001">
              <w:r>
                <w:rPr>
                  <w:rStyle w:val="InternetLink"/>
                  <w:rFonts w:ascii="Times New Roman;Times;Serif" w:hAnsi="Times New Roman;Times;Serif"/>
                  <w:b w:val="false"/>
                  <w:i w:val="false"/>
                  <w:caps w:val="false"/>
                  <w:smallCaps w:val="false"/>
                  <w:sz w:val="20"/>
                </w:rPr>
                <w:t>INFORMATION INCORPORATED BY REFERENCE</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BASE PROSPECTUS</w:t>
      </w:r>
    </w:p>
    <w:p>
      <w:pPr>
        <w:pStyle w:val="TextBody"/>
        <w:bidi w:val="0"/>
        <w:spacing w:before="0" w:after="0"/>
        <w:ind w:left="0" w:right="0" w:hanging="0"/>
        <w:jc w:val="left"/>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6890"/>
        <w:gridCol w:w="455"/>
      </w:tblGrid>
      <w:tr>
        <w:trPr/>
        <w:tc>
          <w:tcPr>
            <w:tcW w:w="689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89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6890" w:type="dxa"/>
            <w:tcBorders/>
            <w:shd w:fill="CCEEFF" w:val="clear"/>
            <w:vAlign w:val="center"/>
          </w:tcPr>
          <w:p>
            <w:pPr>
              <w:pStyle w:val="TableContents"/>
              <w:bidi w:val="0"/>
              <w:spacing w:before="0" w:after="283"/>
              <w:jc w:val="left"/>
              <w:rPr/>
            </w:pPr>
            <w:hyperlink w:anchor="sh_002">
              <w:r>
                <w:rPr>
                  <w:rStyle w:val="InternetLink"/>
                  <w:rFonts w:ascii="Times New Roman;Times;Serif" w:hAnsi="Times New Roman;Times;Serif"/>
                  <w:b w:val="false"/>
                  <w:i w:val="false"/>
                  <w:caps w:val="false"/>
                  <w:smallCaps w:val="false"/>
                  <w:sz w:val="20"/>
                </w:rPr>
                <w:t>ABOUT THIS PROSPECTUS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6890" w:type="dxa"/>
            <w:tcBorders/>
            <w:shd w:fill="FFFFFF" w:val="clear"/>
            <w:vAlign w:val="center"/>
          </w:tcPr>
          <w:p>
            <w:pPr>
              <w:pStyle w:val="TableContents"/>
              <w:bidi w:val="0"/>
              <w:spacing w:before="0" w:after="283"/>
              <w:jc w:val="left"/>
              <w:rPr/>
            </w:pPr>
            <w:hyperlink w:anchor="sh_003">
              <w:r>
                <w:rPr>
                  <w:rStyle w:val="InternetLink"/>
                  <w:rFonts w:ascii="Times New Roman;Times;Serif" w:hAnsi="Times New Roman;Times;Serif"/>
                  <w:b w:val="false"/>
                  <w:i w:val="false"/>
                  <w:caps w:val="false"/>
                  <w:smallCaps w:val="false"/>
                  <w:sz w:val="20"/>
                </w:rPr>
                <w:t>CAUTIONARY STATEMENT REGARDING FORWARD-LOOKING STATEMENTS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6890" w:type="dxa"/>
            <w:tcBorders/>
            <w:shd w:fill="CCEEFF" w:val="clear"/>
            <w:vAlign w:val="center"/>
          </w:tcPr>
          <w:p>
            <w:pPr>
              <w:pStyle w:val="TableContents"/>
              <w:bidi w:val="0"/>
              <w:spacing w:before="0" w:after="283"/>
              <w:jc w:val="left"/>
              <w:rPr/>
            </w:pPr>
            <w:hyperlink w:anchor="sh_004">
              <w:r>
                <w:rPr>
                  <w:rStyle w:val="InternetLink"/>
                  <w:rFonts w:ascii="Times New Roman;Times;Serif" w:hAnsi="Times New Roman;Times;Serif"/>
                  <w:b w:val="false"/>
                  <w:i w:val="false"/>
                  <w:caps w:val="false"/>
                  <w:smallCaps w:val="false"/>
                  <w:sz w:val="20"/>
                </w:rPr>
                <w:t>ABOUT BNZI</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890" w:type="dxa"/>
            <w:tcBorders/>
            <w:shd w:fill="FFFFFF" w:val="clear"/>
            <w:vAlign w:val="center"/>
          </w:tcPr>
          <w:p>
            <w:pPr>
              <w:pStyle w:val="TableContents"/>
              <w:bidi w:val="0"/>
              <w:spacing w:before="0" w:after="283"/>
              <w:jc w:val="left"/>
              <w:rPr/>
            </w:pPr>
            <w:hyperlink w:anchor="sh_005">
              <w:r>
                <w:rPr>
                  <w:rStyle w:val="InternetLink"/>
                  <w:rFonts w:ascii="Times New Roman;Times;Serif" w:hAnsi="Times New Roman;Times;Serif"/>
                  <w:b w:val="false"/>
                  <w:i w:val="false"/>
                  <w:caps w:val="false"/>
                  <w:smallCaps w:val="false"/>
                  <w:sz w:val="20"/>
                </w:rPr>
                <w:t>RISK FACTORS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6890" w:type="dxa"/>
            <w:tcBorders/>
            <w:shd w:fill="CCEEFF" w:val="clear"/>
            <w:vAlign w:val="center"/>
          </w:tcPr>
          <w:p>
            <w:pPr>
              <w:pStyle w:val="TableContents"/>
              <w:bidi w:val="0"/>
              <w:spacing w:before="0" w:after="283"/>
              <w:jc w:val="left"/>
              <w:rPr/>
            </w:pPr>
            <w:hyperlink w:anchor="sh_006">
              <w:r>
                <w:rPr>
                  <w:rStyle w:val="InternetLink"/>
                  <w:rFonts w:ascii="Times New Roman;Times;Serif" w:hAnsi="Times New Roman;Times;Serif"/>
                  <w:b w:val="false"/>
                  <w:i w:val="false"/>
                  <w:caps w:val="false"/>
                  <w:smallCaps w:val="false"/>
                  <w:sz w:val="20"/>
                </w:rPr>
                <w:t>USE OF PROCEEDS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890" w:type="dxa"/>
            <w:tcBorders/>
            <w:shd w:fill="FFFFFF" w:val="clear"/>
            <w:vAlign w:val="center"/>
          </w:tcPr>
          <w:p>
            <w:pPr>
              <w:pStyle w:val="TableContents"/>
              <w:bidi w:val="0"/>
              <w:spacing w:before="0" w:after="283"/>
              <w:jc w:val="left"/>
              <w:rPr/>
            </w:pPr>
            <w:hyperlink w:anchor="sh_007">
              <w:r>
                <w:rPr>
                  <w:rStyle w:val="InternetLink"/>
                  <w:rFonts w:ascii="Times New Roman;Times;Serif" w:hAnsi="Times New Roman;Times;Serif"/>
                  <w:b w:val="false"/>
                  <w:i w:val="false"/>
                  <w:caps w:val="false"/>
                  <w:smallCaps w:val="false"/>
                  <w:sz w:val="20"/>
                </w:rPr>
                <w:t>DILUTION</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890" w:type="dxa"/>
            <w:tcBorders/>
            <w:shd w:fill="CCEEFF" w:val="clear"/>
            <w:vAlign w:val="center"/>
          </w:tcPr>
          <w:p>
            <w:pPr>
              <w:pStyle w:val="TableContents"/>
              <w:bidi w:val="0"/>
              <w:spacing w:before="0" w:after="283"/>
              <w:jc w:val="left"/>
              <w:rPr/>
            </w:pPr>
            <w:hyperlink w:anchor="sh_008">
              <w:r>
                <w:rPr>
                  <w:rStyle w:val="InternetLink"/>
                  <w:rFonts w:ascii="Times New Roman;Times;Serif" w:hAnsi="Times New Roman;Times;Serif"/>
                  <w:b w:val="false"/>
                  <w:i w:val="false"/>
                  <w:caps w:val="false"/>
                  <w:smallCaps w:val="false"/>
                  <w:sz w:val="20"/>
                </w:rPr>
                <w:t>DESCRIPTION OF SECURITIES TO BE REGISTERED</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890" w:type="dxa"/>
            <w:tcBorders/>
            <w:shd w:fill="FFFFFF" w:val="clear"/>
            <w:vAlign w:val="center"/>
          </w:tcPr>
          <w:p>
            <w:pPr>
              <w:pStyle w:val="TableContents"/>
              <w:bidi w:val="0"/>
              <w:spacing w:before="0" w:after="283"/>
              <w:jc w:val="left"/>
              <w:rPr/>
            </w:pPr>
            <w:hyperlink w:anchor="sa_001">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6890" w:type="dxa"/>
            <w:tcBorders/>
            <w:shd w:fill="CCEEFF" w:val="clear"/>
            <w:vAlign w:val="center"/>
          </w:tcPr>
          <w:p>
            <w:pPr>
              <w:pStyle w:val="TableContents"/>
              <w:bidi w:val="0"/>
              <w:spacing w:before="0" w:after="283"/>
              <w:jc w:val="left"/>
              <w:rPr/>
            </w:pPr>
            <w:hyperlink w:anchor="sa_002">
              <w:r>
                <w:rPr>
                  <w:rStyle w:val="InternetLink"/>
                  <w:rFonts w:ascii="Times New Roman;Times;Serif" w:hAnsi="Times New Roman;Times;Serif"/>
                  <w:b w:val="false"/>
                  <w:i w:val="false"/>
                  <w:caps w:val="false"/>
                  <w:smallCaps w:val="false"/>
                  <w:sz w:val="20"/>
                </w:rPr>
                <w:t>LEGAL MATTERS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890" w:type="dxa"/>
            <w:tcBorders/>
            <w:shd w:fill="FFFFFF" w:val="clear"/>
            <w:vAlign w:val="center"/>
          </w:tcPr>
          <w:p>
            <w:pPr>
              <w:pStyle w:val="TableContents"/>
              <w:bidi w:val="0"/>
              <w:spacing w:before="0" w:after="283"/>
              <w:jc w:val="left"/>
              <w:rPr/>
            </w:pPr>
            <w:hyperlink w:anchor="sa_003">
              <w:r>
                <w:rPr>
                  <w:rStyle w:val="InternetLink"/>
                  <w:rFonts w:ascii="Times New Roman;Times;Serif" w:hAnsi="Times New Roman;Times;Serif"/>
                  <w:b w:val="false"/>
                  <w:i w:val="false"/>
                  <w:caps w:val="false"/>
                  <w:smallCaps w:val="false"/>
                  <w:sz w:val="20"/>
                </w:rPr>
                <w:t>EXPERTS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890" w:type="dxa"/>
            <w:tcBorders/>
            <w:shd w:fill="CCEEFF" w:val="clear"/>
            <w:vAlign w:val="center"/>
          </w:tcPr>
          <w:p>
            <w:pPr>
              <w:pStyle w:val="TableContents"/>
              <w:bidi w:val="0"/>
              <w:spacing w:before="0" w:after="283"/>
              <w:jc w:val="left"/>
              <w:rPr/>
            </w:pPr>
            <w:hyperlink w:anchor="sa_004">
              <w:r>
                <w:rPr>
                  <w:rStyle w:val="InternetLink"/>
                  <w:rFonts w:ascii="Times New Roman;Times;Serif" w:hAnsi="Times New Roman;Times;Serif"/>
                  <w:b w:val="false"/>
                  <w:i w:val="false"/>
                  <w:caps w:val="false"/>
                  <w:smallCaps w:val="false"/>
                  <w:sz w:val="20"/>
                </w:rPr>
                <w:t>WHERE YOU CAN FIND MORE INFORMATION</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890" w:type="dxa"/>
            <w:tcBorders/>
            <w:shd w:fill="FFFFFF" w:val="clear"/>
            <w:vAlign w:val="center"/>
          </w:tcPr>
          <w:p>
            <w:pPr>
              <w:pStyle w:val="TableContents"/>
              <w:bidi w:val="0"/>
              <w:spacing w:before="0" w:after="283"/>
              <w:jc w:val="left"/>
              <w:rPr/>
            </w:pPr>
            <w:hyperlink w:anchor="sa_005">
              <w:r>
                <w:rPr>
                  <w:rStyle w:val="InternetLink"/>
                  <w:rFonts w:ascii="Times New Roman;Times;Serif" w:hAnsi="Times New Roman;Times;Serif"/>
                  <w:b w:val="false"/>
                  <w:i w:val="false"/>
                  <w:caps w:val="false"/>
                  <w:smallCaps w:val="false"/>
                  <w:sz w:val="20"/>
                </w:rPr>
                <w:t>INCORPORATION OF CERTAIN DOCUMENTS BY REFERENCE</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bl>
    <w:p>
      <w:pPr>
        <w:pStyle w:val="TextBody"/>
        <w:bidi w:val="0"/>
        <w:spacing w:before="0" w:after="0"/>
        <w:ind w:left="0" w:right="0" w:hanging="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m_001"/>
      <w:bookmarkEnd w:id="3"/>
      <w:r>
        <w:rPr>
          <w:rFonts w:ascii="Times New Roman;Times;Serif" w:hAnsi="Times New Roman;Times;Serif"/>
          <w:b/>
          <w:i w:val="false"/>
          <w:caps/>
          <w:sz w:val="20"/>
        </w:rPr>
        <w:t>ABOUT THIS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dated August 8, 2025, are part of a registration statement that we filed on Form S-3 (333-288908) with the U.S. Securities and Exchange Commission (“SEC”), using a “shelf” registration process and that was declared effective by the SEC on August 8, 2025. By using a shelf registration statement, we may sell an unspecified amount of securities from time to time. This prospectus supplement and the accompanying prospectus relate to the offering of our Class A Common Stock. We provide information to you about this offering of shares of our Class A Common Stock in two separate documents that are bound together: (1) this prospectus supplement, including the documents incorporated by reference therein, which describes the specific details regarding this offering; and (2) the accompanying prospectus, including the documents incorporated by reference therein,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date—for example, a document incorporated by reference in this prospectus supplement or the accompanying prospectus—the statement in the document having the later date modifies or supersedes the earlier statement as our business, financial condition, results of operations and prospects may have changed since the earlier dates. You should read this prospectus supplement, the accompanying prospectus, the documents and information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under the headings “Where You can Find More Information” and “Information 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and Aegis has not, authorized anyone to provide any information other than that contained in or incorporated by reference in this prospectus supplement, the accompanying prospectus and any free writing prospectus prepared by or on behalf of us or to which we have referred you. We and Aegis take no responsibility for, and can provide no assurance as to the reliability of, any other information that others may give you. We are not, and Aegis is not, making an offer to sell or soliciting an offer to buy our securities in any jurisdiction where an offer or solicitation is not authorized or in which the person making that offer or solicitation is not qualified to do so or to anyone to whom it is unlawful to make an offer or solicitation. You should assume that the information appearing in this prospectus supplement, the accompanying prospectus, the documents incorporated by reference herein or therein,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supplement, the documents incorporated by reference into this prospectus supplement, the accompanying prospectus and any free writing prospectus that we may authorize for use in connection with this offering, in their entirety before making an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contain summaries of certain provisions contained in some of the documents described herein, but reference is made to the actual documents for complete information. All of the summaries are qualified in their entirety by the full text of the actual documents, some of which have been filed or will be filed with the SEC and incorporated by reference herein. See “Where You Can Find More Information” in this prospectus supplement. We further note that the representations, warranties and covenants made by us in any agreement that is filed as an exhibit to any document that is incorporated by reference into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“Banzai,” “we,” “our,” “us” and the “Company” in this prospectus supplement and the accompanying prospectus, we mean Banzai International, Inc., unless otherwise specified.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our trademarks in this prospectus as well as trademarks, tradenames and service marks that are the property of other organizations. Solely for convenience, trademarks and tradenames referred to in this prospectus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S-1</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m_002"/>
      <w:bookmarkEnd w:id="4"/>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the documents incorporated by reference herein and therein each contain forward-looking statements within the meaning of the Private Securities Litigation Reform Act of 1995. We intend such forward-looking statements to be covered by the safe harbor provisions for forward-looking statements contained in Section 27A of the Securities Act and Section 21E of the Securities Exchange Act of 1934, as amended (the “Exchange Act”). All statements contained in this prospectus supplement, the accompanying prospectus and the documents incorporated by reference herein and therein other than statements of historical fact, including statements regarding our future operating results and financial position, including profitability, our business strategy and plans, market growth, product and service releases, the status of product development, compliance with applicable listing requirements or standards of The Nasdaq Capital Market, demand for our products and services, and our objectives for future operations, are forward-looking statements. In some cases the words “believe,” “may,” “will,” “estimate,” “potential,” “continue,” “anticipate,” “intend,” “expect,” “could,” “would,” “project,” “plan,” “target,” or the negative of these terms and similar expressions are intended to identify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contained in this prospectus supplement, the accompanying prospectus and the documents incorporated by reference herein include, but are not limited to, statements about: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financial, business and operating performance and goals;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annualized recurring revenue and customer retention;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ongoing, future or ability to maintain or improve its financial position, cash flows, and liquidity and its expected financial needs;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financing and ability to obtain financing;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listing on The Nasdaq Capital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strategy and proposed acquisitions and, if completed, their potential success and financial contributions;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strategy and strategic goals, including being able to capitalize on opportunities;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expectations relating to our industry, outlook and market trends;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addressable market and serviceable addressable market and related projections;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plans, strategies and expectations for retaining existing or acquiring new customers, increasing revenue and executing growth initiatives;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areas of focus and additional products that may be sold in the future.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relate to the future, they are subject to inherent uncertainties, risks and changes in circumstances that are difficult to predict and many of which are outside of our control. Forward-looking statements are not guarantees of future performance, and our actual results of operations, financial condition and liquidity and development of the industry in which we operate may differ materially from those made in or suggested by the forward-looking statements. Therefore, investors should not rely on any of these forward-looking statements. Factors that may cause actual results to differ materially include changes in the markets in which we operate, customer demand, the financial markets, economic, business and regulatory and other factors, such as our ability to execute on its strategy. More detailed information about risk factors can be found in this prospectus, our Annual Report on Form 10-K and our Quarterly Reports on Form 10-Q under the heading “Risk Factors,” and in other reports filed us, including reports on Form 8-K. We do not undertake any duty to update forward-looking statements after the date they are made, except as required by law.</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S-2</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bdr w:val="single" w:sz="8" w:space="1" w:color="000000"/>
        </w:rPr>
      </w:pPr>
      <w:r>
        <w:rPr>
          <w:caps/>
          <w:bdr w:val="single" w:sz="8" w:space="1" w:color="000000"/>
        </w:rPr>
        <w:t> </w:t>
      </w:r>
    </w:p>
    <w:p>
      <w:pPr>
        <w:pStyle w:val="TextBody"/>
        <w:bidi w:val="0"/>
        <w:spacing w:before="0" w:after="0"/>
        <w:ind w:left="0" w:right="0" w:hanging="0"/>
        <w:jc w:val="left"/>
        <w:rPr>
          <w:caps/>
          <w:bdr w:val="single" w:sz="8" w:space="1" w:color="000000"/>
        </w:rPr>
      </w:pPr>
      <w:r>
        <w:rPr>
          <w:caps/>
          <w:bdr w:val="single" w:sz="8"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8" w:space="1" w:color="000000"/>
        </w:rPr>
      </w:pPr>
      <w:bookmarkStart w:id="5" w:name="m_003"/>
      <w:bookmarkEnd w:id="5"/>
      <w:r>
        <w:rPr>
          <w:rFonts w:ascii="Times New Roman;Times;Serif" w:hAnsi="Times New Roman;Times;Serif"/>
          <w:b/>
          <w:i w:val="false"/>
          <w:caps/>
          <w:sz w:val="20"/>
          <w:bdr w:val="single" w:sz="8" w:space="1" w:color="000000"/>
        </w:rPr>
        <w:t>PROSPECTUS SUPPLEMENT SUMMARY</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 xml:space="preserve">This summary highlights selected information contained elsewhere in this prospectus supplement, the accompanying prospectus and in the documents we incorporate by reference. This summary does not contain all of the information you should consider before making an investment decision. You should read this entire prospectus supplement and the accompanying prospectus carefully, especially the risks of investing in our Class A Common Stock discussed under </w:t>
      </w:r>
      <w:r>
        <w:rPr>
          <w:rFonts w:ascii="Times New Roman;Times;Serif" w:hAnsi="Times New Roman;Times;Serif"/>
          <w:b w:val="false"/>
          <w:i w:val="false"/>
          <w:caps w:val="false"/>
          <w:smallCaps w:val="false"/>
          <w:sz w:val="20"/>
          <w:bdr w:val="single" w:sz="8" w:space="1" w:color="000000"/>
        </w:rPr>
        <w:t>“</w:t>
      </w:r>
      <w:r>
        <w:rPr>
          <w:rFonts w:ascii="Times New Roman;Times;Serif" w:hAnsi="Times New Roman;Times;Serif"/>
          <w:b w:val="false"/>
          <w:i/>
          <w:caps w:val="false"/>
          <w:smallCaps w:val="false"/>
          <w:sz w:val="20"/>
          <w:bdr w:val="single" w:sz="8" w:space="1" w:color="000000"/>
        </w:rPr>
        <w:t>Risk Factors</w:t>
      </w:r>
      <w:r>
        <w:rPr>
          <w:rFonts w:ascii="Times New Roman;Times;Serif" w:hAnsi="Times New Roman;Times;Serif"/>
          <w:b w:val="false"/>
          <w:i w:val="false"/>
          <w:caps w:val="false"/>
          <w:smallCaps w:val="false"/>
          <w:sz w:val="20"/>
          <w:bdr w:val="single" w:sz="8" w:space="1" w:color="000000"/>
        </w:rPr>
        <w:t xml:space="preserve">” </w:t>
      </w:r>
      <w:r>
        <w:rPr>
          <w:rFonts w:ascii="Times New Roman;Times;Serif" w:hAnsi="Times New Roman;Times;Serif"/>
          <w:b w:val="false"/>
          <w:i/>
          <w:caps w:val="false"/>
          <w:smallCaps w:val="false"/>
          <w:sz w:val="20"/>
          <w:bdr w:val="single" w:sz="8" w:space="1" w:color="000000"/>
        </w:rPr>
        <w:t xml:space="preserve">beginning on page S-7 of this prospectus supplement and under the section </w:t>
      </w:r>
      <w:r>
        <w:rPr>
          <w:rFonts w:ascii="Times New Roman;Times;Serif" w:hAnsi="Times New Roman;Times;Serif"/>
          <w:b w:val="false"/>
          <w:i w:val="false"/>
          <w:caps w:val="false"/>
          <w:smallCaps w:val="false"/>
          <w:sz w:val="20"/>
          <w:bdr w:val="single" w:sz="8" w:space="1" w:color="000000"/>
        </w:rPr>
        <w:t>“</w:t>
      </w:r>
      <w:r>
        <w:rPr>
          <w:rFonts w:ascii="Times New Roman;Times;Serif" w:hAnsi="Times New Roman;Times;Serif"/>
          <w:b w:val="false"/>
          <w:i/>
          <w:caps w:val="false"/>
          <w:smallCaps w:val="false"/>
          <w:sz w:val="20"/>
          <w:bdr w:val="single" w:sz="8" w:space="1" w:color="000000"/>
        </w:rPr>
        <w:t>Risk Factors</w:t>
      </w:r>
      <w:r>
        <w:rPr>
          <w:rFonts w:ascii="Times New Roman;Times;Serif" w:hAnsi="Times New Roman;Times;Serif"/>
          <w:b w:val="false"/>
          <w:i w:val="false"/>
          <w:caps w:val="false"/>
          <w:smallCaps w:val="false"/>
          <w:sz w:val="20"/>
          <w:bdr w:val="single" w:sz="8" w:space="1" w:color="000000"/>
        </w:rPr>
        <w:t xml:space="preserve">” </w:t>
      </w:r>
      <w:r>
        <w:rPr>
          <w:rFonts w:ascii="Times New Roman;Times;Serif" w:hAnsi="Times New Roman;Times;Serif"/>
          <w:b w:val="false"/>
          <w:i/>
          <w:caps w:val="false"/>
          <w:smallCaps w:val="false"/>
          <w:sz w:val="20"/>
          <w:bdr w:val="single" w:sz="8" w:space="1" w:color="000000"/>
        </w:rPr>
        <w:t>in our Annual Report on Form 10-K for the year ended December 31, 202</w:t>
      </w:r>
      <w:r>
        <w:rPr>
          <w:rFonts w:ascii="Times New Roman;Times;Serif" w:hAnsi="Times New Roman;Times;Serif"/>
          <w:b w:val="false"/>
          <w:i w:val="false"/>
          <w:caps w:val="false"/>
          <w:smallCaps w:val="false"/>
          <w:sz w:val="20"/>
          <w:bdr w:val="single" w:sz="8" w:space="1" w:color="000000"/>
        </w:rPr>
        <w:t>5</w:t>
      </w:r>
      <w:r>
        <w:rPr>
          <w:rFonts w:ascii="Times New Roman;Times;Serif" w:hAnsi="Times New Roman;Times;Serif"/>
          <w:b w:val="false"/>
          <w:i/>
          <w:caps w:val="false"/>
          <w:smallCaps w:val="false"/>
          <w:sz w:val="20"/>
          <w:bdr w:val="single" w:sz="8" w:space="1" w:color="000000"/>
        </w:rPr>
        <w:t>, and any amendment or update thereto reflected in subsequent filings with the SEC, along with our financial statements and notes to those financial statements and the other information incorporated by reference in this prospectus supplement and the accompanying prospectus.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shd w:fill="FFFFFF" w:val="clear"/>
        </w:rPr>
      </w:pPr>
      <w:r>
        <w:rPr>
          <w:rFonts w:ascii="Times New Roman;Times;Serif" w:hAnsi="Times New Roman;Times;Serif"/>
          <w:b w:val="false"/>
          <w:i/>
          <w:caps w:val="false"/>
          <w:smallCaps w:val="false"/>
          <w:sz w:val="20"/>
          <w:bdr w:val="single" w:sz="8" w:space="1" w:color="000000"/>
          <w:shd w:fill="FFFFFF" w:val="clear"/>
        </w:rPr>
        <w:t>Except as otherwise indicated, all references to our common stock, share data, per share data and related information depict the effect of the 1-for-20 reverse stock split of the shares of our outstanding common stock, effective as of May 8, 2026 (the “May 2026 Reverse Stock Split”), as if it had occurred at the beginning of the earliest period presented. The May 2026 Reverse Stock Split combined each twenty shares of our outstanding shares of common stock into one share of common stock, without any change in the par value per share, and the May 2026 Reverse Stock Split correspondingly adjusted, among other things, the number of shares of outstanding common stock.</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Overview</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Our Company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Banzai International, Inc. is a Software as a Service (“SaaS”) company operating in the marketing technology (“MarTech”) industry. We provide our customers with tools to help them market and sell with greater efficiency and impact. To date, Banzai has supported over 150,000 global customers, including entrepreneurs and Fortune 500 companies. Our customers include Amazon, Dell, Salesforce, Aflac, Thermo Fisher Scientific, RBC Wealth Management, Fitch Group, and many other globally recognized brands.</w:t>
      </w:r>
    </w:p>
    <w:p>
      <w:pPr>
        <w:pStyle w:val="TextBody"/>
        <w:shd w:fill="FFFFFF" w:val="clear"/>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Banzai grows in three ways: acquiring new customers through our sales and marketing efforts, expanding our platform through the development and acquisition of MarTech products, and cross-selling additional solutions to our existing customers. When evaluating acquisitions, we look for profitable businesses with customer profiles that align with our values and growth strategy. When considering additional products to purchase and offer, we look at customer satisfaction levels because we believe that is a good indicator of a product’s trajectory.</w:t>
      </w:r>
    </w:p>
    <w:p>
      <w:pPr>
        <w:pStyle w:val="TextBody"/>
        <w:shd w:fill="FFFFFF" w:val="clear"/>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Our vision is to build a suite of mission-critical solutions that address a broad spectrum of customer needs. By integrating these tools, we aim to create efficiencies and unlock shared data and assets that power more advanced AI capabilities. In December 2024, we acquired ClearDoc, Inc. (d/b/a OpenReel “OpenReel”), in January 2025 we acquired Vidello Limited (“Vidello”), in November 2025 we acquired the assets of Superblocks, and in June 2026 we acquired the assets of ConnectAndSell, Inc. (“ConnectAndSell”), to expand our product offerings and customer base. Our </w:t>
      </w:r>
      <w:r>
        <w:rPr>
          <w:rFonts w:ascii="Times New Roman;Times;Serif" w:hAnsi="Times New Roman;Times;Serif"/>
          <w:b w:val="false"/>
          <w:i w:val="false"/>
          <w:caps w:val="false"/>
          <w:smallCaps w:val="false"/>
          <w:sz w:val="20"/>
          <w:bdr w:val="single" w:sz="8" w:space="1" w:color="000000"/>
          <w:shd w:fill="FFFFFF" w:val="clear"/>
        </w:rPr>
        <w:t>platform currently includes several products, ranging across demand generation, webinar hosting, video creation and email newsletters.</w:t>
      </w:r>
    </w:p>
    <w:p>
      <w:pPr>
        <w:pStyle w:val="TextBody"/>
        <w:shd w:fill="FFFFFF" w:val="clear"/>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We sell most of our products using a recurring subscription license model typical in SaaS businesses, with customer contracts that vary in term length from single months to multiple years. As of December 31, 2025, our customer base included customers operating in 90 countries, across numerous different industries, including healthcare, financial services, e-commerce, technology, media and others. No single customer represents more than 10% of our revenue. </w:t>
      </w:r>
      <w:r>
        <w:rPr>
          <w:rFonts w:ascii="Times New Roman;Times;Serif" w:hAnsi="Times New Roman;Times;Serif"/>
          <w:b w:val="false"/>
          <w:i w:val="false"/>
          <w:caps w:val="false"/>
          <w:smallCaps w:val="false"/>
          <w:sz w:val="20"/>
          <w:bdr w:val="single" w:sz="8" w:space="1" w:color="000000"/>
          <w:shd w:fill="FFFFFF" w:val="clear"/>
        </w:rPr>
        <w:t>Since 2021, we have focused on increasing mid-market and enterprise customers f</w:t>
      </w:r>
      <w:r>
        <w:rPr>
          <w:rFonts w:ascii="Times New Roman;Times;Serif" w:hAnsi="Times New Roman;Times;Serif"/>
          <w:b w:val="false"/>
          <w:i w:val="false"/>
          <w:caps w:val="false"/>
          <w:smallCaps w:val="false"/>
          <w:sz w:val="20"/>
          <w:bdr w:val="single" w:sz="8" w:space="1" w:color="000000"/>
        </w:rPr>
        <w:t>or Demio.</w:t>
      </w:r>
    </w:p>
    <w:p>
      <w:pPr>
        <w:pStyle w:val="TextBody"/>
        <w:shd w:fill="FFFFFF" w:val="clear"/>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were originally known as 7GC &amp; Co. Holdings Inc (“7GC”). On December 14, 2023, Banzai International, Inc. became a publicly traded company as a result of completing the business combination, recapitalization and other transactions with Banzai Operating Co LLC (f/k/a Banzai International, Inc.) (“Legacy Banzai”), and 7GC (collectively, the “Business Combination”). Legacy Banzai operates under the name “Banzai Operating Co Inc.” (the “Operating Company”) and is one of our wholly owned subsidiaries. Legacy Banzai was incorporated in Delaware in September 2015.</w:t>
      </w:r>
    </w:p>
    <w:p>
      <w:pPr>
        <w:pStyle w:val="TextBody"/>
        <w:shd w:fill="FFFFFF" w:val="clear"/>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S-3</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rights of holders of our Class A Common Stock and the warrants issued pursuant to our initial public offering (the “Public Warrants”) are governed by our second amended and restated certificate of incorporation, as amended (the “Charter”), our second amended and restated bylaws (the “Bylaws”) and the Delaware General Corporation Law (the “DGCL”), and, in the case of the Public Warrants, the Warrant Agreement, dated December 22, 2020 (the “Warrant Agreement”), between 7GC and the Continental Stock Transfer &amp; Trust Company, as the warrant agent.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Our Securities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authorized share capital consists of 350,000,000 shares, consisting of 250,000,000 shares of Class A Common Stock, 25,000,000 shares of Class B Common Stock, $0.0001 per share (the “Class B Common Stock”), 75,000,000 shares of Preferred Stock and 1 share of Series FE Preferred Stock. As of July 10, 2026, we have 2,953,278 shares of Class A Common Stock, 33,856 shares of Class B Common Stock, 0 shares of Preferred Stock and 0 shares of Series FE Preferred Stock issued and outstanding, respectively; we also have convertible and derivative securities outstanding, as noted elsewhere in this prospectus supplement. Holders of Class A Common Stock and Class B Common Stock have the same rights except for voting rights. In respect of matters requiring the votes of stockholders, each share of Class A Common Stock is entitled to one vote, and each share of Class B Common Stock is entitled to 10 votes.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Corporate Information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7GC, our predecessor company, was incorporated in the State of Delaware in September 2020 for the purpose of effecting a merger, capital stock exchange, asset acquisition, stock purchase, reorganization or similar business combination involving 7GC and one or more businesses. 7GC completed its IPO in December 2020. In December 2023, First Merger Sub merged with and into Legacy Banzai, and Legacy Banzai, as the Surviving Corporation, merged with and into Second Merger Sub, with Second Merger Sub being the surviving entity, which ultimately resulted in Legacy Banzai becoming a wholly-owned direct subsidiary of 7GC. In connection with the Mergers, 7GC changed its name to Banzai International, Inc.</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Our principal executive offices are located at 435 Ericksen Ave NE, Suite 250, Bainbridge Island, WA 98110. Our telephone number is (206) 414-1777. Our website address is </w:t>
      </w:r>
      <w:r>
        <w:rPr>
          <w:rFonts w:ascii="Times New Roman;Times;Serif" w:hAnsi="Times New Roman;Times;Serif"/>
          <w:b w:val="false"/>
          <w:i w:val="false"/>
          <w:caps w:val="false"/>
          <w:smallCaps w:val="false"/>
          <w:sz w:val="20"/>
          <w:u w:val="single"/>
          <w:bdr w:val="single" w:sz="8" w:space="1" w:color="000000"/>
        </w:rPr>
        <w:t>www.banzai.io</w:t>
      </w:r>
      <w:r>
        <w:rPr>
          <w:rFonts w:ascii="Times New Roman;Times;Serif" w:hAnsi="Times New Roman;Times;Serif"/>
          <w:b w:val="false"/>
          <w:i w:val="false"/>
          <w:caps w:val="false"/>
          <w:smallCaps w:val="false"/>
          <w:sz w:val="20"/>
          <w:bdr w:val="single" w:sz="8" w:space="1" w:color="000000"/>
        </w:rPr>
        <w:t>. The information on our corporate website is not part of, and is not incorporated by reference into, this prospectus.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Implications of Being a Smaller Reporting Company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 “smaller reporting company” as defined in the Securities Exchange Act of 1934, as amended (the “Exchange Act”).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As a result, the information in this prospectus and that we provide to our investors in the future may be different than what you might receive from other public reporting companies.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S-4</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bdr w:val="single" w:sz="8" w:space="1" w:color="000000"/>
        </w:rPr>
      </w:pPr>
      <w:r>
        <w:rPr>
          <w:caps/>
          <w:bdr w:val="single" w:sz="8"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8" w:space="1" w:color="000000"/>
        </w:rPr>
      </w:pPr>
      <w:bookmarkStart w:id="6" w:name="m_004"/>
      <w:bookmarkEnd w:id="6"/>
      <w:r>
        <w:rPr>
          <w:rFonts w:ascii="Times New Roman;Times;Serif" w:hAnsi="Times New Roman;Times;Serif"/>
          <w:b/>
          <w:i w:val="false"/>
          <w:caps/>
          <w:sz w:val="20"/>
          <w:bdr w:val="single" w:sz="8" w:space="1" w:color="000000"/>
        </w:rPr>
        <w:t>THE OFFERING</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82"/>
        <w:gridCol w:w="7723"/>
      </w:tblGrid>
      <w:tr>
        <w:trPr/>
        <w:tc>
          <w:tcPr>
            <w:tcW w:w="248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 offered by us</w:t>
            </w:r>
          </w:p>
        </w:tc>
        <w:tc>
          <w:tcPr>
            <w:tcW w:w="77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327,273 </w:t>
            </w:r>
          </w:p>
        </w:tc>
      </w:tr>
      <w:tr>
        <w:trPr/>
        <w:tc>
          <w:tcPr>
            <w:tcW w:w="2482" w:type="dxa"/>
            <w:tcBorders/>
            <w:vAlign w:val="center"/>
          </w:tcPr>
          <w:p>
            <w:pPr>
              <w:pStyle w:val="TableContents"/>
              <w:bidi w:val="0"/>
              <w:spacing w:before="0" w:after="283"/>
              <w:jc w:val="left"/>
              <w:rPr>
                <w:caps w:val="false"/>
                <w:smallCaps w:val="false"/>
              </w:rPr>
            </w:pPr>
            <w:r>
              <w:rPr>
                <w:caps w:val="false"/>
                <w:smallCaps w:val="false"/>
              </w:rPr>
              <w:t> </w:t>
            </w:r>
          </w:p>
        </w:tc>
        <w:tc>
          <w:tcPr>
            <w:tcW w:w="77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8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 outstanding immediately following the offering</w:t>
            </w:r>
          </w:p>
        </w:tc>
        <w:tc>
          <w:tcPr>
            <w:tcW w:w="77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3,280,551 shares, assuming sales of 327,273 shares in this offering at an assumed offering price of $2.75 per share.</w:t>
            </w:r>
          </w:p>
        </w:tc>
      </w:tr>
      <w:tr>
        <w:trPr/>
        <w:tc>
          <w:tcPr>
            <w:tcW w:w="2482" w:type="dxa"/>
            <w:tcBorders/>
            <w:vAlign w:val="center"/>
          </w:tcPr>
          <w:p>
            <w:pPr>
              <w:pStyle w:val="TableContents"/>
              <w:bidi w:val="0"/>
              <w:spacing w:before="0" w:after="283"/>
              <w:jc w:val="left"/>
              <w:rPr>
                <w:caps w:val="false"/>
                <w:smallCaps w:val="false"/>
              </w:rPr>
            </w:pPr>
            <w:r>
              <w:rPr>
                <w:caps w:val="false"/>
                <w:smallCaps w:val="false"/>
              </w:rPr>
              <w:t> </w:t>
            </w:r>
          </w:p>
        </w:tc>
        <w:tc>
          <w:tcPr>
            <w:tcW w:w="77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8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Over-Allotment Option</w:t>
            </w:r>
          </w:p>
        </w:tc>
        <w:tc>
          <w:tcPr>
            <w:tcW w:w="77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the underwriter an option, exercisable until 45 days after the closing of this offering, to purchase 36,364 additional shares of Common Stock solely to cover over-allotments, if any.</w:t>
            </w:r>
          </w:p>
        </w:tc>
      </w:tr>
      <w:tr>
        <w:trPr/>
        <w:tc>
          <w:tcPr>
            <w:tcW w:w="2482" w:type="dxa"/>
            <w:tcBorders/>
            <w:vAlign w:val="center"/>
          </w:tcPr>
          <w:p>
            <w:pPr>
              <w:pStyle w:val="TableContents"/>
              <w:bidi w:val="0"/>
              <w:spacing w:before="0" w:after="283"/>
              <w:jc w:val="left"/>
              <w:rPr>
                <w:caps w:val="false"/>
                <w:smallCaps w:val="false"/>
              </w:rPr>
            </w:pPr>
            <w:r>
              <w:rPr>
                <w:caps w:val="false"/>
                <w:smallCaps w:val="false"/>
              </w:rPr>
              <w:t> </w:t>
            </w:r>
          </w:p>
        </w:tc>
        <w:tc>
          <w:tcPr>
            <w:tcW w:w="77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8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tc>
        <w:tc>
          <w:tcPr>
            <w:tcW w:w="77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of this offering, together with our existing cash and cash equivalents for working capital and other general corporate purposes, including sales and marketing activities, product development and capital expenditures. See “Use of Proceeds” on page S-11 of this prospectus supplement.</w:t>
            </w:r>
          </w:p>
        </w:tc>
      </w:tr>
      <w:tr>
        <w:trPr/>
        <w:tc>
          <w:tcPr>
            <w:tcW w:w="2482" w:type="dxa"/>
            <w:tcBorders/>
            <w:vAlign w:val="center"/>
          </w:tcPr>
          <w:p>
            <w:pPr>
              <w:pStyle w:val="TableContents"/>
              <w:bidi w:val="0"/>
              <w:spacing w:before="0" w:after="283"/>
              <w:jc w:val="left"/>
              <w:rPr>
                <w:caps w:val="false"/>
                <w:smallCaps w:val="false"/>
              </w:rPr>
            </w:pPr>
            <w:r>
              <w:rPr>
                <w:caps w:val="false"/>
                <w:smallCaps w:val="false"/>
              </w:rPr>
              <w:t> </w:t>
            </w:r>
          </w:p>
        </w:tc>
        <w:tc>
          <w:tcPr>
            <w:tcW w:w="77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8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tc>
        <w:tc>
          <w:tcPr>
            <w:tcW w:w="77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titled “Risk Factors” on page S-7 in this prospectus supplement and the other information included in, or incorporated by reference into, this prospectus supplement and the accompanying prospectus for a discussion of certain factors you should carefully consider before deciding to invest in shares of our Class A Common Stock.</w:t>
            </w:r>
          </w:p>
        </w:tc>
      </w:tr>
      <w:tr>
        <w:trPr/>
        <w:tc>
          <w:tcPr>
            <w:tcW w:w="2482" w:type="dxa"/>
            <w:tcBorders/>
            <w:vAlign w:val="center"/>
          </w:tcPr>
          <w:p>
            <w:pPr>
              <w:pStyle w:val="TableContents"/>
              <w:bidi w:val="0"/>
              <w:spacing w:before="0" w:after="283"/>
              <w:jc w:val="left"/>
              <w:rPr>
                <w:caps w:val="false"/>
                <w:smallCaps w:val="false"/>
              </w:rPr>
            </w:pPr>
            <w:r>
              <w:rPr>
                <w:caps w:val="false"/>
                <w:smallCaps w:val="false"/>
              </w:rPr>
              <w:t> </w:t>
            </w:r>
          </w:p>
        </w:tc>
        <w:tc>
          <w:tcPr>
            <w:tcW w:w="77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8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Capital Market symbol</w:t>
            </w:r>
          </w:p>
        </w:tc>
        <w:tc>
          <w:tcPr>
            <w:tcW w:w="7723"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BNZI”</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number of shares of our Class A Common Stock to be outstanding immediately after this offering is based on 2,953,278 shares of our Class A Common Stock outstanding as of July 10, 2026, and excludes (the “Additional Securities”):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8875" w:type="dxa"/>
        <w:jc w:val="left"/>
        <w:tblInd w:w="0" w:type="dxa"/>
        <w:tblLayout w:type="fixed"/>
        <w:tblCellMar>
          <w:top w:w="0" w:type="dxa"/>
          <w:left w:w="0" w:type="dxa"/>
          <w:bottom w:w="0" w:type="dxa"/>
          <w:right w:w="0" w:type="dxa"/>
        </w:tblCellMar>
      </w:tblPr>
      <w:tblGrid>
        <w:gridCol w:w="75"/>
        <w:gridCol w:w="170"/>
        <w:gridCol w:w="86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 shares issuable upon exercise of outstanding Public Warrants with an exercise price of $115,000.00;</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shares issuable upon exercise of the warrant issued on December 14, 2023 (the “GEM Warrant”), to GEM Global Yield LLC SCS and GEM Yield Bahamas Limited (collectively, “GEM”), with an exercise price of $68,145.00 per share, which will be adjusted downward to 105% of the per share consideration received in this offering pursuant to anti-dilution price protections contained within those warrants;</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 shares issuable within 60 days from the report date upon exercise of outstanding stock options with a weighted average exercise price of $9,207.73 granted through September 6, 2026;</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55,324 shares issuable within 60 days from the report date upon vesting of outstanding restricted stock units granted through September 6, 2026;</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S-5</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7435" w:type="dxa"/>
        <w:jc w:val="left"/>
        <w:tblInd w:w="0" w:type="dxa"/>
        <w:tblLayout w:type="fixed"/>
        <w:tblCellMar>
          <w:top w:w="0" w:type="dxa"/>
          <w:left w:w="0" w:type="dxa"/>
          <w:bottom w:w="0" w:type="dxa"/>
          <w:right w:w="0" w:type="dxa"/>
        </w:tblCellMar>
      </w:tblPr>
      <w:tblGrid>
        <w:gridCol w:w="75"/>
        <w:gridCol w:w="170"/>
        <w:gridCol w:w="71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33,856 shares issuable upon conversion of outstanding shares of Class B common stock;</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 shares issuable upon exercise of outstanding common stock purchase warrants with an exercise price of $1,800.00 that were issued May 2024 pursuant to a “best efforts” offering of our Class A Common Stock (“Best Efforts Offering”);</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shares issuable upon exercise of warrants issued to the placement agent of the Best Efforts Offering with an exercise price of $2,000.00 per share;</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9850" w:type="dxa"/>
        <w:jc w:val="left"/>
        <w:tblInd w:w="0" w:type="dxa"/>
        <w:tblLayout w:type="fixed"/>
        <w:tblCellMar>
          <w:top w:w="0" w:type="dxa"/>
          <w:left w:w="0" w:type="dxa"/>
          <w:bottom w:w="0" w:type="dxa"/>
          <w:right w:w="0" w:type="dxa"/>
        </w:tblCellMar>
      </w:tblPr>
      <w:tblGrid>
        <w:gridCol w:w="75"/>
        <w:gridCol w:w="170"/>
        <w:gridCol w:w="96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2,828 shares are issuable upon exercise of the CP BF common stock warrant with an exercise price of $50.00 per share;</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9820" w:type="dxa"/>
        <w:jc w:val="left"/>
        <w:tblInd w:w="0" w:type="dxa"/>
        <w:tblLayout w:type="fixed"/>
        <w:tblCellMar>
          <w:top w:w="0" w:type="dxa"/>
          <w:left w:w="0" w:type="dxa"/>
          <w:bottom w:w="0" w:type="dxa"/>
          <w:right w:w="0" w:type="dxa"/>
        </w:tblCellMar>
      </w:tblPr>
      <w:tblGrid>
        <w:gridCol w:w="75"/>
        <w:gridCol w:w="170"/>
        <w:gridCol w:w="95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6,657 shares are issuable upon exercise of the Alco common stock warrant with an exercise price of $804.00 per share;</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5,882 shares issuable upon exercise of outstanding Class A Common Stock purchase warrants that were issued on November 6, 2024, with an exercise price of $500.00;</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5,882 shares issuable upon exercise of outstanding Class B common stock purchase warrants that were issued on November 6, 2024, with an exercise price of $500.00;</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 shares issuable upon exercise of warrants issued to the placement agent pursuant to the “PIPE” that closed in June 2025, with an exercise price of $1,062.50;</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134,128 shares issuable upon exercise of common stock purchase of 3i, LP warrants issued on June 30, 2025, with an exercise price of $3.303 as per exercise price adjustment and reset as of June 4, 2026;</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52,983 shares issuable upon exercise of warrants issued to the financial advisor of the transaction that closed on June 30, 2025, with an exercise price of $3.303 as per exercise price adjustment and reset as of June 4, 2026;</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133,213 shares issuable upon exercise of common stock purchase of 3i, LP warrants issued on August 19, 2025, with an exercise price of $3.303 as per exercise price adjustment and reset as of June 4, 2026;</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52,965 shares issuable upon exercise of warrants issued to the financial advisor of 3i, LP of the transaction that closed on August 19, 2025, with an exercise price of $3.303 as per exercise price adjustment and reset as of June 4, 2026;</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151,378 shares issuable upon exercise of common stock purchase of 3i, LP warrants issued on October 8, 2025, with an exercise price of $3.303 as per exercise price adjustment and reset as of June 4, 2026;</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60,303 shares issuable upon exercise of warrants issued to the financial advisor of 3i, LP of the transaction that closed on October 8, 2025, with an exercise price of $3.303 as per exercise price adjustment and reset as of June 4, 2026;</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141,286 shares issuable upon exercise of common stock purchase of 3i, LP warrants issued on February 13, 2026, with an exercise price of $3.303 as per exercise price adjustment and reset as of June 4, 2026; and</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56,295 shares issuable upon exercise of warrants issued to the financial advisor of 3i, LP of the transaction that closed on February 13, 2026 with an exercise price of $3.303 as per exercise price adjustment and reset as of June 4, 2026.</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Except as otherwise indicated, all information in this prospectus supplement assumes no exercise by the underwriters of their option to purchase additional shares of our Class A common stock.</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S-6</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m_005"/>
      <w:bookmarkEnd w:id="7"/>
      <w:r>
        <w:rPr>
          <w:rFonts w:ascii="Times New Roman;Times;Serif" w:hAnsi="Times New Roman;Times;Serif"/>
          <w:b/>
          <w:i w:val="false"/>
          <w:caps/>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You should carefully review the risks and uncertainties described below and under the section titled “Risk Factors” in our most recent Annual Report on Form 10-K and any subsequent Quarterly Reports on Form 10-Q or Current Reports on Form 8-K we file after the date of this prospectus supplement and the accompanying prospectus, and all other information contained or incorporated by reference into this prospectus supplement and the accompanying prospectus, as updated by our subsequent filings under the Exchange Act, before acquiring any of such securities. The occurrence of any of these risks might cause you to lose all or part of your investment in the offered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broad discretion in the use of the net proceeds from this offering and may not use them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of this offering, together with our existing cash and cash equivalents for working capital and other general corporate purposes, including sales and marketing activities, product development and capital expenditures. The failure by our management to apply these funds effectively could harm our business. Pending their use, we may invest the net proceeds from this offering in short- and intermediate- 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Class A Common Stock may be adversely affected by the future issuance and sale of additional shares of our Class A Common Stock or by our announcement that such issuances and sales may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stock currently outstanding consists of our Class A Common Stock and Class B common stock. In addition, the applicable conversion rates for certain of our warrants may be adjusted based on sales of Class A Common Stock in this offering based on applicable anti-dilution provisions, which may lead to the issuance of additional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issued and outstanding shares of Class A Common Stock may be sold in the market and will be freely tradeable, except for any shares held by our “affiliates,” as that term is defined in Rule 144 under the Securities Act. We cannot predict the size of future issuances or sales of shares of our Class A Common Stock, including those made in connection with future acquisitions or capital raising activities, or the effect, if any, that such issuances or sales may have on the market price of our Class A Common Stock. The issuance and sale of substantial amounts of shares of our Class A Common Stock or announcement that such issuances and sales may occur, could adversely affect the market price of our Class A Common Stock. If there are more shares of Class A Common Stock offered for sale than buyers are willing to purchase, then the market price of our Class A Common Stock may decline to a market price at which buyers are willing to purchase the offered shares of Class A Common Stock and sellers remain willing to sell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sales of stock by any of our executive officers or directors could have a material adverse effect on the trading price of our Class A Common Stock.</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S-7</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issuances of our Class A Common Stock or instruments convertible or exercisable into our Class A Common Stock may materially and adversely affect the price of our Class A Common Stock and cause dilution to our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raised capital by issuing common stock, preferred stock and warrants in various offerings because no other reasonable sources of capital were available. These offerings of common stock, preferred stock and warrants have materially and adversely affected the prevailing market prices of our Class A Common Stock and caused significant dilution to our stockholders. We have also previously raised capital through the issuance of convertible notes, none of which are currently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to raise capital through offerings of common stock, preferred stock, warrants and convertible debt in the future. We may obtain additional funds through public or private debt or equity financings, subject to certain limitations. If we issue additional shares of Class A Common Stock or instruments convertible or exercisable into Class A Common Stock, it may materially and adversely affect the price of our Class A Common Stock. In addition, the exercise and/or conversion price, as applicable, of some or all of our warrants and/or convertible notes, as applicable, may dilute the ownership interests of our stockholders, and any sales in the public market of any of our Class A Common Stock issuable upon such conversion or exercise could adversely affect prevailing market prices of our Class A Common Stock. In addition, the applicable conversion rates for certain of our warrants may be adjusted based on sales of Class A Common Stock in this offering based on applicable anti-dilution provisions, which may lead to the issuance of additional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you purchase shares of our Class A Common Stock sold in this offering, you may incur immediate and substantial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or all of the public offering price per share in this offering may exceed the pro-forma as adjusted net tangible book value per share of our outstanding Class A Common Stock. After giving effect to an assumed sale of shares of Class A Common Stock in the aggregate amount of $0.9 million at an assumed public offering price of $2.75 per share, and after deducting the commissions and estimated offering expenses payable by us, you would incur immediate and substantial dilution in the amount of $20.23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this offering, subject to market conditions and other factors, we may pursue additional equity financings in the future, including future public offerings or future private placements of equity securities or securities convertible into or exchangeable for equity securities at prices that may be higher or lower than the price per share of common stock paid by you in this offering. Further, the exercise of outstanding options or warrants could result in further dilution to investors and any additional shares issued in connection with acquisitions will result in dilution to investors. In addition, the market price of our common stock could fall as a result of resales of any of these shares of common stock due to an increased number of shares available for sale in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price may be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Class A Common Stock may be thinly traded, highly volatile and could fluctuate widely in price in response to various factors, many of which are beyond our control, including the following:</w:t>
      </w:r>
    </w:p>
    <w:p>
      <w:pPr>
        <w:pStyle w:val="TextBody"/>
        <w:bidi w:val="0"/>
        <w:spacing w:before="0" w:after="0"/>
        <w:ind w:left="0" w:right="0" w:hanging="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185"/>
        <w:gridCol w:w="447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and unpredictability of our sales cycle;</w:t>
            </w:r>
          </w:p>
        </w:tc>
      </w:tr>
    </w:tbl>
    <w:p>
      <w:pPr>
        <w:pStyle w:val="TextBody"/>
        <w:bidi w:val="0"/>
        <w:spacing w:before="0" w:after="0"/>
        <w:ind w:left="0" w:right="0" w:hanging="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185"/>
        <w:gridCol w:w="489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the physical security and technology industries;</w:t>
            </w:r>
          </w:p>
        </w:tc>
      </w:tr>
    </w:tbl>
    <w:p>
      <w:pPr>
        <w:pStyle w:val="TextBody"/>
        <w:bidi w:val="0"/>
        <w:spacing w:before="0" w:after="0"/>
        <w:ind w:left="0" w:right="0" w:hanging="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185"/>
        <w:gridCol w:w="261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2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and future competition;</w:t>
            </w:r>
          </w:p>
        </w:tc>
      </w:tr>
    </w:tbl>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185"/>
        <w:gridCol w:w="339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3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w:t>
            </w:r>
          </w:p>
        </w:tc>
      </w:tr>
    </w:tbl>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185"/>
        <w:gridCol w:w="552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sales of our Class A Common Stock and other securities;</w:t>
            </w:r>
          </w:p>
        </w:tc>
      </w:tr>
    </w:tbl>
    <w:p>
      <w:pPr>
        <w:pStyle w:val="TextBody"/>
        <w:bidi w:val="0"/>
        <w:spacing w:before="0" w:after="0"/>
        <w:ind w:left="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185"/>
        <w:gridCol w:w="33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3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our business plan;</w:t>
            </w:r>
          </w:p>
        </w:tc>
      </w:tr>
    </w:tbl>
    <w:p>
      <w:pPr>
        <w:pStyle w:val="TextBody"/>
        <w:bidi w:val="0"/>
        <w:spacing w:before="0" w:after="0"/>
        <w:ind w:left="0" w:right="0" w:hanging="0"/>
        <w:jc w:val="left"/>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185"/>
        <w:gridCol w:w="377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results that fall below expectations;</w:t>
            </w:r>
          </w:p>
        </w:tc>
      </w:tr>
    </w:tbl>
    <w:p>
      <w:pPr>
        <w:pStyle w:val="TextBody"/>
        <w:bidi w:val="0"/>
        <w:spacing w:before="0" w:after="0"/>
        <w:ind w:left="0" w:right="0" w:hanging="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185"/>
        <w:gridCol w:w="278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2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any strategic relationship;</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S-8</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185"/>
        <w:gridCol w:w="354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3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access to working capital funds;</w:t>
            </w:r>
          </w:p>
        </w:tc>
      </w:tr>
    </w:tbl>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185"/>
        <w:gridCol w:w="336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3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and other external factors;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threat of terrorism, geopolitical tensions, and general disruptions in the global economy, including the impacts of military action, financial and economic sanctions, and increasing geopolitical tensions related to the ongoing conflicts between Russia and Ukraine and Israel and its surrounding areas.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securities markets have from time-to-time experienced significant price and volume fluctuations that are unrelated to the operating performance of particular companies. These market fluctuations may also materially and adversely affect the market price of our Class A Common Stock. As a result, you may be unable to resell your shares at the desired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Raising additional capital may cause dilution to our existing stockholders, restrict our operations or require us to relinquish rights to our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additional capital through a combination of public and private equity offerings, debt financings, strategic partnerships and licensing arrangements. To the extent that we raise additional capital through the sale or issuance of equity, warrants or convertible debt securities, the ownership interest of our existing stockholders may be diluted, and the terms of such securities may include liquidation or other preferences that adversely affect your rights as a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raise additional capital through debt financing, it may involve agreements that include covenants further limiting or restricting our ability to take certain actions, such as incurring additional debt, making capital expenditures or declaring dividends. If we raise additional funds through strategic partnerships or licensing agreements with third parties, we may have to relinquish valuable rights to our technologies or grant licenses on terms that are not favorable to us. If we are unable to raise additional funds when needed, we may be required to delay, limit, reduce or terminate our development and commercialization efforts.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S-9</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is subject to minimum requirements to remain listed on The Nasdaq Capital Market, including a minimum bid price requirement and stockholders’ equity requirement, and may be delisted if it does not maintain or regain, as applicable, compliance with those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Marketplace Rule 5550(a)(2) requires a minimum bid price of $1.00 per share for primary equity securities listed on the Nasdaq Capital Market (the “Minimum Bid Price Requirement”). To regain compliance with the Minimum Bid Price Requirement, we effected a reverse stock split on September 19, 2024, July 8, 2025, and May 8, 2026 (the “May 2026 Reverse Stock Split”). Following the May 2026 Reverse Stock Split, the bid price of our Class A Common Stock surpassed $1.00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Nasdaq rules do not impose a specific limit on the number of times a listed company may effect a reverse stock split to maintain or regain compliance with the Minimum Bid Price Requirement, Nasdaq has stated that a series of reverse stock splits may undermine investor confidence in securities listed on Nasdaq. In addition, Nasdaq Listing Rule 5810©(3)(A)(iv) states that if any listed company that fails to meet the Minimum Bid Price Requirement after effecting one or more reverse stock splits over the prior two-year period with a cumulative ratio of 250 shares or more to one, then the company is not eligible for a Minimum Bid Price Requirement compliance period of 180 days. As a result, if we default on this requirement again, since we effected the 1-for-50 reverse split in September and the 1-for-10 reverse split in July, Nasdaq would begin the process of delisting our Class A Common Stock without providing a Minimum Bid Price Requirement compliance period. However, we could still be eligible to request a hearing before the Nasdaq Panel to present its plan for regaining and sustaining compliance with the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Class A Common Stock ceases to be listed for trading on the Nasdaq Capital Market, we expect that our Class A Common Stock would be traded on one of the three tiered marketplaces of the OTC Markets Group. If Nasdaq were to delist our Class A Common Stock, it would be more difficult for our stockholders to dispose of our Class A Common Stock and more difficult to obtain accurate price quotations on our Class A Common Stock. Our ability to issue additional securities for financing or other purposes, or otherwise to arrange for any financing we may need in the future, may also be materially and adversely affected if our Class A Common Stock or warrants are not listed on a national securities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convertible promissory notes have certain rights upon an event of default under their respective agreements that could harm our business, financial condition and results of operations and could require us to curtail or cease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we have issued, and in the future we may issue, convertible promissory notes or other convertible debt instruments. These instruments may include terms that provide the holders with certain rights and remedies upon an event of default, which could require us to make cash payments, issue shares of our Class A Common Stock, take other actions that could be costly or restrictive, or otherwise harm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we issued senior secured convertible notes on June 27, 2025, August 19, 2025, and October 8, 2025 for an aggregate original principal amount of $6.9 million. Events of default under convertible promissory notes and similar instruments are defined in the applicable transaction documents, and may include, among other things, failures to pay amounts when due (subject to any applicable cure periods), failures to meet certain filing, reporting, or registration-related deadlines, defaults on other indebtedness above specified thresholds, certain bankruptcy- or insolvency-related events, failures to timely deliver shares upon conversion, and suspensions of trading or listing of our Class A Common Stock for specified periods, among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were to occur under any such instruments, holders may have rights that could include requiring redemption or repayment (potentially at a premium), exercising other contractual remedies, and/or converting amounts due into shares of our Class A Common Stock on terms that may be unfavorable to us. The exercise of any of the above rights upon an event of default could substantially harm our financial condition and force us to curtail or even cease our operations.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S-10</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8" w:name="m_006"/>
      <w:bookmarkEnd w:id="8"/>
      <w:r>
        <w:rPr>
          <w:rFonts w:ascii="Times New Roman;Times;Serif" w:hAnsi="Times New Roman;Times;Serif"/>
          <w:b/>
          <w:i w:val="false"/>
          <w:caps/>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gross proceeds from this offering will be approximately $0.9 million, before deducting estimated offering expenses payable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 net proceeds from this offering for working capital and general corporate purposes. As a result, our management will retain broad discretion in the allocation and use of the net proceeds of this offering, and investors will be relying on the judgment of our management with regard to the use of these net proceeds. Pending application of the net proceeds for the purposes as described above, we expect to invest the net proceeds in short-term, interest-bearing securities, investment grade securities, certificates of deposit or direct or guaranteed obligations of the U.S. government.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S-11</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Common Stock, your interest will be diluted immediately to the extent of the difference between the public offering price per share, as applicable, and the adjusted net tangible book value per share of our Common Stock after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tangible book value on March 31, 2026 was approximately ($21.6) million, or ($24.94) per share. “Net tangible book value” is total assets minus the sum of liabilities and intangible assets. “Net tangible book value per share” is net tangible book value divided by the total number of shares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our sale of 327,273 shares of our Common Stock at a public offering price of $2.75 per share, excluding the exercise of the underwriter’s option to purchase additional shares, and after deducting underwriting discounts, commissions and estimated offering expenses payable by us, our pro forma net tangible book value as of March 31, 2026 would have been approximately ($20.9) million, or ($17.48) per share. This represents an immediate increase in net tangible book value of $7.46 per share to our existing stockholders and an immediate dilution of $20.23 per share to investors participating in this offering. The following table illustrates this dilution per share to investors participating in this offering:</w:t>
      </w:r>
    </w:p>
    <w:p>
      <w:pPr>
        <w:pStyle w:val="TextBody"/>
        <w:bidi w:val="0"/>
        <w:spacing w:before="0" w:after="0"/>
        <w:ind w:left="0" w:right="0" w:firstLine="720"/>
        <w:jc w:val="both"/>
        <w:rPr>
          <w:caps w:val="false"/>
          <w:smallCaps w:val="false"/>
        </w:rPr>
      </w:pPr>
      <w:r>
        <w:rPr>
          <w:caps w:val="false"/>
          <w:smallCaps w:val="false"/>
        </w:rPr>
        <w:t> </w:t>
      </w:r>
    </w:p>
    <w:tbl>
      <w:tblPr>
        <w:tblW w:w="7785" w:type="dxa"/>
        <w:jc w:val="left"/>
        <w:tblInd w:w="0" w:type="dxa"/>
        <w:tblLayout w:type="fixed"/>
        <w:tblCellMar>
          <w:top w:w="0" w:type="dxa"/>
          <w:left w:w="0" w:type="dxa"/>
          <w:bottom w:w="0" w:type="dxa"/>
          <w:right w:w="0" w:type="dxa"/>
        </w:tblCellMar>
      </w:tblPr>
      <w:tblGrid>
        <w:gridCol w:w="5840"/>
        <w:gridCol w:w="60"/>
        <w:gridCol w:w="140"/>
        <w:gridCol w:w="695"/>
        <w:gridCol w:w="155"/>
        <w:gridCol w:w="60"/>
        <w:gridCol w:w="140"/>
        <w:gridCol w:w="620"/>
        <w:gridCol w:w="75"/>
      </w:tblGrid>
      <w:tr>
        <w:trPr/>
        <w:tc>
          <w:tcPr>
            <w:tcW w:w="5840" w:type="dxa"/>
            <w:tcBorders/>
            <w:shd w:fill="CCEEFF" w:val="clear"/>
            <w:vAlign w:val="center"/>
          </w:tcPr>
          <w:p>
            <w:pPr>
              <w:pStyle w:val="TableContents"/>
              <w:bidi w:val="0"/>
              <w:spacing w:before="0" w:after="283"/>
              <w:jc w:val="left"/>
              <w:rPr/>
            </w:pPr>
            <w:r>
              <w:rPr/>
              <w:t>Public offering price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20" w:type="dxa"/>
            <w:tcBorders/>
            <w:shd w:fill="CCEEFF" w:val="clear"/>
            <w:vAlign w:val="center"/>
          </w:tcPr>
          <w:p>
            <w:pPr>
              <w:pStyle w:val="TableContents"/>
              <w:bidi w:val="0"/>
              <w:spacing w:before="0" w:after="283"/>
              <w:jc w:val="right"/>
              <w:rPr/>
            </w:pPr>
            <w:r>
              <w:rPr/>
              <w:t xml:space="preserve">2.75 </w:t>
            </w:r>
          </w:p>
        </w:tc>
        <w:tc>
          <w:tcPr>
            <w:tcW w:w="75"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283"/>
              <w:jc w:val="left"/>
              <w:rPr/>
            </w:pPr>
            <w:r>
              <w:rPr/>
              <w:t>Net tangible book value per share as of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95" w:type="dxa"/>
            <w:tcBorders/>
            <w:shd w:fill="FFFFFF" w:val="clear"/>
            <w:vAlign w:val="center"/>
          </w:tcPr>
          <w:p>
            <w:pPr>
              <w:pStyle w:val="TableContents"/>
              <w:bidi w:val="0"/>
              <w:spacing w:before="0" w:after="283"/>
              <w:jc w:val="right"/>
              <w:rPr/>
            </w:pPr>
            <w:r>
              <w:rPr/>
              <w:t xml:space="preserve">(24.94 </w:t>
            </w:r>
          </w:p>
        </w:tc>
        <w:tc>
          <w:tcPr>
            <w:tcW w:w="15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left"/>
              <w:rPr/>
            </w:pPr>
            <w:r>
              <w:rPr/>
              <w:t>Increase per share attributable to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7.46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283"/>
              <w:jc w:val="left"/>
              <w:rPr/>
            </w:pPr>
            <w:r>
              <w:rPr/>
              <w:t>Pro forma net tangible book value per share after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pPr>
            <w:r>
              <w:rPr/>
              <w:t xml:space="preserve">(17.48 </w:t>
            </w:r>
          </w:p>
        </w:tc>
        <w:tc>
          <w:tcPr>
            <w:tcW w:w="15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20"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left"/>
              <w:rPr/>
            </w:pPr>
            <w:r>
              <w:rPr/>
              <w:t>Dilution per share to investors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20" w:type="dxa"/>
            <w:tcBorders/>
            <w:shd w:fill="CCEEFF" w:val="clear"/>
            <w:vAlign w:val="center"/>
          </w:tcPr>
          <w:p>
            <w:pPr>
              <w:pStyle w:val="TableContents"/>
              <w:bidi w:val="0"/>
              <w:spacing w:before="0" w:after="283"/>
              <w:jc w:val="right"/>
              <w:rPr/>
            </w:pPr>
            <w:r>
              <w:rPr/>
              <w:t xml:space="preserve">20.23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discussion and table are based on 867,355 shares of our Common Stock outstanding as of March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of our outstanding options or warrants are exercised, we grant additional options or other awards under our stock incentive plan or issue additional warrants, or we issue additional shares of Common Stock in the future, there may be further dilution.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the amounts in the table above assume no exercise by the underwriter of its option to purchase additional shares. If the underwriter exercises its option to purchase shares of our Common Stock in full, the pro forma net tangible book value per share after this offering would be approximately ($16.89) per share, representing an increase in net tangible book value per share attributable to this offering of approximately $8.05 and dilution in net tangible book value per share to investors in this offering of approximately $19.64. </w:t>
      </w:r>
    </w:p>
    <w:p>
      <w:pPr>
        <w:pStyle w:val="TextBody"/>
        <w:bidi w:val="0"/>
        <w:spacing w:before="0" w:after="0"/>
        <w:ind w:left="0" w:right="0" w:firstLine="720"/>
        <w:jc w:val="both"/>
        <w:rPr>
          <w:caps/>
        </w:rPr>
      </w:pPr>
      <w:r>
        <w:rPr>
          <w:caps/>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S-12</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m_007"/>
      <w:bookmarkEnd w:id="9"/>
      <w:r>
        <w:rPr>
          <w:rFonts w:ascii="Times New Roman;Times;Serif" w:hAnsi="Times New Roman;Times;Serif"/>
          <w:b/>
          <w:i w:val="false"/>
          <w:caps w:val="false"/>
          <w:smallCaps w:val="false"/>
          <w:sz w:val="20"/>
        </w:rPr>
        <w:t>DESCRIPTION OF THE SECURITIES WE ARE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summary of certain terms and conditions of the common stock being offered in this offering. The following description is subject in all respects to the provisions contained in instruments governing the applicable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and provisions of our common stock are described under the heading “Description of Securities to be Registered” in the accompanying prospectus.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S-13</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m_008"/>
      <w:bookmarkEnd w:id="10"/>
      <w:r>
        <w:rPr>
          <w:rFonts w:ascii="Times New Roman;Times;Serif" w:hAnsi="Times New Roman;Times;Serif"/>
          <w:b/>
          <w:i w:val="false"/>
          <w:caps w:val="false"/>
          <w:smallCaps w:val="false"/>
          <w:sz w:val="20"/>
        </w:rPr>
        <w:t>CAPITALIZATION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as well as our capitalization, as of March 31, 2026, as follows:</w:t>
      </w:r>
    </w:p>
    <w:p>
      <w:pPr>
        <w:pStyle w:val="TextBody"/>
        <w:bidi w:val="0"/>
        <w:spacing w:before="0" w:after="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an actual basis;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pro forma as adjusted basis to give further effect to the issuance and sale of up to 327,273 shares of Common Stock in this offering based at an offering price of $2.75 per Share for net proceeds of approximately $0.8 million, after deducting estimated offering expenses payable by us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following table should be read in conjunction with, and is qualified in its entirety by, reference to our audited financial statements and the notes thereto incorporated by reference into this prospectus supplement and the accompanying prospectus.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03"/>
        <w:gridCol w:w="60"/>
        <w:gridCol w:w="140"/>
        <w:gridCol w:w="875"/>
        <w:gridCol w:w="95"/>
        <w:gridCol w:w="60"/>
        <w:gridCol w:w="146"/>
        <w:gridCol w:w="915"/>
        <w:gridCol w:w="111"/>
      </w:tblGrid>
      <w:tr>
        <w:trPr/>
        <w:tc>
          <w:tcPr>
            <w:tcW w:w="7803" w:type="dxa"/>
            <w:tcBorders>
              <w:bottom w:val="single" w:sz="8" w:space="0" w:color="000000"/>
            </w:tcBorders>
            <w:vAlign w:val="center"/>
          </w:tcPr>
          <w:p>
            <w:pPr>
              <w:pStyle w:val="TableContents"/>
              <w:bidi w:val="0"/>
              <w:spacing w:before="0" w:after="283"/>
              <w:jc w:val="left"/>
              <w:rPr>
                <w:i/>
              </w:rPr>
            </w:pPr>
            <w:r>
              <w:rPr>
                <w:i/>
              </w:rPr>
              <w:t>(dollars in thousands)</w:t>
            </w:r>
          </w:p>
        </w:tc>
        <w:tc>
          <w:tcPr>
            <w:tcW w:w="60" w:type="dxa"/>
            <w:tcBorders/>
            <w:tcMar>
              <w:bottom w:w="0" w:type="dxa"/>
            </w:tcMar>
            <w:vAlign w:val="center"/>
          </w:tcPr>
          <w:p>
            <w:pPr>
              <w:pStyle w:val="TableContents"/>
              <w:bidi w:val="0"/>
              <w:spacing w:before="0" w:after="283"/>
              <w:jc w:val="left"/>
              <w:rPr/>
            </w:pPr>
            <w:r>
              <w:rPr/>
              <w:t> </w:t>
            </w:r>
          </w:p>
        </w:tc>
        <w:tc>
          <w:tcPr>
            <w:tcW w:w="1015" w:type="dxa"/>
            <w:gridSpan w:val="2"/>
            <w:tcBorders>
              <w:bottom w:val="single" w:sz="8" w:space="0" w:color="000000"/>
            </w:tcBorders>
            <w:vAlign w:val="center"/>
          </w:tcPr>
          <w:p>
            <w:pPr>
              <w:pStyle w:val="TableContents"/>
              <w:bidi w:val="0"/>
              <w:spacing w:before="0" w:after="283"/>
              <w:jc w:val="center"/>
              <w:rPr>
                <w:b/>
              </w:rPr>
            </w:pPr>
            <w:r>
              <w:rPr>
                <w:b/>
              </w:rPr>
              <w:t>Actual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1" w:type="dxa"/>
            <w:gridSpan w:val="2"/>
            <w:tcBorders>
              <w:bottom w:val="single" w:sz="8" w:space="0" w:color="000000"/>
            </w:tcBorders>
            <w:vAlign w:val="center"/>
          </w:tcPr>
          <w:p>
            <w:pPr>
              <w:pStyle w:val="TableContents"/>
              <w:bidi w:val="0"/>
              <w:spacing w:before="0" w:after="283"/>
              <w:jc w:val="center"/>
              <w:rPr>
                <w:b/>
              </w:rPr>
            </w:pPr>
            <w:r>
              <w:rPr>
                <w:b/>
              </w:rPr>
              <w:t>As Adjusted</w:t>
            </w:r>
          </w:p>
        </w:tc>
        <w:tc>
          <w:tcPr>
            <w:tcW w:w="111" w:type="dxa"/>
            <w:tcBorders/>
            <w:tcMar>
              <w:bottom w:w="0" w:type="dxa"/>
            </w:tcMar>
            <w:vAlign w:val="center"/>
          </w:tcPr>
          <w:p>
            <w:pPr>
              <w:pStyle w:val="TableContents"/>
              <w:bidi w:val="0"/>
              <w:spacing w:before="0" w:after="283"/>
              <w:jc w:val="left"/>
              <w:rPr/>
            </w:pPr>
            <w:r>
              <w:rPr/>
              <w:t> </w:t>
            </w:r>
          </w:p>
        </w:tc>
      </w:tr>
      <w:tr>
        <w:trPr/>
        <w:tc>
          <w:tcPr>
            <w:tcW w:w="7803" w:type="dxa"/>
            <w:tcBorders/>
            <w:shd w:fill="CCEEFF" w:val="clear"/>
            <w:tcMar>
              <w:bottom w:w="0" w:type="dxa"/>
            </w:tcMar>
            <w:vAlign w:val="center"/>
          </w:tcPr>
          <w:p>
            <w:pPr>
              <w:pStyle w:val="TableContents"/>
              <w:bidi w:val="0"/>
              <w:spacing w:before="0" w:after="283"/>
              <w:jc w:val="left"/>
              <w:rPr/>
            </w:pPr>
            <w:r>
              <w:rPr/>
              <w:t>Cash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w:t>
            </w:r>
          </w:p>
        </w:tc>
        <w:tc>
          <w:tcPr>
            <w:tcW w:w="875" w:type="dxa"/>
            <w:tcBorders>
              <w:bottom w:val="single" w:sz="8" w:space="0" w:color="000000"/>
            </w:tcBorders>
            <w:shd w:fill="CCEEFF" w:val="clear"/>
            <w:vAlign w:val="center"/>
          </w:tcPr>
          <w:p>
            <w:pPr>
              <w:pStyle w:val="TableContents"/>
              <w:bidi w:val="0"/>
              <w:spacing w:before="0" w:after="283"/>
              <w:jc w:val="right"/>
              <w:rPr/>
            </w:pPr>
            <w:r>
              <w:rPr/>
              <w:t>137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8" w:space="0" w:color="000000"/>
            </w:tcBorders>
            <w:shd w:fill="CCEEFF" w:val="clear"/>
            <w:vAlign w:val="center"/>
          </w:tcPr>
          <w:p>
            <w:pPr>
              <w:pStyle w:val="TableContents"/>
              <w:bidi w:val="0"/>
              <w:spacing w:before="0" w:after="283"/>
              <w:jc w:val="left"/>
              <w:rPr/>
            </w:pPr>
            <w:r>
              <w:rPr/>
              <w:t>$</w:t>
            </w:r>
          </w:p>
        </w:tc>
        <w:tc>
          <w:tcPr>
            <w:tcW w:w="915" w:type="dxa"/>
            <w:tcBorders>
              <w:bottom w:val="single" w:sz="8" w:space="0" w:color="000000"/>
            </w:tcBorders>
            <w:shd w:fill="CCEEFF" w:val="clear"/>
            <w:vAlign w:val="center"/>
          </w:tcPr>
          <w:p>
            <w:pPr>
              <w:pStyle w:val="TableContents"/>
              <w:bidi w:val="0"/>
              <w:spacing w:before="0" w:after="283"/>
              <w:jc w:val="right"/>
              <w:rPr/>
            </w:pPr>
            <w:r>
              <w:rPr/>
              <w:t xml:space="preserve">977 </w:t>
            </w:r>
          </w:p>
        </w:tc>
        <w:tc>
          <w:tcPr>
            <w:tcW w:w="111" w:type="dxa"/>
            <w:tcBorders/>
            <w:shd w:fill="CCEEFF" w:val="clear"/>
            <w:tcMar>
              <w:bottom w:w="0" w:type="dxa"/>
            </w:tcMar>
            <w:vAlign w:val="center"/>
          </w:tcPr>
          <w:p>
            <w:pPr>
              <w:pStyle w:val="TableContents"/>
              <w:bidi w:val="0"/>
              <w:spacing w:before="0" w:after="283"/>
              <w:jc w:val="left"/>
              <w:rPr/>
            </w:pPr>
            <w:r>
              <w:rPr/>
              <w:t> </w:t>
            </w:r>
          </w:p>
        </w:tc>
      </w:tr>
      <w:tr>
        <w:trPr/>
        <w:tc>
          <w:tcPr>
            <w:tcW w:w="7803" w:type="dxa"/>
            <w:tcBorders/>
            <w:shd w:fill="FFFFFF" w:val="clear"/>
            <w:tcMar>
              <w:bottom w:w="0" w:type="dxa"/>
            </w:tcMar>
            <w:vAlign w:val="center"/>
          </w:tcPr>
          <w:p>
            <w:pPr>
              <w:pStyle w:val="TableContents"/>
              <w:bidi w:val="0"/>
              <w:spacing w:before="0" w:after="283"/>
              <w:jc w:val="left"/>
              <w:rPr/>
            </w:pPr>
            <w:r>
              <w:rPr/>
              <w:t>Total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875" w:type="dxa"/>
            <w:tcBorders>
              <w:bottom w:val="double" w:sz="6" w:space="0" w:color="000000"/>
            </w:tcBorders>
            <w:shd w:fill="FFFFFF" w:val="clear"/>
            <w:vAlign w:val="center"/>
          </w:tcPr>
          <w:p>
            <w:pPr>
              <w:pStyle w:val="TableContents"/>
              <w:bidi w:val="0"/>
              <w:spacing w:before="0" w:after="283"/>
              <w:jc w:val="right"/>
              <w:rPr/>
            </w:pPr>
            <w:r>
              <w:rPr/>
              <w:t>23,377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vAlign w:val="center"/>
          </w:tcPr>
          <w:p>
            <w:pPr>
              <w:pStyle w:val="TableContents"/>
              <w:bidi w:val="0"/>
              <w:spacing w:before="0" w:after="283"/>
              <w:jc w:val="left"/>
              <w:rPr/>
            </w:pPr>
            <w:r>
              <w:rPr/>
              <w:t>$</w:t>
            </w:r>
          </w:p>
        </w:tc>
        <w:tc>
          <w:tcPr>
            <w:tcW w:w="915" w:type="dxa"/>
            <w:tcBorders>
              <w:bottom w:val="double" w:sz="6" w:space="0" w:color="000000"/>
            </w:tcBorders>
            <w:shd w:fill="FFFFFF" w:val="clear"/>
            <w:vAlign w:val="center"/>
          </w:tcPr>
          <w:p>
            <w:pPr>
              <w:pStyle w:val="TableContents"/>
              <w:bidi w:val="0"/>
              <w:spacing w:before="0" w:after="283"/>
              <w:jc w:val="right"/>
              <w:rPr/>
            </w:pPr>
            <w:r>
              <w:rPr/>
              <w:t>23,377</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7803" w:type="dxa"/>
            <w:tcBorders/>
            <w:shd w:fill="CCEEFF" w:val="clear"/>
            <w:tcMar>
              <w:bottom w:w="0" w:type="dxa"/>
            </w:tcMar>
            <w:vAlign w:val="center"/>
          </w:tcPr>
          <w:p>
            <w:pPr>
              <w:pStyle w:val="TableContents"/>
              <w:bidi w:val="0"/>
              <w:spacing w:before="0" w:after="283"/>
              <w:jc w:val="left"/>
              <w:rPr/>
            </w:pPr>
            <w:r>
              <w:rPr/>
              <w:t>Stockholders’ deficit: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915" w:type="dxa"/>
            <w:tcBorders/>
            <w:shd w:fill="CCEEFF" w:val="clear"/>
            <w:tcMar>
              <w:bottom w:w="0" w:type="dxa"/>
            </w:tcMar>
            <w:vAlign w:val="center"/>
          </w:tcPr>
          <w:p>
            <w:pPr>
              <w:pStyle w:val="TableContents"/>
              <w:bidi w:val="0"/>
              <w:spacing w:before="0" w:after="283"/>
              <w:jc w:val="righ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r>
      <w:tr>
        <w:trPr/>
        <w:tc>
          <w:tcPr>
            <w:tcW w:w="7803" w:type="dxa"/>
            <w:tcBorders/>
            <w:shd w:fill="FFFFFF" w:val="clear"/>
            <w:tcMar>
              <w:bottom w:w="0" w:type="dxa"/>
            </w:tcMar>
            <w:vAlign w:val="center"/>
          </w:tcPr>
          <w:p>
            <w:pPr>
              <w:pStyle w:val="TableContents"/>
              <w:bidi w:val="0"/>
              <w:spacing w:before="0" w:after="283"/>
              <w:jc w:val="left"/>
              <w:rPr/>
            </w:pPr>
            <w:r>
              <w:rPr/>
              <w:t>Preferred stock, $0.0001 par value, 75,000,000 shares authorized, 0 shares issued and outstanding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7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w:t>
            </w:r>
          </w:p>
        </w:tc>
        <w:tc>
          <w:tcPr>
            <w:tcW w:w="915" w:type="dxa"/>
            <w:tcBorders/>
            <w:shd w:fill="FFFFFF" w:val="clear"/>
            <w:tcMar>
              <w:bottom w:w="0" w:type="dxa"/>
            </w:tcMar>
            <w:vAlign w:val="center"/>
          </w:tcPr>
          <w:p>
            <w:pPr>
              <w:pStyle w:val="TableContents"/>
              <w:bidi w:val="0"/>
              <w:spacing w:before="0" w:after="283"/>
              <w:jc w:val="right"/>
              <w:rPr/>
            </w:pPr>
            <w:r>
              <w:rPr/>
              <w:t>—</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7803" w:type="dxa"/>
            <w:tcBorders/>
            <w:shd w:fill="CCEEFF" w:val="clear"/>
            <w:tcMar>
              <w:bottom w:w="0" w:type="dxa"/>
            </w:tcMar>
            <w:vAlign w:val="center"/>
          </w:tcPr>
          <w:p>
            <w:pPr>
              <w:pStyle w:val="TableContents"/>
              <w:bidi w:val="0"/>
              <w:spacing w:before="0" w:after="283"/>
              <w:jc w:val="left"/>
              <w:rPr/>
            </w:pPr>
            <w:r>
              <w:rPr/>
              <w:t>Common stock, $0.0001 par value, 275,000,000 shares (250,000,000 Class A Common Stock and 25,000,000 Class B Common Stock) authorized; 867,355 shares (855,799 Class A Common Stock and 11,556 Class B Common Stock) issued and outstanding, actual, and 867,355 shares (855,799 Class A Common Stock and 11,556 Class B Common Stock issued and outstanding, as adjusted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w:t>
            </w:r>
          </w:p>
        </w:tc>
        <w:tc>
          <w:tcPr>
            <w:tcW w:w="915"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 </w:t>
            </w:r>
          </w:p>
        </w:tc>
      </w:tr>
      <w:tr>
        <w:trPr/>
        <w:tc>
          <w:tcPr>
            <w:tcW w:w="7803" w:type="dxa"/>
            <w:tcBorders/>
            <w:shd w:fill="FFFFFF" w:val="clear"/>
            <w:tcMar>
              <w:bottom w:w="0" w:type="dxa"/>
            </w:tcMar>
            <w:vAlign w:val="center"/>
          </w:tcPr>
          <w:p>
            <w:pPr>
              <w:pStyle w:val="TableContents"/>
              <w:bidi w:val="0"/>
              <w:spacing w:before="0" w:after="283"/>
              <w:jc w:val="left"/>
              <w:rPr/>
            </w:pPr>
            <w:r>
              <w:rPr/>
              <w:t>Additional paid-in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75" w:type="dxa"/>
            <w:tcBorders/>
            <w:shd w:fill="FFFFFF" w:val="clear"/>
            <w:tcMar>
              <w:bottom w:w="0" w:type="dxa"/>
            </w:tcMar>
            <w:vAlign w:val="center"/>
          </w:tcPr>
          <w:p>
            <w:pPr>
              <w:pStyle w:val="TableContents"/>
              <w:bidi w:val="0"/>
              <w:spacing w:before="0" w:after="283"/>
              <w:jc w:val="right"/>
              <w:rPr/>
            </w:pPr>
            <w:r>
              <w:rPr/>
              <w:t>117,346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w:t>
            </w:r>
          </w:p>
        </w:tc>
        <w:tc>
          <w:tcPr>
            <w:tcW w:w="915" w:type="dxa"/>
            <w:tcBorders/>
            <w:shd w:fill="FFFFFF" w:val="clear"/>
            <w:tcMar>
              <w:bottom w:w="0" w:type="dxa"/>
            </w:tcMar>
            <w:vAlign w:val="center"/>
          </w:tcPr>
          <w:p>
            <w:pPr>
              <w:pStyle w:val="TableContents"/>
              <w:bidi w:val="0"/>
              <w:spacing w:before="0" w:after="283"/>
              <w:jc w:val="right"/>
              <w:rPr/>
            </w:pPr>
            <w:r>
              <w:rPr/>
              <w:t xml:space="preserve">118,186 </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7803" w:type="dxa"/>
            <w:tcBorders/>
            <w:shd w:fill="CCEEFF" w:val="clear"/>
            <w:tcMar>
              <w:bottom w:w="0" w:type="dxa"/>
            </w:tcMar>
            <w:vAlign w:val="center"/>
          </w:tcPr>
          <w:p>
            <w:pPr>
              <w:pStyle w:val="TableContents"/>
              <w:bidi w:val="0"/>
              <w:spacing w:before="0" w:after="283"/>
              <w:jc w:val="left"/>
              <w:rPr/>
            </w:pPr>
            <w:r>
              <w:rPr/>
              <w:t>Accumulated other comprehensive (loss)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875" w:type="dxa"/>
            <w:tcBorders/>
            <w:shd w:fill="CCEEFF" w:val="clear"/>
            <w:tcMar>
              <w:bottom w:w="0" w:type="dxa"/>
            </w:tcMar>
            <w:vAlign w:val="center"/>
          </w:tcPr>
          <w:p>
            <w:pPr>
              <w:pStyle w:val="TableContents"/>
              <w:bidi w:val="0"/>
              <w:spacing w:before="0" w:after="283"/>
              <w:jc w:val="right"/>
              <w:rPr/>
            </w:pPr>
            <w:r>
              <w:rPr/>
              <w:t>(60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915" w:type="dxa"/>
            <w:tcBorders/>
            <w:shd w:fill="CCEEFF" w:val="clear"/>
            <w:tcMar>
              <w:bottom w:w="0" w:type="dxa"/>
            </w:tcMar>
            <w:vAlign w:val="center"/>
          </w:tcPr>
          <w:p>
            <w:pPr>
              <w:pStyle w:val="TableContents"/>
              <w:bidi w:val="0"/>
              <w:spacing w:before="0" w:after="283"/>
              <w:jc w:val="right"/>
              <w:rPr/>
            </w:pPr>
            <w:r>
              <w:rPr/>
              <w:t>(60</w:t>
            </w:r>
          </w:p>
        </w:tc>
        <w:tc>
          <w:tcPr>
            <w:tcW w:w="111" w:type="dxa"/>
            <w:tcBorders/>
            <w:shd w:fill="CCEEFF" w:val="clear"/>
            <w:tcMar>
              <w:bottom w:w="0" w:type="dxa"/>
            </w:tcMar>
            <w:vAlign w:val="center"/>
          </w:tcPr>
          <w:p>
            <w:pPr>
              <w:pStyle w:val="TableContents"/>
              <w:bidi w:val="0"/>
              <w:spacing w:before="0" w:after="283"/>
              <w:jc w:val="left"/>
              <w:rPr/>
            </w:pPr>
            <w:r>
              <w:rPr/>
              <w:t>)</w:t>
            </w:r>
          </w:p>
        </w:tc>
      </w:tr>
      <w:tr>
        <w:trPr/>
        <w:tc>
          <w:tcPr>
            <w:tcW w:w="7803" w:type="dxa"/>
            <w:tcBorders/>
            <w:shd w:fill="FFFFFF" w:val="clear"/>
            <w:tcMar>
              <w:bottom w:w="0" w:type="dxa"/>
            </w:tcMar>
            <w:vAlign w:val="center"/>
          </w:tcPr>
          <w:p>
            <w:pPr>
              <w:pStyle w:val="TableContents"/>
              <w:bidi w:val="0"/>
              <w:spacing w:before="0" w:after="283"/>
              <w:jc w:val="left"/>
              <w:rPr/>
            </w:pPr>
            <w:r>
              <w:rPr/>
              <w:t>Accumulated deficit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w:t>
            </w:r>
          </w:p>
        </w:tc>
        <w:tc>
          <w:tcPr>
            <w:tcW w:w="875" w:type="dxa"/>
            <w:tcBorders>
              <w:bottom w:val="single" w:sz="8" w:space="0" w:color="000000"/>
            </w:tcBorders>
            <w:shd w:fill="FFFFFF" w:val="clear"/>
            <w:vAlign w:val="center"/>
          </w:tcPr>
          <w:p>
            <w:pPr>
              <w:pStyle w:val="TableContents"/>
              <w:bidi w:val="0"/>
              <w:spacing w:before="0" w:after="283"/>
              <w:jc w:val="right"/>
              <w:rPr/>
            </w:pPr>
            <w:r>
              <w:rPr/>
              <w:t>(109,189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bottom w:val="single" w:sz="8" w:space="0" w:color="000000"/>
            </w:tcBorders>
            <w:shd w:fill="FFFFFF" w:val="clear"/>
            <w:vAlign w:val="center"/>
          </w:tcPr>
          <w:p>
            <w:pPr>
              <w:pStyle w:val="TableContents"/>
              <w:bidi w:val="0"/>
              <w:spacing w:before="0" w:after="283"/>
              <w:jc w:val="left"/>
              <w:rPr/>
            </w:pPr>
            <w:r>
              <w:rPr/>
              <w:t>$</w:t>
            </w:r>
          </w:p>
        </w:tc>
        <w:tc>
          <w:tcPr>
            <w:tcW w:w="915" w:type="dxa"/>
            <w:tcBorders>
              <w:bottom w:val="single" w:sz="8" w:space="0" w:color="000000"/>
            </w:tcBorders>
            <w:shd w:fill="FFFFFF" w:val="clear"/>
            <w:vAlign w:val="center"/>
          </w:tcPr>
          <w:p>
            <w:pPr>
              <w:pStyle w:val="TableContents"/>
              <w:bidi w:val="0"/>
              <w:spacing w:before="0" w:after="283"/>
              <w:jc w:val="right"/>
              <w:rPr/>
            </w:pPr>
            <w:r>
              <w:rPr/>
              <w:t>(109,189</w:t>
            </w:r>
          </w:p>
        </w:tc>
        <w:tc>
          <w:tcPr>
            <w:tcW w:w="111" w:type="dxa"/>
            <w:tcBorders/>
            <w:shd w:fill="FFFFFF" w:val="clear"/>
            <w:tcMar>
              <w:bottom w:w="0" w:type="dxa"/>
            </w:tcMar>
            <w:vAlign w:val="center"/>
          </w:tcPr>
          <w:p>
            <w:pPr>
              <w:pStyle w:val="TableContents"/>
              <w:bidi w:val="0"/>
              <w:spacing w:before="0" w:after="283"/>
              <w:jc w:val="left"/>
              <w:rPr/>
            </w:pPr>
            <w:r>
              <w:rPr/>
              <w:t>)</w:t>
            </w:r>
          </w:p>
        </w:tc>
      </w:tr>
      <w:tr>
        <w:trPr/>
        <w:tc>
          <w:tcPr>
            <w:tcW w:w="7803" w:type="dxa"/>
            <w:tcBorders/>
            <w:shd w:fill="CCEEFF" w:val="clear"/>
            <w:tcMar>
              <w:bottom w:w="0" w:type="dxa"/>
            </w:tcMar>
            <w:vAlign w:val="center"/>
          </w:tcPr>
          <w:p>
            <w:pPr>
              <w:pStyle w:val="TableContents"/>
              <w:bidi w:val="0"/>
              <w:spacing w:before="0" w:after="283"/>
              <w:jc w:val="left"/>
              <w:rPr/>
            </w:pPr>
            <w:r>
              <w:rPr/>
              <w:t>Total stockholders’ deficit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875" w:type="dxa"/>
            <w:tcBorders>
              <w:bottom w:val="double" w:sz="6" w:space="0" w:color="000000"/>
            </w:tcBorders>
            <w:shd w:fill="CCEEFF" w:val="clear"/>
            <w:vAlign w:val="center"/>
          </w:tcPr>
          <w:p>
            <w:pPr>
              <w:pStyle w:val="TableContents"/>
              <w:bidi w:val="0"/>
              <w:spacing w:before="0" w:after="283"/>
              <w:jc w:val="right"/>
              <w:rPr/>
            </w:pPr>
            <w:r>
              <w:rPr/>
              <w:t>8,097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vAlign w:val="center"/>
          </w:tcPr>
          <w:p>
            <w:pPr>
              <w:pStyle w:val="TableContents"/>
              <w:bidi w:val="0"/>
              <w:spacing w:before="0" w:after="283"/>
              <w:jc w:val="left"/>
              <w:rPr/>
            </w:pPr>
            <w:r>
              <w:rPr/>
              <w:t>$</w:t>
            </w:r>
          </w:p>
        </w:tc>
        <w:tc>
          <w:tcPr>
            <w:tcW w:w="915" w:type="dxa"/>
            <w:tcBorders>
              <w:bottom w:val="double" w:sz="6" w:space="0" w:color="000000"/>
            </w:tcBorders>
            <w:shd w:fill="CCEEFF" w:val="clear"/>
            <w:vAlign w:val="center"/>
          </w:tcPr>
          <w:p>
            <w:pPr>
              <w:pStyle w:val="TableContents"/>
              <w:bidi w:val="0"/>
              <w:spacing w:before="0" w:after="283"/>
              <w:jc w:val="right"/>
              <w:rPr/>
            </w:pPr>
            <w:r>
              <w:rPr/>
              <w:t xml:space="preserve">8,937 </w:t>
            </w:r>
          </w:p>
        </w:tc>
        <w:tc>
          <w:tcPr>
            <w:tcW w:w="111"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Class A Common Stock to be outstanding immediately after giving effect to this offering as shown above excludes the Additional Securities.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S-14</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Rma_001"/>
      <w:bookmarkEnd w:id="11"/>
      <w:r>
        <w:rPr>
          <w:rFonts w:ascii="Times New Roman;Times;Serif" w:hAnsi="Times New Roman;Times;Serif"/>
          <w:b/>
          <w:i w:val="false"/>
          <w:caps w:val="false"/>
          <w:smallCaps w:val="false"/>
          <w:sz w:val="20"/>
        </w:rPr>
        <w:t>UNDERWRITING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set forth in the underwriting agreement, dated July 13, 2026, between us and Aegis Capital Corp., (the “Underwriter” or “Aegis”) as the exclusive underwriter of this offering, we have agreed to sell to the Underwriter, and the Underwriter has agreed to purchase from us the number of shares of Class A Common Stock shown opposite its name below:</w:t>
      </w:r>
    </w:p>
    <w:p>
      <w:pPr>
        <w:pStyle w:val="TextBody"/>
        <w:bidi w:val="0"/>
        <w:spacing w:before="0" w:after="0"/>
        <w:ind w:left="0" w:right="0" w:hanging="0"/>
        <w:jc w:val="both"/>
        <w:rPr>
          <w:caps w:val="false"/>
          <w:smallCaps w:val="false"/>
        </w:rPr>
      </w:pPr>
      <w:r>
        <w:rPr>
          <w:caps w:val="false"/>
          <w:smallCaps w:val="false"/>
        </w:rPr>
        <w:t> </w:t>
      </w:r>
    </w:p>
    <w:tbl>
      <w:tblPr>
        <w:tblW w:w="3939" w:type="dxa"/>
        <w:jc w:val="left"/>
        <w:tblInd w:w="0" w:type="dxa"/>
        <w:tblLayout w:type="fixed"/>
        <w:tblCellMar>
          <w:top w:w="0" w:type="dxa"/>
          <w:left w:w="0" w:type="dxa"/>
          <w:bottom w:w="28" w:type="dxa"/>
          <w:right w:w="0" w:type="dxa"/>
        </w:tblCellMar>
      </w:tblPr>
      <w:tblGrid>
        <w:gridCol w:w="1925"/>
        <w:gridCol w:w="60"/>
        <w:gridCol w:w="122"/>
        <w:gridCol w:w="1757"/>
        <w:gridCol w:w="75"/>
      </w:tblGrid>
      <w:tr>
        <w:trPr/>
        <w:tc>
          <w:tcPr>
            <w:tcW w:w="1925" w:type="dxa"/>
            <w:tcBorders>
              <w:bottom w:val="single" w:sz="8" w:space="0" w:color="000000"/>
            </w:tcBorders>
            <w:vAlign w:val="center"/>
          </w:tcPr>
          <w:p>
            <w:pPr>
              <w:pStyle w:val="TableContents"/>
              <w:bidi w:val="0"/>
              <w:spacing w:before="0" w:after="283"/>
              <w:jc w:val="left"/>
              <w:rPr>
                <w:b/>
              </w:rPr>
            </w:pPr>
            <w:r>
              <w:rPr>
                <w:b/>
              </w:rPr>
              <w:t>Underwriter</w:t>
            </w:r>
          </w:p>
        </w:tc>
        <w:tc>
          <w:tcPr>
            <w:tcW w:w="60" w:type="dxa"/>
            <w:tcBorders/>
            <w:tcMar>
              <w:bottom w:w="0" w:type="dxa"/>
            </w:tcMar>
            <w:vAlign w:val="center"/>
          </w:tcPr>
          <w:p>
            <w:pPr>
              <w:pStyle w:val="TableContents"/>
              <w:bidi w:val="0"/>
              <w:spacing w:before="0" w:after="283"/>
              <w:jc w:val="left"/>
              <w:rPr/>
            </w:pPr>
            <w:r>
              <w:rPr/>
              <w:t> </w:t>
            </w:r>
          </w:p>
        </w:tc>
        <w:tc>
          <w:tcPr>
            <w:tcW w:w="1879" w:type="dxa"/>
            <w:gridSpan w:val="2"/>
            <w:tcBorders>
              <w:bottom w:val="single" w:sz="8" w:space="0" w:color="000000"/>
            </w:tcBorders>
            <w:vAlign w:val="center"/>
          </w:tcPr>
          <w:p>
            <w:pPr>
              <w:pStyle w:val="TableContents"/>
              <w:bidi w:val="0"/>
              <w:spacing w:before="0" w:after="283"/>
              <w:jc w:val="center"/>
              <w:rPr>
                <w:b/>
              </w:rPr>
            </w:pPr>
            <w:r>
              <w:rPr>
                <w:b/>
              </w:rPr>
              <w:t>Number of Shares</w:t>
            </w:r>
          </w:p>
        </w:tc>
        <w:tc>
          <w:tcPr>
            <w:tcW w:w="75" w:type="dxa"/>
            <w:tcBorders/>
            <w:tcMar>
              <w:bottom w:w="0" w:type="dxa"/>
            </w:tcMar>
            <w:vAlign w:val="center"/>
          </w:tcPr>
          <w:p>
            <w:pPr>
              <w:pStyle w:val="TableContents"/>
              <w:bidi w:val="0"/>
              <w:spacing w:before="0" w:after="283"/>
              <w:jc w:val="left"/>
              <w:rPr/>
            </w:pPr>
            <w:r>
              <w:rPr/>
              <w:t> </w:t>
            </w:r>
          </w:p>
        </w:tc>
      </w:tr>
      <w:tr>
        <w:trPr/>
        <w:tc>
          <w:tcPr>
            <w:tcW w:w="1925" w:type="dxa"/>
            <w:tcBorders/>
            <w:shd w:fill="CCEEFF" w:val="clear"/>
            <w:tcMar>
              <w:bottom w:w="0" w:type="dxa"/>
            </w:tcMar>
            <w:vAlign w:val="center"/>
          </w:tcPr>
          <w:p>
            <w:pPr>
              <w:pStyle w:val="TableContents"/>
              <w:bidi w:val="0"/>
              <w:spacing w:before="0" w:after="283"/>
              <w:jc w:val="left"/>
              <w:rPr/>
            </w:pPr>
            <w:r>
              <w:rPr/>
              <w:t>Aegis Capital Corp.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757" w:type="dxa"/>
            <w:tcBorders/>
            <w:shd w:fill="CCEEFF" w:val="clear"/>
            <w:tcMar>
              <w:bottom w:w="0" w:type="dxa"/>
            </w:tcMar>
            <w:vAlign w:val="center"/>
          </w:tcPr>
          <w:p>
            <w:pPr>
              <w:pStyle w:val="TableContents"/>
              <w:bidi w:val="0"/>
              <w:spacing w:before="0" w:after="283"/>
              <w:jc w:val="right"/>
              <w:rPr/>
            </w:pPr>
            <w:r>
              <w:rPr/>
              <w:t xml:space="preserve">327,273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25"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757"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provides that the Underwriter’s obligation to purchase shares of Class A Common Stock on the satisfaction of the conditions contained in the underwriting agreement including:</w:t>
      </w:r>
    </w:p>
    <w:p>
      <w:pPr>
        <w:pStyle w:val="TextBody"/>
        <w:bidi w:val="0"/>
        <w:spacing w:before="0" w:after="0"/>
        <w:ind w:left="0" w:right="0" w:hanging="0"/>
        <w:jc w:val="both"/>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105"/>
        <w:gridCol w:w="200"/>
        <w:gridCol w:w="602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made by us to the Underwriter are true;</w:t>
            </w:r>
          </w:p>
        </w:tc>
      </w:tr>
    </w:tbl>
    <w:p>
      <w:pPr>
        <w:pStyle w:val="TextBody"/>
        <w:bidi w:val="0"/>
        <w:spacing w:before="0" w:after="0"/>
        <w:ind w:left="0" w:right="0" w:hanging="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105"/>
        <w:gridCol w:w="200"/>
        <w:gridCol w:w="588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material change in our business or the financial markets; and</w:t>
            </w:r>
          </w:p>
        </w:tc>
      </w:tr>
    </w:tbl>
    <w:p>
      <w:pPr>
        <w:pStyle w:val="TextBody"/>
        <w:bidi w:val="0"/>
        <w:spacing w:before="0" w:after="0"/>
        <w:ind w:left="0" w:right="0" w:hanging="0"/>
        <w:jc w:val="both"/>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105"/>
        <w:gridCol w:w="200"/>
        <w:gridCol w:w="495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deliver customary closing documents to the Underwriter.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 has agreed to purchase all of the shares of Class A Common Stock offered by this prospectus (other than those covered by the over-allotment option described below), if any are purchased under the underwriting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 is offering the shares of Class A Common Stock subject to various conditions and may reject all or part of any order. The Underwriter has advised us that it proposes to offer the shares of Class A Common Stock directly to the public at the public offering price per share that appears on the cover page of this prospectus. After the shares are released for sale to the public, the Underwriter may change the offering price and other selling terms at various 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the Underwriter an over-allotment option. This option, which is exercisable for 45 days after the closing of this offering, permits the Underwriter to purchase up to an aggregate of 36,364 additional shares of Class A Common Stock at the public offering price per share, less underwriting discounts and commissions, solely to cover over-allotments, if any. If the Underwriter exercises this option in whole or in part, then the Underwriter will be severally committed, subject to the conditions described in the underwriting agreement, to purchase the additional shares of Class A Common Stock in proportion to their respective commitments set forth in the prior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Discounts, Commissions and Reimbursement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 has advised us that it proposes to offer the shares of Class A Common Stock to the public at the public offering price per share set forth on the cover page of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underwriting discounts and commissions and proceeds, before expenses, to us assuming no exercise and full exercise by the Underwriter of its over-allotment option, respectively:</w:t>
      </w:r>
    </w:p>
    <w:p>
      <w:pPr>
        <w:pStyle w:val="TextBody"/>
        <w:bidi w:val="0"/>
        <w:spacing w:before="0" w:after="0"/>
        <w:ind w:left="0" w:right="0" w:hanging="0"/>
        <w:jc w:val="both"/>
        <w:rPr>
          <w:caps w:val="false"/>
          <w:smallCaps w:val="false"/>
        </w:rPr>
      </w:pPr>
      <w:r>
        <w:rPr>
          <w:caps w:val="false"/>
          <w:smallCaps w:val="false"/>
        </w:rPr>
        <w:t> </w:t>
      </w:r>
    </w:p>
    <w:tbl>
      <w:tblPr>
        <w:tblW w:w="8054" w:type="dxa"/>
        <w:jc w:val="left"/>
        <w:tblInd w:w="0" w:type="dxa"/>
        <w:tblLayout w:type="fixed"/>
        <w:tblCellMar>
          <w:top w:w="0" w:type="dxa"/>
          <w:left w:w="0" w:type="dxa"/>
          <w:bottom w:w="0" w:type="dxa"/>
          <w:right w:w="0" w:type="dxa"/>
        </w:tblCellMar>
      </w:tblPr>
      <w:tblGrid>
        <w:gridCol w:w="4460"/>
        <w:gridCol w:w="60"/>
        <w:gridCol w:w="165"/>
        <w:gridCol w:w="874"/>
        <w:gridCol w:w="60"/>
        <w:gridCol w:w="60"/>
        <w:gridCol w:w="140"/>
        <w:gridCol w:w="860"/>
        <w:gridCol w:w="60"/>
        <w:gridCol w:w="60"/>
        <w:gridCol w:w="140"/>
        <w:gridCol w:w="1040"/>
        <w:gridCol w:w="75"/>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Without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tc>
        <w:tc>
          <w:tcPr>
            <w:tcW w:w="75"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Public offering price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74" w:type="dxa"/>
            <w:tcBorders/>
            <w:shd w:fill="CCEEFF" w:val="clear"/>
            <w:vAlign w:val="center"/>
          </w:tcPr>
          <w:p>
            <w:pPr>
              <w:pStyle w:val="TableContents"/>
              <w:bidi w:val="0"/>
              <w:spacing w:before="0" w:after="283"/>
              <w:jc w:val="right"/>
              <w:rPr/>
            </w:pPr>
            <w:r>
              <w:rPr/>
              <w:t xml:space="preserve">2.75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 xml:space="preserve">900,000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 xml:space="preserve">1,000,001 </w:t>
            </w:r>
          </w:p>
        </w:tc>
        <w:tc>
          <w:tcPr>
            <w:tcW w:w="75"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Underwriting discounts and commissions (7%)</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874" w:type="dxa"/>
            <w:tcBorders/>
            <w:shd w:fill="FFFFFF" w:val="clear"/>
            <w:vAlign w:val="center"/>
          </w:tcPr>
          <w:p>
            <w:pPr>
              <w:pStyle w:val="TableContents"/>
              <w:bidi w:val="0"/>
              <w:spacing w:before="0" w:after="283"/>
              <w:jc w:val="right"/>
              <w:rPr/>
            </w:pPr>
            <w:r>
              <w:rPr/>
              <w:t xml:space="preserve">0.1925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jc w:val="right"/>
              <w:rPr/>
            </w:pPr>
            <w:r>
              <w:rPr/>
              <w:t xml:space="preserve">63,000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40" w:type="dxa"/>
            <w:tcBorders/>
            <w:shd w:fill="FFFFFF" w:val="clear"/>
            <w:vAlign w:val="center"/>
          </w:tcPr>
          <w:p>
            <w:pPr>
              <w:pStyle w:val="TableContents"/>
              <w:bidi w:val="0"/>
              <w:spacing w:before="0" w:after="283"/>
              <w:jc w:val="right"/>
              <w:rPr/>
            </w:pPr>
            <w:r>
              <w:rPr/>
              <w:t xml:space="preserve">70,000 </w:t>
            </w:r>
          </w:p>
        </w:tc>
        <w:tc>
          <w:tcPr>
            <w:tcW w:w="75"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Proceeds, before expenses, to us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74" w:type="dxa"/>
            <w:tcBorders/>
            <w:shd w:fill="CCEEFF" w:val="clear"/>
            <w:vAlign w:val="center"/>
          </w:tcPr>
          <w:p>
            <w:pPr>
              <w:pStyle w:val="TableContents"/>
              <w:bidi w:val="0"/>
              <w:spacing w:before="0" w:after="283"/>
              <w:jc w:val="right"/>
              <w:rPr/>
            </w:pPr>
            <w:r>
              <w:rPr/>
              <w:t xml:space="preserve">2.5575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 xml:space="preserve">837,000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 xml:space="preserve">930,001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S-15</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agreed to pay all expenses in connection with the offering, including the following expenses: (a) all filing fees and expenses relating to the registration of the shares with SEC; (b) all FINRA public offering filing fees; (c) all fees and expenses relating to the listing of the Company’s equity or equity-linked securities on an Exchange; (d) all fees, expenses and disbursements relating to the registration or qualification of the shares under the “blue sky” securities laws of such states and other jurisdictions as Aegis may reasonably designate (including, without limitation, all filing and registration fees, and the reasonable fees and disbursements of the Company’s “blue sky” counsel, which will be Aegis’s counsel) unless such filings are not required in connection with the Company’s proposed Exchange listing; (e) any fees for counsel to lead investors in the Offering; (f) all fees, expenses and disbursements relating to the registration, qualification or exemption of the shares under the securities laws of such foreign jurisdictions as Aegis may reasonably designate; (g) the costs of all mailing and printing of the offering documents; (h) transfer and/or stamp taxes, if any, payable upon the transfer of shares from the Company to Aegis; and (i) the fees and expenses of the Company’s accountants; and (j) a maximum of $50,000 for reasonable legal fees and disbursements for the Underwriter’s legal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estimate the expenses of this offering payable by us, not including underwriting discounts and commissions, including amounts for which we agreed to reimburse the Underwriter for certain of its expenses, will be approximately $90,000.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and directors and shareholders holding at least ten percent (10%) of the outstanding Common Stock shall agree in writing, in a form satisfactory to Aegis, subject to certain exceptions, not to sell, transfer or otherwise dispose of any such securities (or underlying securities) of our company for a period of 60 days after the closing of this offering without the express written consent of Aegis, which consent may be given or withheld in the sole discretion of Aegis.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Standstill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that without the prior written consent of the Underwriter, we will not, for a period of twenty (20) days after the closing of this offering, subject to certain exceptions, (a) offer, sell, issue, or otherwise transfer or dispose of, directly or indirectly, any equity of our company or any securities convertible into or exercisable or exchangeable for equity of our company; (b) file or caused to be filed any registration statement with the SEC relating to the offering of any equity of our company or any securities convertible into or exercisable or exchangeable for equity of our company; or (c) enter into any agreement or announce the intention to effect any of the actions described in subsections (a) or (b)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Offer, Sale and Distribution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in electronic format may be made available on the websites maintained by one or more underwriters, or selling group members, if any, participating in the offering. The Underwriter may agree to allocate a number of shares of Class A Common Stock to Underwriter and selling group members for sale to their online brokerage account holders. Internet distributions will be allocated by the Underwriter and selling group members that may make Internet distributions on the same basis as other allocations.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Stabilization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Regulation M under the Exchange Act, the Underwriter may engage in activities that stabilize, maintain or otherwise affect the price of our Class A Common Stock, including short sales and purchases to cover positions created by short positions, stabilizing transactions, syndicate covering transactions, penalty bids and passive market making.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positions involve sales by the Underwriter of shares of Class A Common Stock in excess of the number of shares the Underwriter is obligated to purchase, which creates a syndicate short position. The short position may be either a covered short position or a naked short position. In a covered short position, the number of shares involved in the sales made by the Underwriter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 may close out any short position by either exercising their option to purchase additional shares or purchasing shares in the open market.</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S-16</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Stabilizing transactions permit bids to purchase the underlying security as long as the stabilizing bids do not exceed a specific maximum price.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Syndicate covering transactions involve purchases of our Class A Common Stock in the open market after the distribution has been completed to cover syndicate short positions. In determining the source of shares to close out the short position, the Underwriter will consider, among other things, the price of shares available for purchase in the open market as compared to the price at which they may purchase shares through the Underwriter’s option to purchase additional shares. If the Underwriter sells more shares than could be covered by the Underwriter’s option to purchase additional shares, thereby creating a naked short position, the position can only be closed out by buying shares in the open market. A naked short position is more likely to be created if the Underwriter is concerned that there could be downward pressure on the price of the shares in the open market after pricing that could adversely affect investors who purchase in the offering.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Penalty bids permit the representative to reclaim a selling concession from a syndicate member when the Class A Common Stock originally sold by the syndicate member is purchased in a stabilizing or syndicate covering transaction to cover syndicate short positions.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passive market making, market makers in our Class A Common Stock who are underwriters or prospective underwriters may, subject to limitations, make bids for or purchase our Class A Common Stock until the time, if any, at which a stabilizing bid is made.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activities may have the effect of raising or maintaining the market price of our Class A Common Stock or preventing a decline in the market price of our Class A Common Stock. As a result of these activities, the price of our Class A Common Stock may be higher than the price that might otherwise exist in the open market. These transactions may be effected on the Nasdaq Capital Market or otherwise and, if commenced, may be discontinued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Underwriter makes any representation or prediction as to the direction or magnitude of any effect that the transactions described above may have on the price of our Class A Common Stock. In addition, neither we nor the Underwriter makes any representation that Aegis will engage in these stabilizing transactions or that any transaction, once commenced, will not be discontinued without notice.</w:t>
      </w:r>
    </w:p>
    <w:p>
      <w:pPr>
        <w:pStyle w:val="TextBody"/>
        <w:bidi w:val="0"/>
        <w:spacing w:before="0" w:after="0"/>
        <w:ind w:left="7"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Aegis, its affiliates, and each person controlling Aegis against any losses, claims, damages, judgments, assessments, costs, and other liabilities, as the same are incurred (including the reasonable fees and expenses of counsel), relating to or arising out of the offering, undertaken in good faith.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 is a full service financial institution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 have provided in the past and may in the future provide various investment banking, commercial banking and other financial services for us and our affiliates for which they may in the future receive customary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its business activities, the Underwriter and its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 or otherwise) publish or express independent research views in respect of such assets, securities or instruments and may at any time hold, or recommend to clients that they should acquire, long and/or short positions in such assets, securities and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On July 9, 2026, we entered into an Investment Banking Engagement Letter (the “IB Engagement Letter”) with Aegis pursuant to which Aegis may act as the exclusive investment bank and provider of investment banking advisory services to us.  Under the IB Engagement Letter, Aegis is entitled to receive additional compensation from us upon the occurrence of certain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 restrictions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the United States, no action has been taken by us or the Underwriter that would permit a public offering of the shares offered by this prospectus supplement in any jurisdiction where action for that purpose is required. The shares offered by this prospectus supplement and the accompanying prospectus may not be offered or sold, directly or indirectly, nor may this prospectus supplement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shares offered by this prospectus supplement in any jurisdiction in which such an offer or a solicitation is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Class A Common Stock is Continental Stock Transfer &amp; Trust Company.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S-17</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2" w:name="m_009"/>
      <w:bookmarkEnd w:id="12"/>
      <w:r>
        <w:rPr>
          <w:rFonts w:ascii="Times New Roman;Times;Serif" w:hAnsi="Times New Roman;Times;Serif"/>
          <w:b/>
          <w:i w:val="false"/>
          <w:caps/>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Hunter Taubman Fischer &amp; Li LLC, New York, New York, will pass upon certain legal matters relating to the issuance and sale of the securities offered hereby on behalf of Banzai International, Inc. Aegis is being represented in connection with this offering by Baker &amp; Hostetler LLP, Los Angeles,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m_010"/>
      <w:bookmarkEnd w:id="13"/>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Banzai International, Inc. as of December 31, 2024 and for the year ended December 31, 2024, before the effects of the retrospective adjustments related to the 1-for-20 reverse stock split of Banzai International, Inc.’s Class A and Class B common stock, effective May 8, 2026, as disclosed in Note 1 to the consolidated financial statements, incorporate by reference into this prospectus and in the registration statement have been audited by Marcum, LLP, independent registered public accounting firm, as set forth in their report which report includes an explanatory paragraph related to the substantial doubt about the Company’s ability to continue as a going concern, appearing elsewhere herein, and are included in reliance on such report given on the authority of such firm as experts in auditing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Banzai International, Inc. as of December 31, 2025 and for the year ended December 31, 2025 incorporate by reference into this prospectus and in the registration statement have been audited by Bush &amp; Associates CPA LLC, independent registered public accounting firm, as set forth in their report which report includes an explanatory paragraph related to the substantial doubt about the Company’s ability to continue as a going concern, appearing elsewhere herein, and are included in reliance on such report given on the authority of such firm as experts in auditing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ConnectAndSell, Inc. as of December 31, 2025 and 2024 and for each of the years in the two-year period ended December 31, 2025 have been audited by SingerLewak LLP, independent registered public accounting firm, as stated in their report thereon which report expresses an unqualified opinion and includes an explanatory paragraph related to substantial doubt about ConnectAndSell, Inc.’s ability to continue as a going concern, and are incorporated by reference into this prospectus and in the registration statement in reliance on such report and upon the authority of such firm as experts in auditing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m_011"/>
      <w:bookmarkEnd w:id="14"/>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reports, proxy statements and other information with the SEC. The SEC maintains a website that contains reports, proxy and information statements and other information about issuers, including us, who file electronically with the SEC. The address of that website is http://www.sec.gov.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website address is www.banzai.io. The information on our website, however, is not, and should not be deemed to be, a part of this prospectus supplement or the accompanying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are part of a registration statement that we filed with the SEC and does not contain all of the information in the registration statement. The full registration statement may be obtained from the SEC or us, as provided below. Contracts, agreements or other documents are or may be filed as exhibits to the registration statement, or documents incorporated by reference in the registration statement. Statements in this prospectus supplement and the accompanying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S-18</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sh_001"/>
      <w:bookmarkEnd w:id="15"/>
      <w:r>
        <w:rPr>
          <w:rFonts w:ascii="Times New Roman;Times;Serif" w:hAnsi="Times New Roman;Times;Serif"/>
          <w:b/>
          <w:i w:val="false"/>
          <w:caps w:val="false"/>
          <w:smallCaps w:val="false"/>
          <w:sz w:val="20"/>
        </w:rPr>
        <w:t>INFORMATION INCORPORATED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SEC’s rules allow us to “incorporate by reference” information into this prospectus supplement and the accompanying prospectus, which means that we can disclose important information to you by referring you to another document filed separately with the SEC. The information incorporated by reference is deemed to be part of this prospectus supplement and the accompany prospectus, and subsequent information that we file with the SEC will automatically update and supersede that information. Any statement contained in this prospectus supplement, the accompanying prospectus or a previously filed document incorporated by reference will be deemed to be modified or superseded for purposes of this prospectus supplement to the extent that a statement contained in this prospectus or a subsequently filed document incorporated by reference modifies or replaces that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incorporate by reference the documents set forth below that have previously been filed with the SEC:</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2025 Annual Report on Form 10-K, filed with the SEC on </w:t>
            </w:r>
            <w:hyperlink r:id="rId2">
              <w:r>
                <w:rPr>
                  <w:rStyle w:val="InternetLink"/>
                  <w:rFonts w:ascii="Times New Roman;Times;Serif" w:hAnsi="Times New Roman;Times;Serif"/>
                  <w:b w:val="false"/>
                  <w:i w:val="false"/>
                  <w:caps w:val="false"/>
                  <w:smallCaps w:val="false"/>
                  <w:sz w:val="20"/>
                </w:rPr>
                <w:t>March 31, 2026</w:t>
              </w:r>
            </w:hyperlink>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 for the quarter ended March 31, 2026, filed with the SEC on </w:t>
            </w:r>
            <w:hyperlink r:id="rId3">
              <w:r>
                <w:rPr>
                  <w:rStyle w:val="InternetLink"/>
                  <w:rFonts w:ascii="Times New Roman;Times;Serif" w:hAnsi="Times New Roman;Times;Serif"/>
                  <w:b w:val="false"/>
                  <w:i w:val="false"/>
                  <w:caps w:val="false"/>
                  <w:smallCaps w:val="false"/>
                  <w:sz w:val="20"/>
                </w:rPr>
                <w:t>May 15, 2026</w:t>
              </w:r>
            </w:hyperlink>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and Form 8-K/A filed with the SEC on, </w:t>
            </w:r>
            <w:hyperlink r:id="rId4">
              <w:r>
                <w:rPr>
                  <w:rStyle w:val="InternetLink"/>
                  <w:rFonts w:ascii="Times New Roman;Times;Serif" w:hAnsi="Times New Roman;Times;Serif"/>
                  <w:b w:val="false"/>
                  <w:i w:val="false"/>
                  <w:caps w:val="false"/>
                  <w:smallCaps w:val="false"/>
                  <w:sz w:val="20"/>
                </w:rPr>
                <w:t>January 15, 2026</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February 13, 2026</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April 28,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May 5,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May 6,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May 18, 2026</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July 7, 2026</w:t>
              </w:r>
            </w:hyperlink>
            <w:r>
              <w:rPr>
                <w:rFonts w:ascii="Times New Roman;Times;Serif" w:hAnsi="Times New Roman;Times;Serif"/>
                <w:b w:val="false"/>
                <w:i w:val="false"/>
                <w:caps w:val="false"/>
                <w:smallCaps w:val="false"/>
                <w:sz w:val="20"/>
              </w:rPr>
              <w: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filed as </w:t>
            </w:r>
            <w:hyperlink r:id="rId11">
              <w:r>
                <w:rPr>
                  <w:rStyle w:val="InternetLink"/>
                  <w:rFonts w:ascii="Times New Roman;Times;Serif" w:hAnsi="Times New Roman;Times;Serif"/>
                  <w:b w:val="false"/>
                  <w:i w:val="false"/>
                  <w:caps w:val="false"/>
                  <w:smallCaps w:val="false"/>
                  <w:sz w:val="20"/>
                </w:rPr>
                <w:t>Exhibit 4.11</w:t>
              </w:r>
            </w:hyperlink>
            <w:r>
              <w:rPr>
                <w:rFonts w:ascii="Times New Roman;Times;Serif" w:hAnsi="Times New Roman;Times;Serif"/>
                <w:b w:val="false"/>
                <w:i w:val="false"/>
                <w:caps w:val="false"/>
                <w:smallCaps w:val="false"/>
                <w:sz w:val="20"/>
              </w:rPr>
              <w:t xml:space="preserve"> to our Annual Report on </w:t>
            </w:r>
            <w:hyperlink r:id="rId12">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filed with the SEC on May 15,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prospectus shall be deemed to incorporate information furnished, but not filed, with the SEC pursuant to Item 2.02 or Item 7.01 of Form 8-K and corresponding information furnished under Item 9.01 of Form 8-K or included as an exhibit.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supplement and the accompanying prospectus and deemed to be part of this prospectus supplement and the accompanying prospectus from the date of the filing of such reports and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 free copy of any of the documents incorporated by reference in this prospectus supplement and the accompanying prospectus (other than exhibits, unless they are specifically incorporated by reference in the documents) by writing or telephoning us at the following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br/>
        <w:t>Investor Relations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 Ericksen Ave., Suite 250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Bainbridge Island, Washington</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(206) 414-1777</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S-19</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1">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in one or more offerings at prices and on terms that we will determine at the time of each offering, sell Class A common stock, preferred stock, warrants, subscription rights, debt securities, units, or a combination of these securities, for an aggregate offering price of up to $30,000,000. This prospectus describes the general manner in which our securities may be offered using this prospectus. Each time we offer and sell securities, we will provide you with a prospectus supplement that will contain specific information about the terms of that offering.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not be used to offer and sell securities unless accompanied by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par value $0.0001 per share (the “Class A common stock”), is currently listed on the Nasdaq Capital Market under the symbol “BNZI”. As of the date of this prospectus, none of the other securities that we may offer by this prospectus is listed on any national securities exchange or automated quotation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22, 2025, the aggregate market value of our Class A common stock held by non-affiliates was $9,192,701, based on 2,425,515 shares of outstanding Class A common stock held by non-affiliates and the closing price of $3.79 on July 22,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I.B.6 of Form S-3, in no event will we sell our securities in a public primary offering with a value exceeding more than one-third of our public float in any 12-month period so long as our public float remains below $75,000,000. We have not offered any securities pursuant to General Instruction I.B.6 of Form S-3 during the 12 calendar months prior to and including the date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offered by this prospectus involve a high degree of risk. See “Risk Factors” beginning on page 2, in addition to Risk Factors contained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the securities directly or through agents or to or through underwriters or dealers. If any agents or underwriters are involved in the sale of the securities their names, and any applicable purchase price, fee, commission, or discount arrangement between or among them, will be set forth, or will be calculable from the information set forth, in an accompanying prospectus supplement. We can sell the securities through agents, underwriters, or dealers only with delivery of a prospectus supplement describing the method and terms of the offering of such securities. See “Plan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dated August 8, 2025</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toc_002"/>
      <w:bookmarkEnd w:id="16"/>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6890"/>
        <w:gridCol w:w="455"/>
      </w:tblGrid>
      <w:tr>
        <w:trPr/>
        <w:tc>
          <w:tcPr>
            <w:tcW w:w="6890"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890"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890" w:type="dxa"/>
            <w:tcBorders/>
            <w:shd w:fill="CCEEFF" w:val="clear"/>
            <w:vAlign w:val="center"/>
          </w:tcPr>
          <w:p>
            <w:pPr>
              <w:pStyle w:val="TableContents"/>
              <w:bidi w:val="0"/>
              <w:spacing w:before="0" w:after="283"/>
              <w:jc w:val="both"/>
              <w:rPr/>
            </w:pPr>
            <w:hyperlink w:anchor="sh_002">
              <w:r>
                <w:rPr>
                  <w:rStyle w:val="InternetLink"/>
                  <w:rFonts w:ascii="Times New Roman;Times;Serif" w:hAnsi="Times New Roman;Times;Serif"/>
                  <w:b w:val="false"/>
                  <w:i w:val="false"/>
                  <w:caps w:val="false"/>
                  <w:smallCaps w:val="false"/>
                  <w:sz w:val="20"/>
                </w:rPr>
                <w:t>ABOUT THIS PROSPECTUS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6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890" w:type="dxa"/>
            <w:tcBorders/>
            <w:shd w:fill="CCEEFF" w:val="clear"/>
            <w:vAlign w:val="center"/>
          </w:tcPr>
          <w:p>
            <w:pPr>
              <w:pStyle w:val="TableContents"/>
              <w:bidi w:val="0"/>
              <w:spacing w:before="0" w:after="283"/>
              <w:jc w:val="both"/>
              <w:rPr/>
            </w:pPr>
            <w:hyperlink w:anchor="sh_003">
              <w:r>
                <w:rPr>
                  <w:rStyle w:val="InternetLink"/>
                  <w:rFonts w:ascii="Times New Roman;Times;Serif" w:hAnsi="Times New Roman;Times;Serif"/>
                  <w:b w:val="false"/>
                  <w:i w:val="false"/>
                  <w:caps w:val="false"/>
                  <w:smallCaps w:val="false"/>
                  <w:sz w:val="20"/>
                </w:rPr>
                <w:t>CAUTIONARY STATEMENT REGARDING FORWARD-LOOKING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6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890" w:type="dxa"/>
            <w:tcBorders/>
            <w:shd w:fill="CCEEFF" w:val="clear"/>
            <w:vAlign w:val="center"/>
          </w:tcPr>
          <w:p>
            <w:pPr>
              <w:pStyle w:val="TableContents"/>
              <w:bidi w:val="0"/>
              <w:spacing w:before="0" w:after="283"/>
              <w:jc w:val="both"/>
              <w:rPr/>
            </w:pPr>
            <w:hyperlink w:anchor="sh_004">
              <w:r>
                <w:rPr>
                  <w:rStyle w:val="InternetLink"/>
                  <w:rFonts w:ascii="Times New Roman;Times;Serif" w:hAnsi="Times New Roman;Times;Serif"/>
                  <w:b w:val="false"/>
                  <w:i w:val="false"/>
                  <w:caps w:val="false"/>
                  <w:smallCaps w:val="false"/>
                  <w:sz w:val="20"/>
                </w:rPr>
                <w:t>ABOUT BNZI</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890" w:type="dxa"/>
            <w:tcBorders/>
            <w:shd w:fill="CCEEFF" w:val="clear"/>
            <w:vAlign w:val="center"/>
          </w:tcPr>
          <w:p>
            <w:pPr>
              <w:pStyle w:val="TableContents"/>
              <w:bidi w:val="0"/>
              <w:spacing w:before="0" w:after="283"/>
              <w:jc w:val="both"/>
              <w:rPr/>
            </w:pPr>
            <w:hyperlink w:anchor="sh_005">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6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890" w:type="dxa"/>
            <w:tcBorders/>
            <w:shd w:fill="CCEEFF" w:val="clear"/>
            <w:vAlign w:val="center"/>
          </w:tcPr>
          <w:p>
            <w:pPr>
              <w:pStyle w:val="TableContents"/>
              <w:bidi w:val="0"/>
              <w:spacing w:before="0" w:after="283"/>
              <w:jc w:val="both"/>
              <w:rPr/>
            </w:pPr>
            <w:hyperlink w:anchor="sh_006">
              <w:r>
                <w:rPr>
                  <w:rStyle w:val="InternetLink"/>
                  <w:rFonts w:ascii="Times New Roman;Times;Serif" w:hAnsi="Times New Roman;Times;Serif"/>
                  <w:b w:val="false"/>
                  <w:i w:val="false"/>
                  <w:caps w:val="false"/>
                  <w:smallCaps w:val="false"/>
                  <w:sz w:val="20"/>
                </w:rPr>
                <w:t>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890" w:type="dxa"/>
            <w:tcBorders/>
            <w:shd w:fill="CCEEFF" w:val="clear"/>
            <w:vAlign w:val="center"/>
          </w:tcPr>
          <w:p>
            <w:pPr>
              <w:pStyle w:val="TableContents"/>
              <w:bidi w:val="0"/>
              <w:spacing w:before="0" w:after="283"/>
              <w:jc w:val="both"/>
              <w:rPr/>
            </w:pPr>
            <w:hyperlink w:anchor="sh_007">
              <w:r>
                <w:rPr>
                  <w:rStyle w:val="InternetLink"/>
                  <w:rFonts w:ascii="Times New Roman;Times;Serif" w:hAnsi="Times New Roman;Times;Serif"/>
                  <w:b w:val="false"/>
                  <w:i w:val="false"/>
                  <w:caps w:val="false"/>
                  <w:smallCaps w:val="false"/>
                  <w:sz w:val="20"/>
                </w:rPr>
                <w:t>DILUTION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890" w:type="dxa"/>
            <w:tcBorders/>
            <w:shd w:fill="CCEEFF" w:val="clear"/>
            <w:vAlign w:val="center"/>
          </w:tcPr>
          <w:p>
            <w:pPr>
              <w:pStyle w:val="TableContents"/>
              <w:bidi w:val="0"/>
              <w:spacing w:before="0" w:after="283"/>
              <w:jc w:val="both"/>
              <w:rPr/>
            </w:pPr>
            <w:hyperlink w:anchor="sh_008">
              <w:r>
                <w:rPr>
                  <w:rStyle w:val="InternetLink"/>
                  <w:rFonts w:ascii="Times New Roman;Times;Serif" w:hAnsi="Times New Roman;Times;Serif"/>
                  <w:b w:val="false"/>
                  <w:i w:val="false"/>
                  <w:caps w:val="false"/>
                  <w:smallCaps w:val="false"/>
                  <w:sz w:val="20"/>
                </w:rPr>
                <w:t>DESCRIPTION OF SECURITIES TO BE REGISTERED</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890" w:type="dxa"/>
            <w:tcBorders/>
            <w:shd w:fill="CCEEFF" w:val="clear"/>
            <w:vAlign w:val="center"/>
          </w:tcPr>
          <w:p>
            <w:pPr>
              <w:pStyle w:val="TableContents"/>
              <w:bidi w:val="0"/>
              <w:spacing w:before="0" w:after="283"/>
              <w:jc w:val="both"/>
              <w:rPr/>
            </w:pPr>
            <w:hyperlink w:anchor="sa_001">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6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890" w:type="dxa"/>
            <w:tcBorders/>
            <w:shd w:fill="CCEEFF" w:val="clear"/>
            <w:vAlign w:val="center"/>
          </w:tcPr>
          <w:p>
            <w:pPr>
              <w:pStyle w:val="TableContents"/>
              <w:bidi w:val="0"/>
              <w:spacing w:before="0" w:after="283"/>
              <w:jc w:val="both"/>
              <w:rPr/>
            </w:pPr>
            <w:hyperlink w:anchor="sa_002">
              <w:r>
                <w:rPr>
                  <w:rStyle w:val="InternetLink"/>
                  <w:rFonts w:ascii="Times New Roman;Times;Serif" w:hAnsi="Times New Roman;Times;Serif"/>
                  <w:b w:val="false"/>
                  <w:i w:val="false"/>
                  <w:caps w:val="false"/>
                  <w:smallCaps w:val="false"/>
                  <w:sz w:val="20"/>
                </w:rPr>
                <w:t>LEGAL MATTERS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890" w:type="dxa"/>
            <w:tcBorders/>
            <w:shd w:fill="CCEEFF" w:val="clear"/>
            <w:vAlign w:val="center"/>
          </w:tcPr>
          <w:p>
            <w:pPr>
              <w:pStyle w:val="TableContents"/>
              <w:bidi w:val="0"/>
              <w:spacing w:before="0" w:after="283"/>
              <w:jc w:val="both"/>
              <w:rPr/>
            </w:pPr>
            <w:hyperlink w:anchor="sa_003">
              <w:r>
                <w:rPr>
                  <w:rStyle w:val="InternetLink"/>
                  <w:rFonts w:ascii="Times New Roman;Times;Serif" w:hAnsi="Times New Roman;Times;Serif"/>
                  <w:b w:val="false"/>
                  <w:i w:val="false"/>
                  <w:caps w:val="false"/>
                  <w:smallCaps w:val="false"/>
                  <w:sz w:val="20"/>
                </w:rPr>
                <w:t>EXPERTS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890" w:type="dxa"/>
            <w:tcBorders/>
            <w:shd w:fill="CCEEFF" w:val="clear"/>
            <w:vAlign w:val="center"/>
          </w:tcPr>
          <w:p>
            <w:pPr>
              <w:pStyle w:val="TableContents"/>
              <w:bidi w:val="0"/>
              <w:spacing w:before="0" w:after="283"/>
              <w:jc w:val="both"/>
              <w:rPr/>
            </w:pPr>
            <w:hyperlink w:anchor="sa_004">
              <w:r>
                <w:rPr>
                  <w:rStyle w:val="InternetLink"/>
                  <w:rFonts w:ascii="Times New Roman;Times;Serif" w:hAnsi="Times New Roman;Times;Serif"/>
                  <w:b w:val="false"/>
                  <w:i w:val="false"/>
                  <w:caps w:val="false"/>
                  <w:smallCaps w:val="false"/>
                  <w:sz w:val="20"/>
                </w:rPr>
                <w:t>WHERE YOU CAN FIND MORE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8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890" w:type="dxa"/>
            <w:tcBorders/>
            <w:shd w:fill="CCEEFF" w:val="clear"/>
            <w:vAlign w:val="center"/>
          </w:tcPr>
          <w:p>
            <w:pPr>
              <w:pStyle w:val="TableContents"/>
              <w:bidi w:val="0"/>
              <w:spacing w:before="0" w:after="283"/>
              <w:jc w:val="both"/>
              <w:rPr/>
            </w:pPr>
            <w:hyperlink w:anchor="sa_005">
              <w:r>
                <w:rPr>
                  <w:rStyle w:val="InternetLink"/>
                  <w:rFonts w:ascii="Times New Roman;Times;Serif" w:hAnsi="Times New Roman;Times;Serif"/>
                  <w:b w:val="false"/>
                  <w:i w:val="false"/>
                  <w:caps w:val="false"/>
                  <w:smallCaps w:val="false"/>
                  <w:sz w:val="20"/>
                </w:rPr>
                <w:t>INCORPORATION OF CERTAIN DOCUMENTS BY REFERENCE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or incorporated by reference in this prospectus or any prospectus supplement. We have not authorized anyone to provide you with information different from that contained or incorporated by reference into this prospectus. If any person does provide you with information that differs from what is contained or incorporated by reference in this prospectus, you should not rely on it. No dealer, salesperson or other person is authorized to give any information or to represent anything not contained in this prospectus. You should assume that the information contained in this prospectus or any prospectus supplement is accurate only as of the date on the front of the document and that any information contained in any document we have incorporated by reference is accurate only as of the date of the document incorporated by reference, regardless of the time of delivery of this prospectus or any prospectus supplement or any sale of a security. These documents are not an offer to sell or a solicitation of an offer to buy these securities by anyone in any jurisdiction in which such offer or solicitation is not authorized, or in which the person is not qualified to do so or to any person to whom it is unlawful to make such offer or solicitation.</w:t>
      </w:r>
    </w:p>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sh_002"/>
      <w:bookmarkEnd w:id="17"/>
      <w:r>
        <w:rPr>
          <w:rFonts w:ascii="Times New Roman;Times;Serif" w:hAnsi="Times New Roman;Times;Serif"/>
          <w:b/>
          <w:i w:val="false"/>
          <w:caps w:val="false"/>
          <w:smallCaps w:val="false"/>
          <w:sz w:val="20"/>
        </w:rPr>
        <w:t>ABOUT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or SEC, using a “shelf” registration process. Under this shelf registration process, we may sell any combination of the securities described in this prospectus in one of more offerings up to a total dollar amount of proceeds of $30,000,000. This prospectus describes the general manner in which our securities may be offered by this prospectus. Each time we sell securities, we will provide a prospectus supplement that will contain specific information about the terms of that offering. The prospectus supplement may also add, update or change information contained in this prospectus or in documents incorporated by reference in this prospectus. The prospectus supplement that contains specific information about the terms of the securities being offered may also include a discussion of certain U.S. Federal income tax consequences and any risk factors or other special considerations applicable to those securities. To the extent that any statement that we make in a prospectus supplement is inconsistent with statements made in this prospectus or in documents incorporated by reference in this prospectus, you should rely on the information in the prospectus supplement. You should carefully read both this prospectus and any prospectus supplement together with the additional information described under “Where You Can Find More Information” before buying any securities in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references to “we,” “our,” “us,” “BNZI” or the “Company” in this prospectus mean BANZAI INTERNATIONAL, INC., a Delaware corporation, on a consolidated basis with its wholly owned subsidiaries, as applicable.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sh_003"/>
      <w:bookmarkEnd w:id="18"/>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and information incorporated by reference in this prospectus include forward-looking statements within the meaning of Section 27A of the Securities Act of 1933, as amended, or the Securities Act, and Section 21E of the Securities Exchange Act of 1934, as amended, or the Exchange Act. These statements are based on our management’s beliefs and assumptions and on information currently available to our management. Such forward-looking statements include those that express plans, anticipation, intent, contingency, goals, targets or future development and/or otherwise are not statements of historical fact.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in this prospectus and the documents and information incorporated by reference in this prospectus that are not historical facts are forward-looking statements. We may, in some cases, use terms such as “anticipates,” “believes,” “could,” “estimates,” “expects,” “intends,” “may,” “plans,” “potential,” “predicts,” “projects,” “should,” “will,” “would” or similar expressions or the negative of such items that convey uncertainty of future events or outcomes to identify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made based on management’s beliefs, estimates and opinions on the date the statements are made, and we undertake no obligation to update forward-looking statements if these beliefs, estimates and opinions or other circumstances should change, except as may be required by applicable law. Although we believe that the expectations reflected in the forward-looking statements are reasonable, we cannot guarantee future results, levels of activity, performance or achievements.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those that do not relate strictly to historical or current facts. Examples of forward-looking statements may include, among others, statements regarding the Company’s: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financial, business and operating performance and goals;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annualized recurring revenue and customer retention;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ongoing, future or ability to maintain or improve its financial position, cash flows, and liquidity and its expected financial needs;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financing and ability to obtain financing;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listing with Nasdaq;</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strategy and proposed acquisitions and, if completed, their potential success and financial contributions;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strategy and strategic goals, including being able to capitalize on opportunities;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expectations relating to the Company’s industry, outlook and market trends;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addressable market and serviceable addressable market and related projections;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plans, strategies and expectations for retaining existing or acquiring new customers, increasing revenue and executing growth initiatives;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areas of focus and additional products that may be sold in the future.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relate to the future, they are subject to inherent uncertainties, risks and changes in circumstances that are difficult to predict and many of which are outside of our control. Forward-looking statements are not guarantees of future performance, and our actual results of operations, financial condition and liquidity and development of the industry in which the Company operates may differ materially from those made in or suggested by the forward-looking statements. Therefore, investors should not rely on any of these forward-looking statements. Factors that may cause actual results to differ materially include changes in the markets in which the Company operates, customer demand, the financial markets, economic, business and regulatory and other factors, such as the Company’s ability to execute on its strategy. More detailed information about risk factors can be found in this prospectus, the Company’s Annual Report on Form 10-K and the Company’s Quarterly Reports on Form 10-Q under the heading “Risk Factors,” and in other reports filed by the Company, including reports on Form 8-K. The Company does not undertake any duty to update forward-looking statements after the date they are made, except as required by law.</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sh_004"/>
      <w:bookmarkEnd w:id="19"/>
      <w:r>
        <w:rPr>
          <w:rFonts w:ascii="Times New Roman;Times;Serif" w:hAnsi="Times New Roman;Times;Serif"/>
          <w:b/>
          <w:i w:val="false"/>
          <w:caps w:val="false"/>
          <w:smallCaps w:val="false"/>
          <w:sz w:val="20"/>
        </w:rPr>
        <w:t>ABOUT BNZI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is a Marketing Technology (MarTech) company that produces data-driven marketing and sales solutions for businesses of all sizes. Our mission is to help our customers accomplish their mission - by enabling better marketing, sales, and customer engagement outcomes. Banzai endeavors to acquire companies strategically positioned to enhance our product and service offerings, increasing the value provided to current and prospective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was founded in 2015. The first product Banzai launched was Reach, a SaaS and managed services offering designed to increase registration and attendance of marketing events, followed by the acquisition of Demio, a SaaS solution for webinars designed for marketing, sales, and customer success teams, in 2021 and the launch of Boost, a SaaS solution for social sharing designed to increase attendance for Demio-hosted events by enabling easy social sharing by event registrants, in 2023. Our customer base included over 3,070 customers as of December 31, 2024, and comes from a variety of industries, including (among others) healthcare, financial services, e-commerce, technology, and media, in over 90 countries. Our customers range in size from solo entrepreneurs and small businesses to Fortune 500 companies. No single customer represents more than 10% of our revenue. Since 2021, we have focused on increasing mid-market and enterprise customers for Demio. Progress towards this is reflected in our increase in multi-host Demio customers from 14 on January 1, 2021, to 94 as of March 31, 2025. Our overall customer base has also increased due to the addition of 419 customers from OpenReel (as further described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our products using a recurring subscription license model typical in SaaS businesses. Pricing tiers for our main product, Demio, are based on the number of host-capable users, desired feature sets, and maximum audience size. Boost pricing tiers are based on the Demio plan to which the customer subscribes. Reach pricing is based on the number of event campaigns a customer has access to run simultaneously or the maximum number of registrations a customer is allowed to generate per subscription period. Banzai’s customer contracts vary in term length from single months to multiple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currently listed on The Nasdaq Capital Market under the symbol “BNZI.” Our warrants, each exercisable for one share of Class A common stock at a price of $11.50 per share, originally issued in the IPO (the “Public Warrants”), are currently listed on The Nasdaq Capital Market under the symbol “BNZIW.”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holders of our Class A common stock and Public Warrants are governed by our second amended and restated certificate of incorporation (the “Charter”), our second amended and restated bylaws (the “Bylaws”) and the Delaware General Corporation Law (the “DGCL”), and, in the case of the Public Warrants, the Warrant Agreement, dated December 22, 2020 (the “Warrant Agreement”), between 7GC and the Continental Stock Transfer &amp; Trust Company, as the warrant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435 Ericksen Ave NE, Suite 250, Bainbridge Island, WA 98110. Our telephone number is (206) 414-1777.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an Emerging Growth Company and a 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Jumpstart Our Business Startups Act of 2012 (the “JOBS Act”). We will remain an emerging growth company under the JOBS Act until the earliest of (i) the last day of our first fiscal year (a) following the fifth anniversary of 7GC’s IPO (December 22, 2025), (b) in which we have total annual gross revenue of at least $1.235 billion, or (c) in which we are deemed to be a “large accelerated filer” under the rules of the SEC with at least $700.0 million of outstanding securities held by non-affiliates; and (ii) the date on which we have issued more than $1.00 billion in non-convertible debt securities during the prior three-year period.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as defined in the Securities Exchange Act of 1934, as amended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information in this prospectus and that we provide to our investors in the future may be different than what you might receive from other public reporting companies.</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sh_005"/>
      <w:bookmarkEnd w:id="20"/>
      <w:r>
        <w:rPr>
          <w:rFonts w:ascii="Times New Roman;Times;Serif" w:hAnsi="Times New Roman;Times;Serif"/>
          <w:b/>
          <w:i w:val="false"/>
          <w:caps w:val="false"/>
          <w:smallCaps w:val="false"/>
          <w:sz w:val="20"/>
        </w:rPr>
        <w:t>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Before making an investment decision, you should carefully consider the risks, uncertainties and other factors described in our most recent Annual Report on Form 10-K, as supplemented and updated by subsequent quarterly reports on Form 10-Q and current reports on Form 8-K that we have filed or will file with the SEC, which are incorporated by reference into this prospectus. Please also see the risk factor stated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is subject to minimum requirements to remain listed on the Nasdaq Capital Market, including a minimum bid price requirement and stockholders’ equity requirement, and may be delisted if it does not maintain or regain, as applicable, compliance with those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Marketplace Rule 5550(a)(2) requires a minimum bid price of $1.00 per share for primary equity securities listed on the Nasdaq Capital Market (the “Minimum Bid Price Requirement”).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regain compliance with the Minimum Bid Price Rule, the Company effected a reverse stock split at a ratio of 1-for-50, effective as of September 19, 2024 (the “September Reverse Stock Split”). Subsequently, the Company effected a 1-for-10 reverse stock split of the shares of the Company’s common stock, effective as of July 8, 2025 (the “July Reverse Stock Split”). Following the July Reverse Stock Split, the bid price of the Company’s common stock surpassed $1.00 per share. However, we have not yet been notified that we regained compliance with the Minimum Bid Price Requirement and cannot guarantee that Nasdaq will decide that we have.</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While Nasdaq rules do not impose a specific limit on the number of times a listed company may effect a reverse stock split to maintain or regain compliance with the Minimum Bid Price Requirement, Nasdaq has stated that a series of reverse stock splits may undermine investor confidence in securities listed on Nasdaq. In addition, Nasdaq Listing </w:t>
      </w:r>
      <w:r>
        <w:rPr>
          <w:rFonts w:ascii="Times New Roman;Times;Serif" w:hAnsi="Times New Roman;Times;Serif"/>
          <w:b w:val="false"/>
          <w:i/>
          <w:caps w:val="false"/>
          <w:smallCaps w:val="false"/>
          <w:sz w:val="20"/>
        </w:rPr>
        <w:t>Rule 5810</w:t>
      </w:r>
      <w:r>
        <w:rPr>
          <w:rFonts w:ascii="Times New Roman;Times;Serif" w:hAnsi="Times New Roman;Times;Serif"/>
          <w:b w:val="false"/>
          <w:i w:val="false"/>
          <w:caps w:val="false"/>
          <w:smallCaps w:val="false"/>
          <w:sz w:val="20"/>
        </w:rPr>
        <w:t>(c)(3)(A)(iv) states that if any listed company that fails to meet the Minimum Bid Price Requirement after effecting one or more reverse stock splits over the prior two-year period with a cumulative ratio of 250 shares or more to one, then the company is not eligible for a Minimum Bid Price Requirement compliance period of 180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since the Company has effected the 1-for-50 September Reverse Stock Split and the 1-for-10 July Reverse Split, Nasdaq would begin the process of delisting our common stock without providing a Minimum Bid Price Requirement compliance period. However, the Company could still be eligible to request a hearing before the Nasdaq Panel to present its plan for regaining and sustaining compliance with the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common stock ceases to be listed for trading on the Nasdaq Capital Market, we expect that our common stock would be traded on one of the three tiered marketplaces of the OTC Markets Group. If Nasdaq were to delist our common stock, it would be more difficult for our stockholders to dispose of our common stock and more difficult to obtain accurate price quotations on our common stock. Our ability to issue additional securities for financing or other purposes, or otherwise to arrange for any financing we may need in the future, may also be materially and adversely affected if our common stock or warrants are not listed on a national securities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SELECTED FINANCIAL DATA REFLECTING REVERSE </w:t>
      </w:r>
      <w:r>
        <w:rPr>
          <w:rFonts w:ascii="Times New Roman;Times;Serif" w:hAnsi="Times New Roman;Times;Serif"/>
          <w:b/>
          <w:i/>
          <w:caps w:val="false"/>
          <w:smallCaps w:val="false"/>
          <w:sz w:val="20"/>
        </w:rPr>
        <w:t>STOCK SPLIT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Reverse </w:t>
      </w:r>
      <w:r>
        <w:rPr>
          <w:rFonts w:ascii="Times New Roman;Times;Serif" w:hAnsi="Times New Roman;Times;Serif"/>
          <w:b/>
          <w:i/>
          <w:caps w:val="false"/>
          <w:smallCaps w:val="false"/>
          <w:sz w:val="20"/>
        </w:rPr>
        <w:t>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8, 2025, we effected a 1-for-10 reverse </w:t>
      </w:r>
      <w:r>
        <w:rPr>
          <w:rFonts w:ascii="Times New Roman;Times;Serif" w:hAnsi="Times New Roman;Times;Serif"/>
          <w:b w:val="false"/>
          <w:i/>
          <w:caps w:val="false"/>
          <w:smallCaps w:val="false"/>
          <w:sz w:val="20"/>
        </w:rPr>
        <w:t>stock split</w:t>
      </w:r>
      <w:r>
        <w:rPr>
          <w:rFonts w:ascii="Times New Roman;Times;Serif" w:hAnsi="Times New Roman;Times;Serif"/>
          <w:b w:val="false"/>
          <w:i w:val="false"/>
          <w:caps w:val="false"/>
          <w:smallCaps w:val="false"/>
          <w:sz w:val="20"/>
        </w:rPr>
        <w:t xml:space="preserve"> of our Class A common stock and Class B common stock. Based on such reverse </w:t>
      </w:r>
      <w:r>
        <w:rPr>
          <w:rFonts w:ascii="Times New Roman;Times;Serif" w:hAnsi="Times New Roman;Times;Serif"/>
          <w:b w:val="false"/>
          <w:i/>
          <w:caps w:val="false"/>
          <w:smallCaps w:val="false"/>
          <w:sz w:val="20"/>
        </w:rPr>
        <w:t>stock split</w:t>
      </w:r>
      <w:r>
        <w:rPr>
          <w:rFonts w:ascii="Times New Roman;Times;Serif" w:hAnsi="Times New Roman;Times;Serif"/>
          <w:b w:val="false"/>
          <w:i w:val="false"/>
          <w:caps w:val="false"/>
          <w:smallCaps w:val="false"/>
          <w:sz w:val="20"/>
        </w:rPr>
        <w:t xml:space="preserve">, the total number of outstanding shares of Class A common stock was adjusted from 22,710,739 to approximately 2,271,074 and the total number of outstanding shares of Class B common stock was adjusted from 2,311,134 to approximately 231,114. The par value per common share remained unchanged at $0.0001. Our audited consolidated financial statements included in the Annual Report on Form 10-K for the year ended December 31, 2024, and the unaudited condensed consolidated financial statements included in our Quarterly Report on Form 10-Q for the quarterly period ended March 31, 2025, which are incorporated by reference into this prospectus are presented without giving effect to the reverse </w:t>
      </w:r>
      <w:r>
        <w:rPr>
          <w:rFonts w:ascii="Times New Roman;Times;Serif" w:hAnsi="Times New Roman;Times;Serif"/>
          <w:b w:val="false"/>
          <w:i/>
          <w:caps w:val="false"/>
          <w:smallCaps w:val="false"/>
          <w:sz w:val="20"/>
        </w:rPr>
        <w:t>stock split</w:t>
      </w:r>
      <w:r>
        <w:rPr>
          <w:rFonts w:ascii="Times New Roman;Times;Serif" w:hAnsi="Times New Roman;Times;Serif"/>
          <w:b w:val="false"/>
          <w:i w:val="false"/>
          <w:caps w:val="false"/>
          <w:smallCaps w:val="false"/>
          <w:sz w:val="20"/>
        </w:rPr>
        <w:t xml:space="preserve">. Except where the context otherwise requires, share numbers in this prospectus supplement reflect the 1-for-10 reverse </w:t>
      </w:r>
      <w:r>
        <w:rPr>
          <w:rFonts w:ascii="Times New Roman;Times;Serif" w:hAnsi="Times New Roman;Times;Serif"/>
          <w:b w:val="false"/>
          <w:i/>
          <w:caps w:val="false"/>
          <w:smallCaps w:val="false"/>
          <w:sz w:val="20"/>
        </w:rPr>
        <w:t>stock split</w:t>
      </w:r>
      <w:r>
        <w:rPr>
          <w:rFonts w:ascii="Times New Roman;Times;Serif" w:hAnsi="Times New Roman;Times;Serif"/>
          <w:b w:val="false"/>
          <w:i w:val="false"/>
          <w:caps w:val="false"/>
          <w:smallCaps w:val="false"/>
          <w:sz w:val="20"/>
        </w:rPr>
        <w:t xml:space="preserve"> of both classes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selected financial data has been derived from our audited consolidated financial statements included in our Annual Report on Form 10-K filed with the SEC on April 15, 2025, and our unaudited condensed consolidated financial statements included in our Quarterly Report on Form 10-Q filed with the SEC on May 15, 2025, as adjusted to reflect the reverse </w:t>
      </w:r>
      <w:r>
        <w:rPr>
          <w:rFonts w:ascii="Times New Roman;Times;Serif" w:hAnsi="Times New Roman;Times;Serif"/>
          <w:b w:val="false"/>
          <w:i/>
          <w:caps w:val="false"/>
          <w:smallCaps w:val="false"/>
          <w:sz w:val="20"/>
        </w:rPr>
        <w:t>stock split</w:t>
      </w:r>
      <w:r>
        <w:rPr>
          <w:rFonts w:ascii="Times New Roman;Times;Serif" w:hAnsi="Times New Roman;Times;Serif"/>
          <w:b w:val="false"/>
          <w:i w:val="false"/>
          <w:caps w:val="false"/>
          <w:smallCaps w:val="false"/>
          <w:sz w:val="20"/>
        </w:rPr>
        <w:t xml:space="preserve"> for all periods presented. Our historical results are not indicative of the results that may be expected in the future and results of interim periods are not indicative of the results for the entire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REPORTED</w:t>
      </w:r>
    </w:p>
    <w:p>
      <w:pPr>
        <w:pStyle w:val="TextBody"/>
        <w:bidi w:val="0"/>
        <w:spacing w:before="0" w:after="0"/>
        <w:ind w:left="0" w:right="0" w:hanging="0"/>
        <w:jc w:val="both"/>
        <w:rPr>
          <w:caps w:val="false"/>
          <w:smallCaps w:val="false"/>
        </w:rPr>
      </w:pPr>
      <w:r>
        <w:rPr>
          <w:caps w:val="false"/>
          <w:smallCaps w:val="false"/>
        </w:rPr>
        <w:t> </w:t>
      </w:r>
    </w:p>
    <w:tbl>
      <w:tblPr>
        <w:tblW w:w="9095" w:type="dxa"/>
        <w:jc w:val="left"/>
        <w:tblInd w:w="0" w:type="dxa"/>
        <w:tblLayout w:type="fixed"/>
        <w:tblCellMar>
          <w:top w:w="0" w:type="dxa"/>
          <w:left w:w="0" w:type="dxa"/>
          <w:bottom w:w="0" w:type="dxa"/>
          <w:right w:w="0" w:type="dxa"/>
        </w:tblCellMar>
      </w:tblPr>
      <w:tblGrid>
        <w:gridCol w:w="6140"/>
        <w:gridCol w:w="60"/>
        <w:gridCol w:w="140"/>
        <w:gridCol w:w="1175"/>
        <w:gridCol w:w="95"/>
        <w:gridCol w:w="60"/>
        <w:gridCol w:w="140"/>
        <w:gridCol w:w="1175"/>
        <w:gridCol w:w="110"/>
      </w:tblGrid>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both"/>
              <w:rPr/>
            </w:pPr>
            <w:r>
              <w:rPr/>
              <w:t>Net loss available to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(31,095,029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(14,406,262</w:t>
            </w:r>
          </w:p>
        </w:tc>
        <w:tc>
          <w:tcPr>
            <w:tcW w:w="110" w:type="dxa"/>
            <w:tcBorders/>
            <w:shd w:fill="CCEEFF" w:val="clear"/>
            <w:vAlign w:val="center"/>
          </w:tcPr>
          <w:p>
            <w:pPr>
              <w:pStyle w:val="TableContents"/>
              <w:bidi w:val="0"/>
              <w:spacing w:before="0" w:after="283"/>
              <w:jc w:val="left"/>
              <w:rPr/>
            </w:pPr>
            <w:r>
              <w:rPr/>
              <w:t>)</w:t>
            </w:r>
          </w:p>
        </w:tc>
      </w:tr>
      <w:tr>
        <w:trPr/>
        <w:tc>
          <w:tcPr>
            <w:tcW w:w="6140" w:type="dxa"/>
            <w:tcBorders/>
            <w:shd w:fill="FFFFFF" w:val="clear"/>
            <w:vAlign w:val="center"/>
          </w:tcPr>
          <w:p>
            <w:pPr>
              <w:pStyle w:val="TableContents"/>
              <w:bidi w:val="0"/>
              <w:spacing w:before="0" w:after="283"/>
              <w:jc w:val="both"/>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(6.97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(6.00</w:t>
            </w:r>
          </w:p>
        </w:tc>
        <w:tc>
          <w:tcPr>
            <w:tcW w:w="110" w:type="dxa"/>
            <w:tcBorders/>
            <w:shd w:fill="FFFFFF" w:val="clear"/>
            <w:vAlign w:val="center"/>
          </w:tcPr>
          <w:p>
            <w:pPr>
              <w:pStyle w:val="TableContents"/>
              <w:bidi w:val="0"/>
              <w:spacing w:before="0" w:after="283"/>
              <w:jc w:val="left"/>
              <w:rPr/>
            </w:pPr>
            <w:r>
              <w:rPr/>
              <w:t>)</w:t>
            </w:r>
          </w:p>
        </w:tc>
      </w:tr>
      <w:tr>
        <w:trPr/>
        <w:tc>
          <w:tcPr>
            <w:tcW w:w="6140" w:type="dxa"/>
            <w:tcBorders/>
            <w:shd w:fill="CCEEFF" w:val="clear"/>
            <w:vAlign w:val="center"/>
          </w:tcPr>
          <w:p>
            <w:pPr>
              <w:pStyle w:val="TableContents"/>
              <w:bidi w:val="0"/>
              <w:spacing w:before="0" w:after="283"/>
              <w:jc w:val="both"/>
              <w:rPr/>
            </w:pPr>
            <w:r>
              <w:rPr/>
              <w:t>Weighted average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4,458,169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2,401,988</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both"/>
              <w:rPr/>
            </w:pPr>
            <w:r>
              <w:rPr/>
              <w:t>Common shares outstanding at year end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8,195,163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2,585,297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900" w:type="dxa"/>
        <w:jc w:val="left"/>
        <w:tblInd w:w="0" w:type="dxa"/>
        <w:tblLayout w:type="fixed"/>
        <w:tblCellMar>
          <w:top w:w="0" w:type="dxa"/>
          <w:left w:w="0" w:type="dxa"/>
          <w:bottom w:w="0" w:type="dxa"/>
          <w:right w:w="0" w:type="dxa"/>
        </w:tblCellMar>
      </w:tblPr>
      <w:tblGrid>
        <w:gridCol w:w="6140"/>
        <w:gridCol w:w="60"/>
        <w:gridCol w:w="140"/>
        <w:gridCol w:w="1100"/>
        <w:gridCol w:w="95"/>
        <w:gridCol w:w="60"/>
        <w:gridCol w:w="140"/>
        <w:gridCol w:w="1055"/>
        <w:gridCol w:w="110"/>
      </w:tblGrid>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90" w:type="dxa"/>
            <w:gridSpan w:val="6"/>
            <w:tcBorders/>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both"/>
              <w:rPr/>
            </w:pPr>
            <w:r>
              <w:rPr/>
              <w:t>Net loss available to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(3,643,479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(4,290,132</w:t>
            </w:r>
          </w:p>
        </w:tc>
        <w:tc>
          <w:tcPr>
            <w:tcW w:w="110" w:type="dxa"/>
            <w:tcBorders/>
            <w:shd w:fill="CCEEFF" w:val="clear"/>
            <w:vAlign w:val="center"/>
          </w:tcPr>
          <w:p>
            <w:pPr>
              <w:pStyle w:val="TableContents"/>
              <w:bidi w:val="0"/>
              <w:spacing w:before="0" w:after="283"/>
              <w:jc w:val="left"/>
              <w:rPr/>
            </w:pPr>
            <w:r>
              <w:rPr/>
              <w:t>)</w:t>
            </w:r>
          </w:p>
        </w:tc>
      </w:tr>
      <w:tr>
        <w:trPr/>
        <w:tc>
          <w:tcPr>
            <w:tcW w:w="6140" w:type="dxa"/>
            <w:tcBorders/>
            <w:shd w:fill="FFFFFF" w:val="clear"/>
            <w:vAlign w:val="center"/>
          </w:tcPr>
          <w:p>
            <w:pPr>
              <w:pStyle w:val="TableContents"/>
              <w:bidi w:val="0"/>
              <w:spacing w:before="0" w:after="283"/>
              <w:jc w:val="both"/>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(1.64</w:t>
            </w:r>
          </w:p>
        </w:tc>
        <w:tc>
          <w:tcPr>
            <w:tcW w:w="110" w:type="dxa"/>
            <w:tcBorders/>
            <w:shd w:fill="FFFFFF" w:val="clear"/>
            <w:vAlign w:val="center"/>
          </w:tcPr>
          <w:p>
            <w:pPr>
              <w:pStyle w:val="TableContents"/>
              <w:bidi w:val="0"/>
              <w:spacing w:before="0" w:after="283"/>
              <w:jc w:val="left"/>
              <w:rPr/>
            </w:pPr>
            <w:r>
              <w:rPr/>
              <w:t>)</w:t>
            </w:r>
          </w:p>
        </w:tc>
      </w:tr>
      <w:tr>
        <w:trPr/>
        <w:tc>
          <w:tcPr>
            <w:tcW w:w="6140" w:type="dxa"/>
            <w:tcBorders/>
            <w:shd w:fill="CCEEFF" w:val="clear"/>
            <w:vAlign w:val="center"/>
          </w:tcPr>
          <w:p>
            <w:pPr>
              <w:pStyle w:val="TableContents"/>
              <w:bidi w:val="0"/>
              <w:spacing w:before="0" w:after="283"/>
              <w:jc w:val="both"/>
              <w:rPr/>
            </w:pPr>
            <w:r>
              <w:rPr/>
              <w:t>Weighted average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23,963,166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2,612,025</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both"/>
              <w:rPr/>
            </w:pPr>
            <w:r>
              <w:rPr/>
              <w:t>Common shares outstanding at period end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14,686,775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2,669,346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ADJUSTED FOR 1-FOR-10 REVERSE </w:t>
      </w:r>
      <w:r>
        <w:rPr>
          <w:rFonts w:ascii="Times New Roman;Times;Serif" w:hAnsi="Times New Roman;Times;Serif"/>
          <w:b/>
          <w:i/>
          <w:caps w:val="false"/>
          <w:smallCaps w:val="false"/>
          <w:sz w:val="20"/>
        </w:rPr>
        <w:t>STOCK SPLIT</w:t>
      </w:r>
      <w:r>
        <w:rPr>
          <w:rFonts w:ascii="Times New Roman;Times;Serif" w:hAnsi="Times New Roman;Times;Serif"/>
          <w:b/>
          <w:i w:val="false"/>
          <w:caps w:val="false"/>
          <w:smallCaps w:val="false"/>
          <w:sz w:val="20"/>
        </w:rPr>
        <w:t xml:space="preserve"> (unaudited)</w:t>
      </w:r>
    </w:p>
    <w:p>
      <w:pPr>
        <w:pStyle w:val="TextBody"/>
        <w:bidi w:val="0"/>
        <w:spacing w:before="0" w:after="0"/>
        <w:ind w:left="0" w:right="0" w:hanging="0"/>
        <w:jc w:val="both"/>
        <w:rPr>
          <w:caps w:val="false"/>
          <w:smallCaps w:val="false"/>
        </w:rPr>
      </w:pPr>
      <w:r>
        <w:rPr>
          <w:caps w:val="false"/>
          <w:smallCaps w:val="false"/>
        </w:rPr>
        <w:t> </w:t>
      </w:r>
    </w:p>
    <w:tbl>
      <w:tblPr>
        <w:tblW w:w="9095" w:type="dxa"/>
        <w:jc w:val="left"/>
        <w:tblInd w:w="0" w:type="dxa"/>
        <w:tblLayout w:type="fixed"/>
        <w:tblCellMar>
          <w:top w:w="0" w:type="dxa"/>
          <w:left w:w="0" w:type="dxa"/>
          <w:bottom w:w="0" w:type="dxa"/>
          <w:right w:w="0" w:type="dxa"/>
        </w:tblCellMar>
      </w:tblPr>
      <w:tblGrid>
        <w:gridCol w:w="6140"/>
        <w:gridCol w:w="60"/>
        <w:gridCol w:w="140"/>
        <w:gridCol w:w="1175"/>
        <w:gridCol w:w="95"/>
        <w:gridCol w:w="60"/>
        <w:gridCol w:w="140"/>
        <w:gridCol w:w="1175"/>
        <w:gridCol w:w="110"/>
      </w:tblGrid>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both"/>
              <w:rPr/>
            </w:pPr>
            <w:r>
              <w:rPr/>
              <w:t>Net loss available to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(31,095,029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(14,406,262</w:t>
            </w:r>
          </w:p>
        </w:tc>
        <w:tc>
          <w:tcPr>
            <w:tcW w:w="110" w:type="dxa"/>
            <w:tcBorders/>
            <w:shd w:fill="CCEEFF" w:val="clear"/>
            <w:vAlign w:val="center"/>
          </w:tcPr>
          <w:p>
            <w:pPr>
              <w:pStyle w:val="TableContents"/>
              <w:bidi w:val="0"/>
              <w:spacing w:before="0" w:after="283"/>
              <w:jc w:val="left"/>
              <w:rPr/>
            </w:pPr>
            <w:r>
              <w:rPr/>
              <w:t>)</w:t>
            </w:r>
          </w:p>
        </w:tc>
      </w:tr>
      <w:tr>
        <w:trPr/>
        <w:tc>
          <w:tcPr>
            <w:tcW w:w="6140" w:type="dxa"/>
            <w:tcBorders/>
            <w:shd w:fill="FFFFFF" w:val="clear"/>
            <w:vAlign w:val="center"/>
          </w:tcPr>
          <w:p>
            <w:pPr>
              <w:pStyle w:val="TableContents"/>
              <w:bidi w:val="0"/>
              <w:spacing w:before="0" w:after="283"/>
              <w:jc w:val="both"/>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(69.75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(59.98</w:t>
            </w:r>
          </w:p>
        </w:tc>
        <w:tc>
          <w:tcPr>
            <w:tcW w:w="110" w:type="dxa"/>
            <w:tcBorders/>
            <w:shd w:fill="FFFFFF" w:val="clear"/>
            <w:vAlign w:val="center"/>
          </w:tcPr>
          <w:p>
            <w:pPr>
              <w:pStyle w:val="TableContents"/>
              <w:bidi w:val="0"/>
              <w:spacing w:before="0" w:after="283"/>
              <w:jc w:val="left"/>
              <w:rPr/>
            </w:pPr>
            <w:r>
              <w:rPr/>
              <w:t>)</w:t>
            </w:r>
          </w:p>
        </w:tc>
      </w:tr>
      <w:tr>
        <w:trPr/>
        <w:tc>
          <w:tcPr>
            <w:tcW w:w="6140" w:type="dxa"/>
            <w:tcBorders/>
            <w:shd w:fill="CCEEFF" w:val="clear"/>
            <w:vAlign w:val="center"/>
          </w:tcPr>
          <w:p>
            <w:pPr>
              <w:pStyle w:val="TableContents"/>
              <w:bidi w:val="0"/>
              <w:spacing w:before="0" w:after="283"/>
              <w:jc w:val="both"/>
              <w:rPr/>
            </w:pPr>
            <w:r>
              <w:rPr/>
              <w:t>Weighted average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445,817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240,199</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both"/>
              <w:rPr/>
            </w:pPr>
            <w:r>
              <w:rPr/>
              <w:t>Common shares outstanding at year end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819,516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258,530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855" w:type="dxa"/>
        <w:jc w:val="left"/>
        <w:tblInd w:w="0" w:type="dxa"/>
        <w:tblLayout w:type="fixed"/>
        <w:tblCellMar>
          <w:top w:w="0" w:type="dxa"/>
          <w:left w:w="0" w:type="dxa"/>
          <w:bottom w:w="0" w:type="dxa"/>
          <w:right w:w="0" w:type="dxa"/>
        </w:tblCellMar>
      </w:tblPr>
      <w:tblGrid>
        <w:gridCol w:w="6140"/>
        <w:gridCol w:w="60"/>
        <w:gridCol w:w="140"/>
        <w:gridCol w:w="1055"/>
        <w:gridCol w:w="95"/>
        <w:gridCol w:w="60"/>
        <w:gridCol w:w="140"/>
        <w:gridCol w:w="1055"/>
        <w:gridCol w:w="110"/>
      </w:tblGrid>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both"/>
              <w:rPr/>
            </w:pPr>
            <w:r>
              <w:rPr/>
              <w:t>Net loss available to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(3,643,479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(4,290,132</w:t>
            </w:r>
          </w:p>
        </w:tc>
        <w:tc>
          <w:tcPr>
            <w:tcW w:w="110" w:type="dxa"/>
            <w:tcBorders/>
            <w:shd w:fill="CCEEFF" w:val="clear"/>
            <w:vAlign w:val="center"/>
          </w:tcPr>
          <w:p>
            <w:pPr>
              <w:pStyle w:val="TableContents"/>
              <w:bidi w:val="0"/>
              <w:spacing w:before="0" w:after="283"/>
              <w:jc w:val="left"/>
              <w:rPr/>
            </w:pPr>
            <w:r>
              <w:rPr/>
              <w:t>)</w:t>
            </w:r>
          </w:p>
        </w:tc>
      </w:tr>
      <w:tr>
        <w:trPr/>
        <w:tc>
          <w:tcPr>
            <w:tcW w:w="6140" w:type="dxa"/>
            <w:tcBorders/>
            <w:shd w:fill="FFFFFF" w:val="clear"/>
            <w:vAlign w:val="center"/>
          </w:tcPr>
          <w:p>
            <w:pPr>
              <w:pStyle w:val="TableContents"/>
              <w:bidi w:val="0"/>
              <w:spacing w:before="0" w:after="283"/>
              <w:jc w:val="both"/>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(16.42</w:t>
            </w:r>
          </w:p>
        </w:tc>
        <w:tc>
          <w:tcPr>
            <w:tcW w:w="110" w:type="dxa"/>
            <w:tcBorders/>
            <w:shd w:fill="FFFFFF" w:val="clear"/>
            <w:vAlign w:val="center"/>
          </w:tcPr>
          <w:p>
            <w:pPr>
              <w:pStyle w:val="TableContents"/>
              <w:bidi w:val="0"/>
              <w:spacing w:before="0" w:after="283"/>
              <w:jc w:val="left"/>
              <w:rPr/>
            </w:pPr>
            <w:r>
              <w:rPr/>
              <w:t>)</w:t>
            </w:r>
          </w:p>
        </w:tc>
      </w:tr>
      <w:tr>
        <w:trPr/>
        <w:tc>
          <w:tcPr>
            <w:tcW w:w="6140" w:type="dxa"/>
            <w:tcBorders/>
            <w:shd w:fill="CCEEFF" w:val="clear"/>
            <w:vAlign w:val="center"/>
          </w:tcPr>
          <w:p>
            <w:pPr>
              <w:pStyle w:val="TableContents"/>
              <w:bidi w:val="0"/>
              <w:spacing w:before="0" w:after="283"/>
              <w:jc w:val="both"/>
              <w:rPr/>
            </w:pPr>
            <w:r>
              <w:rPr/>
              <w:t>Weighted average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2,396,317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261,203</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both"/>
              <w:rPr/>
            </w:pPr>
            <w:r>
              <w:rPr/>
              <w:t>Common shares outstanding at period end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1,468,678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266,935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sh_006"/>
      <w:bookmarkEnd w:id="21"/>
      <w:r>
        <w:rPr>
          <w:rFonts w:ascii="Times New Roman;Times;Serif" w:hAnsi="Times New Roman;Times;Serif"/>
          <w:b/>
          <w:i w:val="false"/>
          <w:caps w:val="false"/>
          <w:smallCaps w:val="false"/>
          <w:sz w:val="20"/>
        </w:rPr>
        <w:t>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 prospectus supplement, we intend to use the net proceeds from the sale of the securities under this prospectus for general corporate purposes, including for general working capital purposes, which may include the repayment of outstanding debt.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sh_007"/>
      <w:bookmarkEnd w:id="22"/>
      <w:r>
        <w:rPr>
          <w:rFonts w:ascii="Times New Roman;Times;Serif" w:hAnsi="Times New Roman;Times;Serif"/>
          <w:b/>
          <w:i w:val="false"/>
          <w:caps w:val="false"/>
          <w:smallCaps w:val="false"/>
          <w:sz w:val="20"/>
        </w:rPr>
        <w:t>DILUTION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we will set forth in a prospectus supplement the following information regarding any material dilution of the equity interests of investors purchasing securities in an offering under this prospectus: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tangible book value per share of our equity securities before and after the offering;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increase in such net tangible book value per share attributable to the cash payments made by purchasers in the offering;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immediate dilution from the public offering price which will be absorbed by such purchasers.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sh_008"/>
      <w:bookmarkEnd w:id="23"/>
      <w:r>
        <w:rPr>
          <w:rFonts w:ascii="Times New Roman;Times;Serif" w:hAnsi="Times New Roman;Times;Serif"/>
          <w:b/>
          <w:i w:val="false"/>
          <w:caps w:val="false"/>
          <w:smallCaps w:val="false"/>
          <w:sz w:val="20"/>
        </w:rPr>
        <w:t>DESCRIPTION OF SECURITIES TO BE REGISTERED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from time to time, in one or more offerings the following securities:</w:t>
      </w:r>
    </w:p>
    <w:p>
      <w:pPr>
        <w:pStyle w:val="TextBody"/>
        <w:bidi w:val="0"/>
        <w:spacing w:before="0" w:after="0"/>
        <w:ind w:left="0" w:right="0" w:firstLine="720"/>
        <w:jc w:val="both"/>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75"/>
        <w:gridCol w:w="170"/>
        <w:gridCol w:w="26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Class A common stock;</w:t>
            </w:r>
          </w:p>
        </w:tc>
      </w:tr>
    </w:tbl>
    <w:p>
      <w:pPr>
        <w:pStyle w:val="TextBody"/>
        <w:bidi w:val="0"/>
        <w:spacing w:before="0" w:after="0"/>
        <w:ind w:left="0" w:right="0" w:hanging="0"/>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75"/>
        <w:gridCol w:w="170"/>
        <w:gridCol w:w="20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preferred stock;</w:t>
            </w:r>
          </w:p>
        </w:tc>
      </w:tr>
    </w:tbl>
    <w:p>
      <w:pPr>
        <w:pStyle w:val="TextBody"/>
        <w:bidi w:val="0"/>
        <w:spacing w:before="0" w:after="0"/>
        <w:ind w:left="0" w:right="0" w:hanging="0"/>
        <w:jc w:val="both"/>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75"/>
        <w:gridCol w:w="170"/>
        <w:gridCol w:w="126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75"/>
        <w:gridCol w:w="170"/>
        <w:gridCol w:w="665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exercisable for debt securities, Class A common stock, or preferred stock;</w:t>
            </w:r>
          </w:p>
        </w:tc>
      </w:tr>
    </w:tbl>
    <w:p>
      <w:pPr>
        <w:pStyle w:val="TextBody"/>
        <w:bidi w:val="0"/>
        <w:spacing w:before="0" w:after="0"/>
        <w:ind w:left="0" w:right="0" w:hanging="0"/>
        <w:jc w:val="both"/>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170"/>
        <w:gridCol w:w="5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rights to purchase any of such securities (“Rights”); and</w:t>
            </w:r>
          </w:p>
        </w:tc>
      </w:tr>
    </w:tbl>
    <w:p>
      <w:pPr>
        <w:pStyle w:val="TextBody"/>
        <w:bidi w:val="0"/>
        <w:spacing w:before="0" w:after="0"/>
        <w:ind w:left="0" w:right="0" w:hanging="0"/>
        <w:jc w:val="both"/>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75"/>
        <w:gridCol w:w="170"/>
        <w:gridCol w:w="77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of debt securities, common stock, Class A preferred stock, or warrants, in any combination.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a summary of the material general terms of the various securities that we may offer. The specific terms of the securities will be described in a prospectus supplement, information incorporated by reference or related free writing prospectus, which may be in addition to or different from the general terms summarized in this prospectus. Where applicable, the prospectus supplement, information incorporated by reference or related free writing prospectus will also describe any material United States federal income tax considerations relating to the securities offered and indicate whether the securities offered are or will be listed on any securities exchange. The summaries contained in this prospectus and in any prospectus supplements, information incorporated by reference or related free writing prospectus may not contain all of the information that you would find useful. Accordingly, you should read the actual documents relating to any securities sold pursuant 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particular offering, the initial offering price and the net proceeds to us will be contained in the prospectus supplement, information incorporated by reference or free writing prospectus, relating to such offering.</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22, 2025, there were 2,590,936 and 231,114 shares of our Class A common stock, par value $0.0001 per share, and Class B common stock, par value $0.0001 per share (“Class B common stock”), issued and outstanding,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Class A common stock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Each holder of Class A common stock is entitled to one vote for each share of Class A common stock held of record by such holder on all matters voted upon by the Company’s stockholders, provided, however, that, except as otherwise required in the Charter, as provided by law or by the resolution(s) or any certificate of designation providing for the issue of any preferred stock, the holders of Class A common stock are not entitled to vote on any amendment to the Charter that relates solely to the terms of one or more outstanding series of Preferred Stock if the holders of such affected series are entitled, either separately or together with the holders of one or more other such series, to vote thereon pursuant to the Charter (including any certificate of designation relating to any series of preferred stock) or pursuant to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 rights</w:t>
      </w:r>
      <w:r>
        <w:rPr>
          <w:rFonts w:ascii="Times New Roman;Times;Serif" w:hAnsi="Times New Roman;Times;Serif"/>
          <w:b w:val="false"/>
          <w:i w:val="false"/>
          <w:caps w:val="false"/>
          <w:smallCaps w:val="false"/>
          <w:sz w:val="20"/>
        </w:rPr>
        <w:t>. Subject to the rights of holders of preferred stock, holders of Class A common stock and Class B common stock are entitled to receive ratably, on a per share basis, dividends and other distributions in cash, stock or property of the Company as may be declared and paid from time to time by the Company’s board of directors (the “Board”) out of any of the Company’s assets legally available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Rights upon liquidation</w:t>
      </w:r>
      <w:r>
        <w:rPr>
          <w:rFonts w:ascii="Times New Roman;Times;Serif" w:hAnsi="Times New Roman;Times;Serif"/>
          <w:b w:val="false"/>
          <w:i w:val="false"/>
          <w:caps w:val="false"/>
          <w:smallCaps w:val="false"/>
          <w:sz w:val="20"/>
        </w:rPr>
        <w:t>. Subject to applicable law and the rights of holders of preferred stock, holders of Class A common stock and Class B 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Class A common stock and the holders of a majority of the outstanding shares of Class B common stock, each voting separately as a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rights</w:t>
      </w:r>
      <w:r>
        <w:rPr>
          <w:rFonts w:ascii="Times New Roman;Times;Serif" w:hAnsi="Times New Roman;Times;Serif"/>
          <w:b w:val="false"/>
          <w:i w:val="false"/>
          <w:caps w:val="false"/>
          <w:smallCaps w:val="false"/>
          <w:sz w:val="20"/>
        </w:rPr>
        <w:t>. No holder of Class A common stock is entitled to preemptive or subscription rights contained in the Charter or in the Bylaws. There are no redemption or sinking fund provisions applicable to the Class A common stock. The rights, preferences, and privileges of holders of the Class A common stock are subject to those of the holders of any shares of the preferred stock that the Company may issue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Class B common stock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Issuance of Class B common stock.</w:t>
      </w:r>
      <w:r>
        <w:rPr>
          <w:rFonts w:ascii="Times New Roman;Times;Serif" w:hAnsi="Times New Roman;Times;Serif"/>
          <w:b w:val="false"/>
          <w:i w:val="false"/>
          <w:caps w:val="false"/>
          <w:smallCaps w:val="false"/>
          <w:sz w:val="20"/>
        </w:rPr>
        <w:t xml:space="preserve"> Shares of Class B common stock may be issued only to, and registered in the name of, the Company’s Chief Executive Officer, Joseph Davy, and any entities wholly-owned (directly or indirectly) by Mr. Davy, or any trust for the benefit of Mr. Davy, or of which Mr. Davy is a trustee or has sole or shared voting power such that Mr. Davy has Voting Control (as defined in the Charter) over the shares held therein; provided that, in each case, Mr. Davy has sole dispositive power and the exclusive right to direct the voting of all of the shares of Class B common stock held by such entity and the transfer does not involve any payment of cash, securities, property or other consideration (other than an interest in such entity) to Mr. Davy (collectively, “Permitted Class B Owners”).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Each holder of Class B common stock is entitled to 10 votes for each share of Class B common stock held of record by such holder on all matters voted upon by the Company’s stockholders, provided, however, that, except as otherwise required in the Charter, as provided by law or by the resolution(s) or any certificate of designation providing for the issue of any preferred stock, the holders of Class B common stock are not entitled to vote on any amendment to the Charter that relates solely to the terms of one or more outstanding series of preferred stock if the holders of such affected series are entitled, either separately or together with the holders of one or more other such series, to vote thereon pursuant to the Charter (including any certificate of designation relating to any series of preferred stock) or pursuant to the DGCL.</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 rights</w:t>
      </w:r>
      <w:r>
        <w:rPr>
          <w:rFonts w:ascii="Times New Roman;Times;Serif" w:hAnsi="Times New Roman;Times;Serif"/>
          <w:b w:val="false"/>
          <w:i w:val="false"/>
          <w:caps w:val="false"/>
          <w:smallCaps w:val="false"/>
          <w:sz w:val="20"/>
        </w:rPr>
        <w:t>. Subject to the rights of holders of preferred stock, holders of Class A common stock and Class B common stock are entitled to receive ratably, on a per share basis, dividends and other distributions in cash, stock or property of the Company as may be declared and paid from time to time by the Board out of any of the Company’s assets legally available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Rights upon liquidation</w:t>
      </w:r>
      <w:r>
        <w:rPr>
          <w:rFonts w:ascii="Times New Roman;Times;Serif" w:hAnsi="Times New Roman;Times;Serif"/>
          <w:b w:val="false"/>
          <w:i w:val="false"/>
          <w:caps w:val="false"/>
          <w:smallCaps w:val="false"/>
          <w:sz w:val="20"/>
        </w:rPr>
        <w:t>. Subject to applicable law and the rights of holders of preferred stock, holders of Class A common stock and Class B 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Class A common stock and the holders of a majority of the outstanding shares of Class B common stock, each voting separately as a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Transfers</w:t>
      </w:r>
      <w:r>
        <w:rPr>
          <w:rFonts w:ascii="Times New Roman;Times;Serif" w:hAnsi="Times New Roman;Times;Serif"/>
          <w:b w:val="false"/>
          <w:i w:val="false"/>
          <w:caps w:val="false"/>
          <w:smallCaps w:val="false"/>
          <w:sz w:val="20"/>
        </w:rPr>
        <w:t>. Pursuant to the Charter, holders of shares of Class B common stock are generally restricted from transferring such shares, other than to Josephy Davy, a Permitted Class B Owner or in connection with a divorce or domestic relations order or decree.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Conversion</w:t>
      </w:r>
      <w:r>
        <w:rPr>
          <w:rFonts w:ascii="Times New Roman;Times;Serif" w:hAnsi="Times New Roman;Times;Serif"/>
          <w:b w:val="false"/>
          <w:i w:val="false"/>
          <w:caps w:val="false"/>
          <w:smallCaps w:val="false"/>
          <w:sz w:val="20"/>
        </w:rPr>
        <w:t>. Each share of Class B common stock will be (1) automatically converted into an equal number of fully paid and nonassessable shares of Class A common stock upon any Transfer (as defined in the Charter) of such shares of Class B common stock, except for a Permitted Transfer (as defined in the Charter) and (2) subject to conversion into an equal number of Class B common stock fully paid and nonassessable shares of Class A common stock at the determination of the Board 90 days after the earliest date (the “Termination Anniversary Date”) that any of the following conditions are satisfied: (i) Mr. Davy’s employment as Chief Executive Officer being terminated for cause or due to death or permanent disability; (ii) Mr. Davy resigns (other than for good reason) as the Chief Executive Officer of the Company; or (iii) Mr. Davy no longer serves as a member of the Board. In the event that Mr. Davy is reinstated as the Chief Executive Officer of the Company or is reelected or reappointed to serve as a member of the Board prior to the Termination Anniversary Date (each, a “Reset Event”), then the shares of Class B common stock will not be converted pursuant to clause (2) unless and until the ninety-day anniversary of the date that any of the foregoing conditions are subsequently met; provided that in the event of a subsequent Reset Event, the next Termination Anniversary Date will extend until the ninety-day anniversary of the date that any of the foregoing conditions are subsequently met without a Reset Event occurring prior to such anniversary. In addition, upon delivery by Mr. Davy of written notice (a “Conversion Notice”) to the Company at any time requesting the conversion of all or a portion of the shares of Class B common stock held by Mr. Davy, the Company shall, without further action on the part of the Company or any holder of shares of Class B common stock, be converted into an equal number of fully paid and nonassessable shares of Class A common stock (a “Voluntary Conversion”). The election by the Founder to effect a Voluntary Conversion shall be irrevocable.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rights</w:t>
      </w:r>
      <w:r>
        <w:rPr>
          <w:rFonts w:ascii="Times New Roman;Times;Serif" w:hAnsi="Times New Roman;Times;Serif"/>
          <w:b w:val="false"/>
          <w:i w:val="false"/>
          <w:caps w:val="false"/>
          <w:smallCaps w:val="false"/>
          <w:sz w:val="20"/>
        </w:rPr>
        <w:t>. No holder of Class B common stock is entitled to preemptive or subscription rights contained in the Charter or in the Bylaws. There are no redemption or sinking fund provisions applicable to the Class B common stock. The rights, preferences, and privileges of holders of the shares of Class B common stock are subject to those of the holders of any shares of the preferred stock that the Company may issue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Preferred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DGCL. The issuance of preferred stock could have the effect of decreasing the trading price of Class A common stock, restricting dividends on the capital stock of the Company, diluting the voting power of the Class A common stock, impairing the liquidation rights of the capital stock of the Company, or delaying or preventing a change in control of the Company.</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1 share of series FE preferred stock, par value $0.0001 per share (the “Series FE Preferred Stock”) issued and outstanding; there is only share of Series FE Preferred stock authorized. The FE Preferred Stock does not earn any dividends, is not convertible into any other equity securities of the Company and does not have any voting power (other than with respect to an amendment to the Company’s Certificate of Incorporation or designation that materially and adversely affects the rights and preferences of the Series FE Preferred Stock). The Series FE Preferred Stock has a right to participate in any future issuance of company securities for a period of two years after the Series FE Preferred Stock was issued, subject to certain exceptions.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our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that we offer will include specific terms relating to the offering, including, among other matters:</w:t>
      </w:r>
    </w:p>
    <w:p>
      <w:pPr>
        <w:pStyle w:val="TextBody"/>
        <w:bidi w:val="0"/>
        <w:spacing w:before="0" w:after="0"/>
        <w:ind w:left="0" w:right="0" w:firstLine="720"/>
        <w:jc w:val="both"/>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75"/>
        <w:gridCol w:w="170"/>
        <w:gridCol w:w="63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determining the security holders entitled to the rights distribution;</w:t>
            </w:r>
          </w:p>
        </w:tc>
      </w:tr>
    </w:tbl>
    <w:p>
      <w:pPr>
        <w:pStyle w:val="TextBody"/>
        <w:bidi w:val="0"/>
        <w:spacing w:before="0" w:after="0"/>
        <w:ind w:left="0" w:right="0" w:hanging="0"/>
        <w:jc w:val="both"/>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170"/>
        <w:gridCol w:w="95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rights issued and the aggregate amount of securities purchasable upon exercise of the rights;</w:t>
            </w:r>
          </w:p>
        </w:tc>
      </w:tr>
    </w:tbl>
    <w:p>
      <w:pPr>
        <w:pStyle w:val="TextBody"/>
        <w:bidi w:val="0"/>
        <w:spacing w:before="0" w:after="0"/>
        <w:ind w:left="0" w:right="0" w:hanging="0"/>
        <w:jc w:val="both"/>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75"/>
        <w:gridCol w:w="170"/>
        <w:gridCol w:w="15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w:t>
            </w:r>
          </w:p>
        </w:tc>
      </w:tr>
    </w:tbl>
    <w:p>
      <w:pPr>
        <w:pStyle w:val="TextBody"/>
        <w:bidi w:val="0"/>
        <w:spacing w:before="0" w:after="0"/>
        <w:ind w:left="0" w:right="0" w:hanging="0"/>
        <w:jc w:val="both"/>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75"/>
        <w:gridCol w:w="170"/>
        <w:gridCol w:w="41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to completion of the rights offering;</w:t>
            </w:r>
          </w:p>
        </w:tc>
      </w:tr>
    </w:tbl>
    <w:p>
      <w:pPr>
        <w:pStyle w:val="TextBody"/>
        <w:bidi w:val="0"/>
        <w:spacing w:before="0" w:after="0"/>
        <w:ind w:left="0" w:right="0" w:hanging="0"/>
        <w:jc w:val="both"/>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170"/>
        <w:gridCol w:w="917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rights will commence and the date on which the rights will expire; and</w:t>
            </w:r>
          </w:p>
        </w:tc>
      </w:tr>
    </w:tbl>
    <w:p>
      <w:pPr>
        <w:pStyle w:val="TextBody"/>
        <w:bidi w:val="0"/>
        <w:spacing w:before="0" w:after="0"/>
        <w:ind w:left="0" w:right="0" w:hanging="0"/>
        <w:jc w:val="both"/>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75"/>
        <w:gridCol w:w="170"/>
        <w:gridCol w:w="40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federal income tax considerations.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purchase for cash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Class A common stock or preferred shares. Warrants may be issued independently or together with any other securities that may be sold by us pursuant to this prospectus or any combination of the foregoing and may be attached to, or separate from, such securities. To the extent warrants that we issue are to be publicly traded, each series of such warrants will be issued under a separate warrant agreement to be entered into between us and a warrant agent. While the terms we have summarized below will apply generally to any warrants that we may offer under this prospectus, we will describe in particular the terms of any series of warrants that we may offer in more detail in the applicable prospectus supplement and any applicable free writing prospectus. The terms of any warrants offered under a prospectus supplement may differ from the terms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exhibits to the registration statement of which this prospectus is a part, or will incorporate by reference from another report that we file with the SEC, the form of the warrant and/or warrant agreement, if any, which may include a form of warrant certificate, as applicable that describes the terms of the particular series of warrants we may offer before the issuance of the related series of warrants. We may issue the warrants under a warrant agreement that we will enter into with a warrant agent to be selected by us. The warrant agent will act solely as our agent in connection with the warrants and will not assume any obligation or relationship of agency or trust for or with any registered holders of warrants or beneficial owners of warrants. The following summary of material provisions of the warrants and warrant agreements is subject to, and qualified in its entirety by reference to, all the provisions of the form of warrant and/or warrant agreement and warrant certificate applicable to a particular series of warrants. We urge you to read the applicable prospectus supplement and any related free writing prospectus, as well as the complete form of warrant and/or the warrant agreement and warrant certificate, as applicable, that contain the terms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any issue of warrants will be described in the prospectus supplement relating to the issue. Those terms may include:</w:t>
      </w:r>
    </w:p>
    <w:p>
      <w:pPr>
        <w:pStyle w:val="TextBody"/>
        <w:bidi w:val="0"/>
        <w:spacing w:before="0" w:after="0"/>
        <w:ind w:left="0" w:right="0" w:firstLine="720"/>
        <w:jc w:val="both"/>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75"/>
        <w:gridCol w:w="170"/>
        <w:gridCol w:w="19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warrants;</w:t>
            </w:r>
          </w:p>
        </w:tc>
      </w:tr>
    </w:tbl>
    <w:p>
      <w:pPr>
        <w:pStyle w:val="TextBody"/>
        <w:bidi w:val="0"/>
        <w:spacing w:before="0" w:after="0"/>
        <w:ind w:left="0" w:right="0" w:hanging="0"/>
        <w:jc w:val="both"/>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75"/>
        <w:gridCol w:w="170"/>
        <w:gridCol w:w="44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or prices at which the warrants will be issued;</w:t>
            </w:r>
          </w:p>
        </w:tc>
      </w:tr>
    </w:tbl>
    <w:p>
      <w:pPr>
        <w:pStyle w:val="TextBody"/>
        <w:bidi w:val="0"/>
        <w:spacing w:before="0" w:after="0"/>
        <w:ind w:left="0" w:right="0" w:hanging="0"/>
        <w:jc w:val="both"/>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75"/>
        <w:gridCol w:w="170"/>
        <w:gridCol w:w="846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amount and terms of the securities or other rights for which the warrants are exercisable;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and terms of the other securities, if any, with which the warrants are to be issued and the number of warrants issued with each other security;</w:t>
            </w:r>
          </w:p>
        </w:tc>
      </w:tr>
    </w:tbl>
    <w:p>
      <w:pPr>
        <w:pStyle w:val="TextBody"/>
        <w:bidi w:val="0"/>
        <w:spacing w:before="0" w:after="0"/>
        <w:ind w:left="0" w:right="0" w:hanging="0"/>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170"/>
        <w:gridCol w:w="27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warrants;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adjustment of the number or amount of securities receivable upon exercise of the warrants or the exercise price of the warrants;</w:t>
            </w:r>
          </w:p>
        </w:tc>
      </w:tr>
    </w:tbl>
    <w:p>
      <w:pPr>
        <w:pStyle w:val="TextBody"/>
        <w:bidi w:val="0"/>
        <w:spacing w:before="0" w:after="0"/>
        <w:ind w:left="0" w:right="0" w:hanging="0"/>
        <w:jc w:val="both"/>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75"/>
        <w:gridCol w:w="170"/>
        <w:gridCol w:w="94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or prices at which the securities or other rights purchasable upon exercise of the warrants may be purchased;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date on and after which the warrants and the securities or other rights purchasable upon exercise of the warrants will be separately transferable;</w:t>
            </w:r>
          </w:p>
        </w:tc>
      </w:tr>
    </w:tbl>
    <w:p>
      <w:pPr>
        <w:pStyle w:val="TextBody"/>
        <w:bidi w:val="0"/>
        <w:spacing w:before="0" w:after="0"/>
        <w:ind w:left="0" w:right="0" w:hanging="0"/>
        <w:jc w:val="both"/>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170"/>
        <w:gridCol w:w="88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any material U.S. federal income tax considerations applicable to the exercise of the warrants;</w:t>
            </w:r>
          </w:p>
        </w:tc>
      </w:tr>
    </w:tbl>
    <w:p>
      <w:pPr>
        <w:pStyle w:val="TextBody"/>
        <w:bidi w:val="0"/>
        <w:spacing w:before="0" w:after="0"/>
        <w:ind w:left="0" w:right="0" w:hanging="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warrants will commence, and the date on which the right will expire;</w:t>
            </w:r>
          </w:p>
        </w:tc>
      </w:tr>
    </w:tbl>
    <w:p>
      <w:pPr>
        <w:pStyle w:val="TextBody"/>
        <w:bidi w:val="0"/>
        <w:spacing w:before="0" w:after="0"/>
        <w:ind w:left="0" w:right="0" w:hanging="0"/>
        <w:jc w:val="both"/>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75"/>
        <w:gridCol w:w="170"/>
        <w:gridCol w:w="65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or minimum number of warrants that may be exercised at any time;</w:t>
            </w:r>
          </w:p>
        </w:tc>
      </w:tr>
    </w:tbl>
    <w:p>
      <w:pPr>
        <w:pStyle w:val="TextBody"/>
        <w:bidi w:val="0"/>
        <w:spacing w:before="0" w:after="0"/>
        <w:ind w:left="0" w:right="0" w:hanging="0"/>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170"/>
        <w:gridCol w:w="50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book-entry procedures, if any;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the warrants, including terms, procedures and limitations relating to the exchange and exercise of the warrants.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entitle the holder of warrants to purchase the number of Class A common stock or preferred shares of the relevant class or series at the exercise price stated or determinable in the prospectus supplement for the warrants. Warrants may be exercised at any time up to the close of business on the expiration date shown in the applicable prospectus supplement, unless otherwise specified in such prospectus supplement. After the close of business on the expiration date, if applicable, unexercised warrants will become void. Warrants may be exercised in the manner described in the applicable prospectus supplement. When the warrant holder makes the payment and properly completes and signs the warrant certificate at the corporate trust office of the warrant agent, if any, or any other office indicated in the prospectus supplement, we will, as soon as possible, forward the securities or other rights that the warrant holder has purchased. If the warrant holder exercises less than all of the warrants represented by the warrant certificate, we will issue a new warrant certificate for the remaining warrants. If we so indicate in the applicable prospectus supplement, holders of the warrants may surrender securities as all or part of the exercise price for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exercise of any warrants to purchase Class A common stock or preferred shares of the relevant class or series, holders of the warrants will not have any of the rights of holders of Class A common stock or preferred shares purchasable upon exercise, including the right to vote or to receive any payments of dividends or payments upon our liquidation, dissolution or winding up on the Class A common stock or preferred shares purchasable upon exercise,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Enforceability of Rights by Holders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Outstanding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22, 2025, we have issued and outstanding warrants to purchase up to 1,149,998 shares of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may include in any applicable prospectus supplement,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and any related free writing prospectus.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an exhibit to the registration statement of which this prospectus is a part, or will incorporate by reference from another report we file with the SEC, the form of unit agreement that describes the terms of the series of units we may offer under this prospectus,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 and any related free writing prospectus, as well as the complete unit agreement and any supplemental agreements that contain the terms of the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Class A common stock or preferred shares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If we offer any units, certain terms of that series of units will be described in the applicable prospectus supplement, including, without limitation, the following, as applicable:</w:t>
      </w:r>
    </w:p>
    <w:p>
      <w:pPr>
        <w:pStyle w:val="TextBody"/>
        <w:bidi w:val="0"/>
        <w:spacing w:before="0" w:after="0"/>
        <w:ind w:left="0" w:right="0" w:firstLine="720"/>
        <w:jc w:val="both"/>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75"/>
        <w:gridCol w:w="170"/>
        <w:gridCol w:w="23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series of units;</w:t>
            </w:r>
          </w:p>
        </w:tc>
      </w:tr>
    </w:tbl>
    <w:p>
      <w:pPr>
        <w:pStyle w:val="TextBody"/>
        <w:bidi w:val="0"/>
        <w:spacing w:before="0" w:after="0"/>
        <w:ind w:left="0" w:right="0" w:hanging="0"/>
        <w:jc w:val="both"/>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75"/>
        <w:gridCol w:w="170"/>
        <w:gridCol w:w="72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and description of the separate constituent securities comprising the units;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75"/>
        <w:gridCol w:w="170"/>
        <w:gridCol w:w="41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or prices at which the units will be issued;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if any, on and after which the constituent securities comprising the units will be separately transferable, if applicable;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the issuance, payment, settlement, transfer, or exchange of the units or of the securities comprising the units;</w:t>
            </w:r>
          </w:p>
        </w:tc>
      </w:tr>
    </w:tbl>
    <w:p>
      <w:pPr>
        <w:pStyle w:val="TextBody"/>
        <w:bidi w:val="0"/>
        <w:spacing w:before="0" w:after="0"/>
        <w:ind w:left="0" w:right="0" w:hanging="0"/>
        <w:jc w:val="both"/>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75"/>
        <w:gridCol w:w="170"/>
        <w:gridCol w:w="80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certain United States federal income tax considerations applicable to the units; and</w:t>
            </w:r>
          </w:p>
        </w:tc>
      </w:tr>
    </w:tbl>
    <w:p>
      <w:pPr>
        <w:pStyle w:val="TextBody"/>
        <w:bidi w:val="0"/>
        <w:spacing w:before="0" w:after="0"/>
        <w:ind w:left="0" w:right="0" w:hanging="0"/>
        <w:jc w:val="both"/>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75"/>
        <w:gridCol w:w="170"/>
        <w:gridCol w:w="55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material terms of the units and their constituent securities.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described in this section, as well as those described under “Description of Securities to be Registered – Common Stock and Preferred Stock” and “Description of Warrants” will apply to each unit and to any Class A common stock, preferred shares or warrant included in each unit,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in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in such amounts and in numerous distinct series as we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Enforceability of Rights by Holders of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enter into unit agreements with a unit agent. 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generally apply to any future debt securities we may offer under this prospectus, we will describe the particular terms of any debt securities that we may offer in more detail in the applicable prospectus supplement. The terms of any debt securities we offer under a prospectus supplement may differ from the terms we describe below. As of the date of this prospectus, we have no outstanding registered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notes under senior or subordinated indentures or, separately, without the use of an indenture. If we issue senior or subordinated notes without the use of an indenture, we will issue such senior or subordinated notes directly to the purchasers of such senior or subordinated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issue senior notes under a senior indenture, we will enter into such subordinated indenture with the trustee to be named in such senior indenture. If we issue subordinated notes under a subordinated indenture, we will enter into such subordinated indenture with the trustee to be named in such subordinated indenture. We will file as exhibits to the registration statement of which this prospectus is a part, or will incorporate by reference from another report that we file with the SEC, the form of such notes and indentures, if any, that describes the terms of the particular note we may offer under this prospectus, and any supplement agreements, before the issuance of the related note. We use the term “indentures” to refer to both the senior indenture and the subordinated indenture.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will be qualified under the Trust Indenture Act of 1939. References to the Trust Indenture Act of 1939 include all amendments thereto. We use the term “debenture trustee” to refer to either the senior trustee or the subordinated trustee,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summaries of material provisions of the senior notes, the subordinated notes and the indentures are subject to, and qualified in their entirety by reference to, all the provisions of the indenture applicable to a particular series of debt securities, and all supplements thereto. We urge you to read the applicable prospectus supplements related to the debt securities that we sell under this prospectus, as well as the complete indentures that contain the terms of the debt securities. Except as we may otherwise indicate, the terms of the senior and the subordinated indentures are identical.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and descriptions in this prospectus or in any prospectus supplement regarding provisions of debt securities and any indentures are summaries of these provisions, do not purport to be complete and are subject to, and are qualified in their entirety by reference to, all of the provisions of the debt securities and the indentures (including any amendments or supplements we may enter into from time to time which are permitted under the debt securities or any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In addition, the particular terms of each series of debt securities will be described in a prospectus supplement relating to such series, including any pricing supplement. The prospectus supplement will set forth, among other things:</w:t>
      </w:r>
    </w:p>
    <w:p>
      <w:pPr>
        <w:pStyle w:val="TextBody"/>
        <w:bidi w:val="0"/>
        <w:spacing w:before="0" w:after="0"/>
        <w:ind w:left="0" w:right="0" w:firstLine="720"/>
        <w:jc w:val="both"/>
        <w:rPr>
          <w:caps w:val="false"/>
          <w:smallCaps w:val="false"/>
        </w:rPr>
      </w:pPr>
      <w:r>
        <w:rPr>
          <w:caps w:val="false"/>
          <w:smallCaps w:val="false"/>
        </w:rPr>
        <w:t> </w:t>
      </w:r>
    </w:p>
    <w:tbl>
      <w:tblPr>
        <w:tblW w:w="970" w:type="dxa"/>
        <w:jc w:val="left"/>
        <w:tblInd w:w="0" w:type="dxa"/>
        <w:tblLayout w:type="fixed"/>
        <w:tblCellMar>
          <w:top w:w="0" w:type="dxa"/>
          <w:left w:w="0" w:type="dxa"/>
          <w:bottom w:w="0" w:type="dxa"/>
          <w:right w:w="0" w:type="dxa"/>
        </w:tblCellMar>
      </w:tblPr>
      <w:tblGrid>
        <w:gridCol w:w="75"/>
        <w:gridCol w:w="170"/>
        <w:gridCol w:w="7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w:t>
            </w:r>
          </w:p>
        </w:tc>
      </w:tr>
    </w:tbl>
    <w:p>
      <w:pPr>
        <w:pStyle w:val="TextBody"/>
        <w:bidi w:val="0"/>
        <w:spacing w:before="0" w:after="0"/>
        <w:ind w:left="0" w:right="0" w:hanging="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75"/>
        <w:gridCol w:w="170"/>
        <w:gridCol w:w="92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amount being offered, and, if a series, the total amount authorized and the total amount outstanding;</w:t>
            </w:r>
          </w:p>
        </w:tc>
      </w:tr>
    </w:tbl>
    <w:p>
      <w:pPr>
        <w:pStyle w:val="TextBody"/>
        <w:bidi w:val="0"/>
        <w:spacing w:before="0" w:after="0"/>
        <w:ind w:left="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75"/>
        <w:gridCol w:w="170"/>
        <w:gridCol w:w="35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 on the amount that may be issued;</w:t>
            </w:r>
          </w:p>
        </w:tc>
      </w:tr>
    </w:tbl>
    <w:p>
      <w:pPr>
        <w:pStyle w:val="TextBody"/>
        <w:bidi w:val="0"/>
        <w:spacing w:before="0" w:after="0"/>
        <w:ind w:left="0" w:right="0" w:hanging="0"/>
        <w:jc w:val="both"/>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75"/>
        <w:gridCol w:w="170"/>
        <w:gridCol w:w="99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we will issue the series of debt securities in global form and, if so, the terms and who the depositary will be;</w:t>
            </w:r>
          </w:p>
        </w:tc>
      </w:tr>
    </w:tbl>
    <w:p>
      <w:pPr>
        <w:pStyle w:val="TextBody"/>
        <w:bidi w:val="0"/>
        <w:spacing w:before="0" w:after="0"/>
        <w:ind w:left="0" w:right="0" w:hanging="0"/>
        <w:jc w:val="both"/>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75"/>
        <w:gridCol w:w="170"/>
        <w:gridCol w:w="14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and under what circumstances, if any, we will pay additional amounts on any debt securities held by a person who is not a U.S. person for tax purposes, and whether we can redeem the debt securities if we have to pay such additional amounts;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interest rate, which may be fixed or variable, or the method for determining the rate, the date interest will begin to accrue, the dates interest will be payable and the regular record dates for interest payment dates or the method for determining such dates;</w:t>
            </w:r>
          </w:p>
        </w:tc>
      </w:tr>
    </w:tbl>
    <w:p>
      <w:pPr>
        <w:pStyle w:val="TextBody"/>
        <w:bidi w:val="0"/>
        <w:spacing w:before="0" w:after="0"/>
        <w:ind w:left="0" w:right="0" w:hanging="0"/>
        <w:jc w:val="both"/>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70"/>
        <w:gridCol w:w="64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subordination of any series of subordinated debt, if applicable;</w:t>
            </w:r>
          </w:p>
        </w:tc>
      </w:tr>
    </w:tbl>
    <w:p>
      <w:pPr>
        <w:pStyle w:val="TextBody"/>
        <w:bidi w:val="0"/>
        <w:spacing w:before="0" w:after="0"/>
        <w:ind w:left="0" w:right="0" w:hanging="0"/>
        <w:jc w:val="both"/>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75"/>
        <w:gridCol w:w="170"/>
        <w:gridCol w:w="347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where payments will be payable;</w:t>
            </w:r>
          </w:p>
        </w:tc>
      </w:tr>
    </w:tbl>
    <w:p>
      <w:pPr>
        <w:pStyle w:val="TextBody"/>
        <w:bidi w:val="0"/>
        <w:spacing w:before="0" w:after="0"/>
        <w:ind w:left="0" w:right="0" w:hanging="0"/>
        <w:jc w:val="both"/>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170"/>
        <w:gridCol w:w="45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transfer, sale, or other assignment, if any;</w:t>
            </w:r>
          </w:p>
        </w:tc>
      </w:tr>
    </w:tbl>
    <w:p>
      <w:pPr>
        <w:pStyle w:val="TextBody"/>
        <w:bidi w:val="0"/>
        <w:spacing w:before="0" w:after="0"/>
        <w:ind w:left="0" w:right="0" w:hanging="0"/>
        <w:jc w:val="both"/>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75"/>
        <w:gridCol w:w="170"/>
        <w:gridCol w:w="79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right, if any, to defer payment of interest and the maximum length of any such deferral period;</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if any, after which, the conditions upon which, and the price at which we may, at our option, redeem the series of debt securities pursuant to any optional or provisional redemption provisions, and any other applicable terms of those redemption provisions;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w:t>
            </w:r>
          </w:p>
        </w:tc>
      </w:tr>
    </w:tbl>
    <w:p>
      <w:pPr>
        <w:pStyle w:val="TextBody"/>
        <w:bidi w:val="0"/>
        <w:spacing w:before="0" w:after="0"/>
        <w:ind w:left="0" w:right="0" w:hanging="0"/>
        <w:jc w:val="both"/>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170"/>
        <w:gridCol w:w="85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indenture will restrict our ability and/or the ability of our subsidiaries to, among other things:</w:t>
            </w:r>
          </w:p>
        </w:tc>
      </w:tr>
    </w:tbl>
    <w:p>
      <w:pPr>
        <w:pStyle w:val="TextBody"/>
        <w:bidi w:val="0"/>
        <w:spacing w:before="0" w:after="0"/>
        <w:ind w:left="0" w:right="0" w:hanging="0"/>
        <w:jc w:val="both"/>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75"/>
        <w:gridCol w:w="170"/>
        <w:gridCol w:w="25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indebtedness;</w:t>
            </w:r>
          </w:p>
        </w:tc>
      </w:tr>
    </w:tbl>
    <w:p>
      <w:pPr>
        <w:pStyle w:val="TextBody"/>
        <w:bidi w:val="0"/>
        <w:spacing w:before="0" w:after="0"/>
        <w:ind w:left="0" w:right="0" w:hanging="0"/>
        <w:jc w:val="both"/>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75"/>
        <w:gridCol w:w="170"/>
        <w:gridCol w:w="219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additional securities;</w:t>
            </w:r>
          </w:p>
        </w:tc>
      </w:tr>
    </w:tbl>
    <w:p>
      <w:pPr>
        <w:pStyle w:val="TextBody"/>
        <w:bidi w:val="0"/>
        <w:spacing w:before="0" w:after="0"/>
        <w:ind w:left="0" w:right="0" w:hanging="0"/>
        <w:jc w:val="both"/>
        <w:rPr>
          <w:caps w:val="false"/>
          <w:smallCaps w:val="false"/>
        </w:rPr>
      </w:pPr>
      <w:r>
        <w:rPr>
          <w:caps w:val="false"/>
          <w:smallCaps w:val="false"/>
        </w:rPr>
        <w:t> </w:t>
      </w:r>
    </w:p>
    <w:tbl>
      <w:tblPr>
        <w:tblW w:w="1255" w:type="dxa"/>
        <w:jc w:val="left"/>
        <w:tblInd w:w="0" w:type="dxa"/>
        <w:tblLayout w:type="fixed"/>
        <w:tblCellMar>
          <w:top w:w="0" w:type="dxa"/>
          <w:left w:w="0" w:type="dxa"/>
          <w:bottom w:w="0" w:type="dxa"/>
          <w:right w:w="0" w:type="dxa"/>
        </w:tblCellMar>
      </w:tblPr>
      <w:tblGrid>
        <w:gridCol w:w="75"/>
        <w:gridCol w:w="170"/>
        <w:gridCol w:w="10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liens;</w:t>
            </w:r>
          </w:p>
        </w:tc>
      </w:tr>
    </w:tbl>
    <w:p>
      <w:pPr>
        <w:pStyle w:val="TextBody"/>
        <w:bidi w:val="0"/>
        <w:spacing w:before="0" w:after="0"/>
        <w:ind w:left="0" w:right="0" w:hanging="0"/>
        <w:jc w:val="both"/>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170"/>
        <w:gridCol w:w="88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dividends and make distributions in respect of our capital stock and the capital stock of our subsidiaries;</w:t>
            </w:r>
          </w:p>
        </w:tc>
      </w:tr>
    </w:tbl>
    <w:p>
      <w:pPr>
        <w:pStyle w:val="TextBody"/>
        <w:bidi w:val="0"/>
        <w:spacing w:before="0" w:after="0"/>
        <w:ind w:left="0" w:right="0" w:hanging="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75"/>
        <w:gridCol w:w="170"/>
        <w:gridCol w:w="17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 capital stock;</w:t>
            </w:r>
          </w:p>
        </w:tc>
      </w:tr>
    </w:tbl>
    <w:p>
      <w:pPr>
        <w:pStyle w:val="TextBody"/>
        <w:bidi w:val="0"/>
        <w:spacing w:before="0" w:after="0"/>
        <w:ind w:left="0" w:right="0" w:hanging="0"/>
        <w:jc w:val="both"/>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 restrictions on our subsidiaries’ ability to pay dividends, make distributions or transfer assets;</w:t>
            </w:r>
          </w:p>
        </w:tc>
      </w:tr>
    </w:tbl>
    <w:p>
      <w:pPr>
        <w:pStyle w:val="TextBody"/>
        <w:bidi w:val="0"/>
        <w:spacing w:before="0" w:after="0"/>
        <w:ind w:left="0" w:right="0" w:hanging="0"/>
        <w:jc w:val="both"/>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75"/>
        <w:gridCol w:w="170"/>
        <w:gridCol w:w="38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investments or other restricted payments;</w:t>
            </w:r>
          </w:p>
        </w:tc>
      </w:tr>
    </w:tbl>
    <w:p>
      <w:pPr>
        <w:pStyle w:val="TextBody"/>
        <w:bidi w:val="0"/>
        <w:spacing w:before="0" w:after="0"/>
        <w:ind w:left="0" w:right="0" w:hanging="0"/>
        <w:jc w:val="both"/>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75"/>
        <w:gridCol w:w="170"/>
        <w:gridCol w:w="279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or otherwise dispose of assets;</w:t>
            </w:r>
          </w:p>
        </w:tc>
      </w:tr>
    </w:tbl>
    <w:p>
      <w:pPr>
        <w:pStyle w:val="TextBody"/>
        <w:bidi w:val="0"/>
        <w:spacing w:before="0" w:after="0"/>
        <w:ind w:left="0" w:right="0" w:hanging="0"/>
        <w:jc w:val="both"/>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75"/>
        <w:gridCol w:w="170"/>
        <w:gridCol w:w="31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into sale-leaseback transactions;</w:t>
            </w:r>
          </w:p>
        </w:tc>
      </w:tr>
    </w:tbl>
    <w:p>
      <w:pPr>
        <w:pStyle w:val="TextBody"/>
        <w:bidi w:val="0"/>
        <w:spacing w:before="0" w:after="0"/>
        <w:ind w:left="0" w:right="0" w:hanging="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in transactions with stockholders and affiliates;</w:t>
            </w:r>
          </w:p>
        </w:tc>
      </w:tr>
    </w:tbl>
    <w:p>
      <w:pPr>
        <w:pStyle w:val="TextBody"/>
        <w:bidi w:val="0"/>
        <w:spacing w:before="0" w:after="0"/>
        <w:ind w:left="0" w:right="0" w:hanging="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75"/>
        <w:gridCol w:w="170"/>
        <w:gridCol w:w="305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or sell stock of our subsidiaries;</w:t>
            </w:r>
          </w:p>
        </w:tc>
      </w:tr>
    </w:tbl>
    <w:p>
      <w:pPr>
        <w:pStyle w:val="TextBody"/>
        <w:bidi w:val="0"/>
        <w:spacing w:before="0" w:after="0"/>
        <w:ind w:left="0" w:right="0" w:hanging="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5"/>
        <w:gridCol w:w="170"/>
        <w:gridCol w:w="26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a consolidation or merger;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indenture will require us to maintain any interest coverage, fixed charge, cash flow-based, asset-based, or other financial ratios;</w:t>
            </w:r>
          </w:p>
        </w:tc>
      </w:tr>
    </w:tbl>
    <w:p>
      <w:pPr>
        <w:pStyle w:val="TextBody"/>
        <w:bidi w:val="0"/>
        <w:spacing w:before="0" w:after="0"/>
        <w:ind w:left="0" w:right="0" w:hanging="0"/>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75"/>
        <w:gridCol w:w="170"/>
        <w:gridCol w:w="39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describing any book-entry features;</w:t>
            </w:r>
          </w:p>
        </w:tc>
      </w:tr>
    </w:tbl>
    <w:p>
      <w:pPr>
        <w:pStyle w:val="TextBody"/>
        <w:bidi w:val="0"/>
        <w:spacing w:before="0" w:after="0"/>
        <w:ind w:left="0" w:right="0" w:hanging="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a sinking fund purchase or other analogous fund, if 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securities are to be offered at a price such that they will be deemed to be offered at an “original issue discount” as defined in paragraph (a) of Section 1273 of the Internal Revenue Code;</w:t>
            </w:r>
          </w:p>
        </w:tc>
      </w:tr>
    </w:tbl>
    <w:p>
      <w:pPr>
        <w:pStyle w:val="TextBody"/>
        <w:bidi w:val="0"/>
        <w:spacing w:before="0" w:after="0"/>
        <w:ind w:left="0" w:right="0" w:hanging="0"/>
        <w:jc w:val="both"/>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170"/>
        <w:gridCol w:w="44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for any auction and remarketing, if 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denominations in which we will issue the series of debt securities, if other than denominations of $1,000 and any integral multiple thereof;</w:t>
            </w:r>
          </w:p>
        </w:tc>
      </w:tr>
    </w:tbl>
    <w:p>
      <w:pPr>
        <w:pStyle w:val="TextBody"/>
        <w:bidi w:val="0"/>
        <w:spacing w:before="0" w:after="0"/>
        <w:ind w:left="0" w:right="0" w:hanging="0"/>
        <w:jc w:val="both"/>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170"/>
        <w:gridCol w:w="78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than dollars, the currency in which the series of debt securities will be denominated;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specific terms, preferences, rights or limitations of, or restrictions on, the debt securities, including any events of default that are in addition to those described in this prospectus or any covenants provided with respect to the debt securities that are in addition to those described above, and any terms that may be required by us or advisable under applicable laws or regulations or advisable in connection with the marketing of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or Exchange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prospectus supplement the terms on which a series of debt securities may be convertible into or exchangeable for Class A common stock, preferred shares, or other securities of ours or a third party, including the conversion or exchange rate, as applicable, or how it will be calculated, and the applicable conversion or exchange period. We will include provisions as to whether conversion or exchange is mandatory, at the option of the holder or at our option. We may include provisions pursuant to which the number of our securities or the securities of a third party that the holders of the series of debt securities receive upon conversion or exchange would, under the circumstances described in those provisions, be subject to adjustment, or pursuant to which those holders would, under those circumstances, receive other property upon conversion or exchange, for example in the event of our merger or consolidation with another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Consolidation, Merger or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in the forms initially filed as exhibits to the registration statement of which this prospectus is a part do not contain any covenant that restricts our ability to merge or consolidate, or sell, convey, transfer, or otherwise dispose of all or substantially all of our assets. However, any successor of ours or the acquirer of such assets must assume all of our obligations under the indentures and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are convertible for our other securities,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Events of Default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events of default under the indentures in the forms initially filed as exhibits to the registration statement with respect to any series of debt securities that we may issue: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pay interest when due and payable and our failure continues for 90 days and the time for payment has not been extended or deferred;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pay the principal, sinking fund payment or premium, if any, when due and payable and the time for payment has not been extended or delayed;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observe or perform any other covenant contained in the debt securities or the indentures, other than a covenant specifically relating to another series of debt securities, and our failure continues for 90 days after we receive notice from the debenture trustee or holders of at least 25% in aggregate principal amount of the outstanding debt securities of the applicable series; and</w:t>
            </w:r>
          </w:p>
        </w:tc>
      </w:tr>
    </w:tbl>
    <w:p>
      <w:pPr>
        <w:pStyle w:val="TextBody"/>
        <w:bidi w:val="0"/>
        <w:spacing w:before="0" w:after="0"/>
        <w:ind w:left="0" w:right="0" w:hanging="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75"/>
        <w:gridCol w:w="170"/>
        <w:gridCol w:w="56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specified events of bankruptcy, insolvency or reorganization occur.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debt securities of any series occurs and is continuing, other than an event of default specified in the last bullet point above, the debenture trustee or the holders of at least 25% in aggregate principal amount of the outstanding debt securities of that series, by notice to us in writing, and to the debenture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debenture trustee or any holder.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pStyle w:val="TextBody"/>
        <w:bidi w:val="0"/>
        <w:spacing w:before="0" w:after="0"/>
        <w:ind w:left="0" w:right="0" w:firstLine="720"/>
        <w:jc w:val="both"/>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170"/>
        <w:gridCol w:w="8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direction so given by the holder is not in conflict with any law or the applicable indenture;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its duties under the Trust Indenture Act of 1939, the debenture trustee need not take any action that might involve it in personal liability or might be unduly prejudicial to the holders not involved in the proceeding.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debt securities of any series will only have the right to institute a proceeding under the indentures or to appoint a receiver or trustee, or to seek other remedies if:</w:t>
      </w:r>
    </w:p>
    <w:p>
      <w:pPr>
        <w:pStyle w:val="TextBody"/>
        <w:bidi w:val="0"/>
        <w:spacing w:before="0" w:after="0"/>
        <w:ind w:left="0" w:right="0" w:firstLine="720"/>
        <w:jc w:val="both"/>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75"/>
        <w:gridCol w:w="170"/>
        <w:gridCol w:w="95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has given written notice to the debenture trustee of a continuing event of default with respect to that series;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at least 25% in aggregate principal amount of the outstanding debt securities of that series have made written request, and such holders have offered reasonable indemnity, to the debenture trustee to institute the proceeding as trustee;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 trustee does not institute the proceeding and does not receive from the holders of a majority in aggregate principal amount of the outstanding debt securities of that series other conflicting directions within 90 days after the notice, request and offer.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do not apply to a suit instituted by a holder of debt securities if we default in the payment of the principal, premium, if any, or interest on,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periodically file statements with the debenture trustee regarding our compliance with specified covenants in the indentures.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Modification of Indenture;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debenture trustee may change an indenture without the consent of any holders with respect to specific matters, including:</w:t>
      </w:r>
    </w:p>
    <w:p>
      <w:pPr>
        <w:pStyle w:val="TextBody"/>
        <w:bidi w:val="0"/>
        <w:spacing w:before="0" w:after="0"/>
        <w:ind w:left="0" w:right="0" w:firstLine="720"/>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170"/>
        <w:gridCol w:w="50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fix any ambiguity, defect or inconsistency in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75"/>
        <w:gridCol w:w="170"/>
        <w:gridCol w:w="70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comply with the provisions described above under “Consolidation, Merger or Sale”;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comply with any requirements of the SEC in connection with the qualification of any indenture under the Trust Indenture Act of 1939;</w:t>
            </w:r>
          </w:p>
        </w:tc>
      </w:tr>
    </w:tbl>
    <w:p>
      <w:pPr>
        <w:pStyle w:val="TextBody"/>
        <w:bidi w:val="0"/>
        <w:spacing w:before="0" w:after="0"/>
        <w:ind w:left="0" w:right="0" w:hanging="0"/>
        <w:jc w:val="left"/>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75"/>
        <w:gridCol w:w="170"/>
        <w:gridCol w:w="66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evidence and provide for the acceptance of appointment by a successor trustee;</w:t>
            </w:r>
          </w:p>
        </w:tc>
      </w:tr>
    </w:tbl>
    <w:p>
      <w:pPr>
        <w:pStyle w:val="TextBody"/>
        <w:bidi w:val="0"/>
        <w:spacing w:before="0" w:after="0"/>
        <w:ind w:left="0" w:right="0" w:hanging="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75"/>
        <w:gridCol w:w="170"/>
        <w:gridCol w:w="7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for uncertificated debt securities and to make all appropriate changes for such purpose;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 to, delete from, or revise the conditions, limitations and restrictions on the authorized amount, terms or purposes of issuance, authorization and delivery of debt securities or any series, as set forth in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for the issuance of and establish the form and terms and conditions of the debt securities of any series as provided under “General” to establish the form of any certifications required to be furnished pursuant to the terms of the indenture or any series of debt securities, or to add to the rights of the holders of any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 to our covenants such new covenants, restrictions, conditions or provisions for the protection of the holders, to make the occurrence, or the occurrence and the continuance, of a default in any such additional covenants, restrictions, conditions or provisions an event of default, or to surrender any of our rights or powers under the indenture; or</w:t>
            </w:r>
          </w:p>
        </w:tc>
      </w:tr>
    </w:tbl>
    <w:p>
      <w:pPr>
        <w:pStyle w:val="TextBody"/>
        <w:bidi w:val="0"/>
        <w:spacing w:before="0" w:after="0"/>
        <w:ind w:left="0" w:right="0" w:hanging="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75"/>
        <w:gridCol w:w="170"/>
        <w:gridCol w:w="95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change anything that does not materially adversely affect the interests of any holder of debt securities of any series.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that is affected. However, we and the debenture trustee may only make the following changes with the consent of each holder of any outstanding debt securities affected:</w:t>
      </w:r>
    </w:p>
    <w:p>
      <w:pPr>
        <w:pStyle w:val="TextBody"/>
        <w:bidi w:val="0"/>
        <w:spacing w:before="0" w:after="0"/>
        <w:ind w:left="0" w:right="0" w:firstLine="720"/>
        <w:jc w:val="both"/>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170"/>
        <w:gridCol w:w="48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extending the fixed maturity of the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the principal amount, reducing the rate of or extending the time of payment of interest, or reducing any premium payable upon the redemption of any debt securities;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the percentage of debt securities, the holders of which are required to consent to any amendment, supplement, modification or waiver.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Discharge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provides that we can elect to be discharged from our obligations with respect to one or more series of debt securities, except that the following obligations, among others survive until the maturity date or the redemption date:</w:t>
      </w:r>
    </w:p>
    <w:p>
      <w:pPr>
        <w:pStyle w:val="TextBody"/>
        <w:bidi w:val="0"/>
        <w:spacing w:before="0" w:after="0"/>
        <w:ind w:left="0" w:right="0" w:firstLine="720"/>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75"/>
        <w:gridCol w:w="170"/>
        <w:gridCol w:w="51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 the transfer or exchange of debt securities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75"/>
        <w:gridCol w:w="170"/>
        <w:gridCol w:w="48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replace stolen, lost or mutilated debt securities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75"/>
        <w:gridCol w:w="170"/>
        <w:gridCol w:w="21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paying agencies;</w:t>
            </w:r>
          </w:p>
        </w:tc>
      </w:tr>
    </w:tbl>
    <w:p>
      <w:pPr>
        <w:pStyle w:val="TextBody"/>
        <w:bidi w:val="0"/>
        <w:spacing w:before="0" w:after="0"/>
        <w:ind w:left="0" w:right="0" w:hanging="0"/>
        <w:jc w:val="left"/>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75"/>
        <w:gridCol w:w="170"/>
        <w:gridCol w:w="27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 monies for payment in trust;</w:t>
            </w:r>
          </w:p>
        </w:tc>
      </w:tr>
    </w:tbl>
    <w:p>
      <w:pPr>
        <w:pStyle w:val="TextBody"/>
        <w:bidi w:val="0"/>
        <w:spacing w:before="0" w:after="0"/>
        <w:ind w:left="0" w:right="0" w:hanging="0"/>
        <w:jc w:val="left"/>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75"/>
        <w:gridCol w:w="170"/>
        <w:gridCol w:w="89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 any successor trustee; and the following obligations survive the maturity date or the redemption date;</w:t>
            </w:r>
          </w:p>
        </w:tc>
      </w:tr>
    </w:tbl>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75"/>
        <w:gridCol w:w="170"/>
        <w:gridCol w:w="46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recover excess money held by the debenture trustee; and</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75"/>
        <w:gridCol w:w="170"/>
        <w:gridCol w:w="40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compensate and indemnify the debenture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fully set forth in the indentures, in order to exercise our rights to be discharged, we must either deliver for cancellation all securities of a series to the debenture trustee or must deposit with the debenture trustee money or government obligations sufficient to pay all the principal of, any premium, if any, and interest on, the debt securities of the series on the dates payments are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 Exchange and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New York, New York, known as DTC, or another depositary named by us and identified in a prospectus supplement with respect to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in a board resolution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elect to redeem the debt securities of any series, we will not be required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register the transfer of, or exchange any debt securities of any series being redeemed in part during a period beginning at the opening of business 15 days before the day of mailing of a notice of redemption of any debt securities that may be selected for redemption and ending at the close of business on the day of the mailing;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 the transfer of or exchange any debt securities so selected for redemption, in whole or in part, except the unredeemed portion of any debt securities we are redeeming in part.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Information Concerning the Debenture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 trustee, other than during the occurrence and continuance of an event of default under an indenture, undertakes to perform only those duties as are specifically set forth in the applicable indenture. Upon an event of default under an indenture, the debenture trustee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Payment and Paying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in the applicable board resolution any other paying agents that we initially designate for the debt securities of a particular series. We will maintain a paying agent in each place of payment for the debt securities of a particular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we pay to a paying agent or the debenture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Governing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will be governed by and construed in accordance with the laws of the State of New York, except to the extent that the Trust Indenture Act of 1939 is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Subordination of Subordinated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subordinated debt securities will be subordinate and junior in priority of payment to certain of our other indebtedness to the extent described in a prospectus supplement. The indentures in the forms initially filed as exhibits to the registration statement of which this prospectus is a part do not limit the amount of indebtedness that we may incur, including senior indebtedness or subordinated indebtedness, and do not limit us from issuing any other debt, including secured debt or unsecured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Anti-Takeover Provisions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Delaware law, our Articles of Incorporation and our Bylaws may have the effect of delaying, deferring or discouraging another person from acquiring control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the Charter and Bylaws: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 the Board to issue up to 75,000,000 shares of preferred stock, with any rights, preferences, and privileges as they may designate, including the right to approve an acquisition or other change of control;</w:t>
            </w:r>
          </w:p>
        </w:tc>
      </w:tr>
    </w:tbl>
    <w:p>
      <w:pPr>
        <w:pStyle w:val="TextBody"/>
        <w:bidi w:val="0"/>
        <w:spacing w:before="0" w:after="0"/>
        <w:ind w:left="0" w:right="0" w:hanging="0"/>
        <w:jc w:val="left"/>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75"/>
        <w:gridCol w:w="170"/>
        <w:gridCol w:w="78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the authorized number of directors may be changed only by resolution of the Board;</w:t>
            </w:r>
          </w:p>
        </w:tc>
      </w:tr>
    </w:tbl>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170"/>
        <w:gridCol w:w="53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the Board is classified into three classes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subject to the rights of any series of preferred stock to elect directors, directors may only be removed for cause, which removal may be effected, subject to any limitation imposed by law, by the holders of at least 66 2/3% of the voting power of all of the then-outstanding shares of the Company’s capital stock entitled to vote generally at an election of directors;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all vacancies, including newly created directorships, may, except as otherwise required by law, be filled by the affirmative vote of a majority of directors then in office, even if less than a quorum;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that any action to be taken by the Company’s stockholders must be effected at a duly called annual or special meeting of stockholders and not be taken by written consent or electronic transmission;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special meetings of the Company’s stockholders may be called only by the chairperson of the Board, the Company’s Chief Executive Officer or by the Board pursuant to a resolution adopted by a majority of the total number of authorized directors;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provide for cumulative voting rights, therefore allowing the holders of a majority of the voting power of the stock of the Company entitled to vote in any election of directors to elect all of the directors standing for election, if they should so choose.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of any of these provisions would require approval by the holders of at least 66 2/3% of the voting power of all of the Company’s then-outstanding capital stock entitled to vote generally in the election of directors, voting together as a single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 of these provisions makes it more difficult for the Company’s existing stockholders to replace the Board as well as for another party to obtain control of us by replacing the Board. Since the Board has the power to retain and discharge the Company’s officers, these provisions could also make it more difficult for existing stockholders or another party to effect a change in management. In addition, the authorization of undesignated preferred stock makes it possible for the Board to issue preferred stock with voting or other rights or preferences that could impede the success of any attempt to change the Company’s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are intended to enhance the likelihood of continued stability in the composition of the Board and its policies and to discourage coercive takeover practices and inadequate takeover bids. These provisions are also designed to reduce the Company’s vulnerability to hostile takeovers and to discourage certain tactics that may be used in proxy fights. However, such provisions could have the effect of discouraging others from making tender offers for the Company’s shares and may have the effect of delaying changes in the Company’s control or management. As a consequence, these provisions may also inhibit fluctuations in the market price of the Company’s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Anti-Takeover Provisions of 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Meetings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and the Bylaws provide that special meetings of the Company’s stockholders may be called only by the Chairman of the Board, the Chief Executive Officer of the Company, or the Board pursuant to a resolution adopted by a majority of the total number of authorized directors (whether or not there exist any vacancies in previously authorized directorships at the time any such resolution is presented to the Board for adoption).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 Notice Requirements for Stockholder Proposals and Director Nominations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stockholders seeking to nominate candidates for election to the Board or to bring business before the Company’s annual meeting of stockholders, must provide timely notice of their intent in writing. To be timely under the Bylaws, a stockholder’s notice needs to be received by the Secretary of the Company at the Company’s principal executive offices not later than the close of business on the 90th day nor earlier than the close of business on the 120th day prior to the first anniversary of the preceding year’s annual meeting provided, however, that in the event that no annual meeting was held during the preceding year or the date of the annual meeting is advanced more than 30 days prior to or delayed by more than 30 days after the anniversary of the date of the preceding year’s annual meeting, notice by the stockholder to be timely must be so received not earlier than the close of business on the 120th day prior to such annual meeting and no later than the close of business on the later of the 90th day prior to such annual meeting or the tenth day following the day on which public announcement of the date of such meeting is first made by the Company. The Bylaws also specify certain requirements as to the form and content of a stockholders’ meeting. These provisions may preclude the Company’s stockholders from bringing matters before its annual meeting of stockholders or from making nominations for directors at our annual meeting of stockholders.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Authorized but Unissued Shares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at all times reserve and keep available out of its authorized but unissued shares of Class A common stock, solely for the purpose of effecting the conversion of shares of Class B common stock, such number of shares of Class A common stock as will from time to time be sufficient to effect the conversion of all outstanding shares of Class B common stock into shares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Exclusive Forum Selection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unless the Company consents in writing to the selection of an alternative forum to the fullest extent permitted by the applicable law,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Delaware statutory or common law: (a) any derivative claim or cause of action brought on behalf of the Company; (b) any claim or cause of action for breach of a fiduciary duty owed by any current or former director, officer or other employee of the Company, to the Company or its stockholders; (c) any claim or cause of action against the Company or any current or former director, officer or other employee of the Company, arising out of or pursuant to any provision of the DGCL, the Charter or the Bylaws; (d) any claim or cause of action seeking to interpret, apply, enforce or determine the validity of the Charter or the Bylaws; (e) any claim or cause of action as to which the DGCL confers jurisdiction on the Court of Chancery of the State of Delaware; and (f) any claim or cause of action against the Company or any current or former director, officer or other employee of the Company, governed by the internal-affairs doctrine or otherwise related to the Company’s internal affairs, in all cases to the fullest extent permitted by law and subject to the court having personal jurisdiction over the indispensable parties named as defendants. The Charter also requires that unless the Company consents in writing to the selection of an alternative forum, to the fullest extent permitted by law, the federal district courts of the United States shall be the exclusive forum for the resolution of any complaint asserting a cause of action under the Securities Act. The above shall not apply to claims or causes of action brought to enforce a duty or liability created by the Securities Act or the Exchange Act or any other claim for which the federal courts have exclusive jurisdiction. Although the Company believes these provisions benefit us by providing increased consistency in the application of the DGCL in the types of lawsuits to which it applies, a court may determine that these provisions are unenforceable, and to the extent they are enforceable, the provisions may have the effect of discouraging lawsuits against the Company’s directors and officers, although the Company’s stockholders will not be deemed to have waived its compliance with federal securities laws and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Section 203 of the Delaware General Corporation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opted out of the provisions of Section 203 of the DGCL regulating corporate takeovers under the Charter. This statute prevents certain Delaware corporations, under certain circumstances, from engaging in a “business combination” with: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who owns 15% or more of the Company’s outstanding voting stock (otherwise known as an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75"/>
        <w:gridCol w:w="170"/>
        <w:gridCol w:w="34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affiliate of an interested stockholder;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associate of an interested stockholder, for three years following the date that the stockholder became an interested stockholder.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“business combination” includes a merger or sale of more than 10% of the Company’s assets. However, the above provisions of Section 203 do not apply if: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approves the transaction that made the stockholder an “interested stockholder,” prior to the date of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completion of the transaction that resulted in the stockholder becoming an interested stockholder, that stockholder owned at least 85% of the Company’s voting stock outstanding at the time the transaction commenced, other than statutorily excluded shares of common stock;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subsequent to the date of the transaction, the initial business combination is approved by the Board and authorized at a meeting of the Company’s stockholders, and not by written consent, by an affirmative vote of at least two-thirds of the outstanding voting stock not owned by the interested stockholder.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this provision makes it more difficult for a person who would be an “interested stockholder” to effect various business combinations with the Company for a three-year period. This provision may encourage companies interested in acquiring us to negotiate in advance with the Board because the stockholder approval requirement would be avoided if the Board approves either the business combination or the transaction which results in the stockholder becoming an interested stockholder. These provisions also may have the effect of preventing changes in the Board and may make it more difficult to accomplish transactions which stockholders may otherwise deem to be in their best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Business Corporation Act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the State of Washington, where the Company’s principal executive offices are located, impose restrictions on certain transactions between certain foreign corporations and significant stockholders. In particular, the WBCA prohibits a “target corporation,” subject to certain exceptions, from engaging in certain “significant business transactions” with a “person” or group of persons which beneficially own 10% or more of the voting securities of the target corporation, or an “acquiring person,” for a period of five years after such acquisition, unless the transaction or acquisition of shares is approved by a majority of the members of the target corporation’s board of directors prior to the time of acquisition. Such prohibited transactions may include,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merger or consolidation with, disposition of assets to, or issuance or redemption of stock to or from, the acquiring person;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termination of 5% or more of the employees of the target corporation as a result of the acquiring person’s acquisition of 10% or more of the shares; and</w:t>
            </w:r>
          </w:p>
        </w:tc>
      </w:tr>
    </w:tbl>
    <w:p>
      <w:pPr>
        <w:pStyle w:val="TextBody"/>
        <w:bidi w:val="0"/>
        <w:spacing w:before="0" w:after="0"/>
        <w:ind w:left="0" w:right="0" w:hanging="0"/>
        <w:jc w:val="left"/>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75"/>
        <w:gridCol w:w="170"/>
        <w:gridCol w:w="70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allowing the acquiring person to receive any disproportionate benefit as a stockholder.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five-year period, a significant business transaction may take place as long as it complies with certain fair price provisions of the WBCA or is approved at an annual or special meeting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be considered a “target corporation” so long as its principal executive office is located in Washington, and: (i) a majority of its employees are residents of the state of Washington or it employs more than one thousand residents of the state of Washington; (ii) a majority of the Company’s tangible assets, measured by market value, are located in the state of Washington or it has more than $50.0 million worth of tangible assets located in the state of Washington; and (iii) any one of the following: (a) more than 10% of the Company’s stockholders of record are resident in the state of Washington; (b) more than 10% of the Company’s shares are owned of record by state residents; or (c) 1,000 or more of the Company’s stockholders of record are resident in the state of Washington.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meets the definition of a target corporation, the WBCA may have the effect of delaying, deferring, or preventing a future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Limitations on Liability and Indemnification of Officers and Directors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eliminates the Company’s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pStyle w:val="TextBody"/>
        <w:bidi w:val="0"/>
        <w:spacing w:before="0" w:after="0"/>
        <w:ind w:left="0" w:right="0" w:firstLine="72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75"/>
        <w:gridCol w:w="170"/>
        <w:gridCol w:w="65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transaction from which the director derives an improper personal benefit;</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act or omission not in good faith or that involves intentional misconduct or a knowing violation of law;</w:t>
            </w:r>
          </w:p>
        </w:tc>
      </w:tr>
    </w:tbl>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75"/>
        <w:gridCol w:w="170"/>
        <w:gridCol w:w="53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unlawful payment of dividends or redemption of shares; or</w:t>
            </w:r>
          </w:p>
        </w:tc>
      </w:tr>
    </w:tbl>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75"/>
        <w:gridCol w:w="170"/>
        <w:gridCol w:w="66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breach of a director’s duty of loyalty to the corporation or its stockholders.</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DGCL is amended to authorize corporate action further eliminating or limiting the personal liability of directors, then the liability of the Company’s directors will be eliminated or limited to the fullest extent permitted by the DGCL, as so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requires the Company to indemnify and advance expenses to the fullest extent permitted by applicable law, to its directors, officers, and agents. The Company maintains a directors’ and officers’ insurance policy pursuant to which the Company’s directors and officers are insured against liability for actions taken in their capacities as directors and officers. Finally, the Charter prohibits any retroactive changes to the rights or protections or increase the liability of any director in effect at the time of the alleged occurrence of any act or omission to act giving rise to liability or 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has entered into separate indemnification agreements with the Company’s directors and officers. These agreements, among other things, require the Company to indemnify its directors and officers for certain expenses, including attorneys’ fees, judgments, fines, and settlement amounts incurred by a director or officer in any action or proceeding arising out of their services as one of the Company’s directors or officers or any other company or enterprise to which the person provides services at the Company’s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these provisions in the Charter are necessary to attract and retain qualified persons as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Dissenters’ Rights of Appraisal and Payment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with certain exceptions, the Company’s stockholders will have appraisal rights in connection with a merger or consolidation of the Company. Pursuant to the DGCL, stockholders who properly demand and perfect appraisal rights in connection with such merger or consolidation will have the right to receive payment of the fair value of their shares as determined by the Delaware Court of Chancery.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Continental Stock Transfer &amp; Trust Company.</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State Street 30th Floor</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10004-1571</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212.845.3299</w:t>
      </w:r>
    </w:p>
    <w:p>
      <w:pPr>
        <w:pStyle w:val="TextBody"/>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www.continentalstock.com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sa_001"/>
      <w:bookmarkEnd w:id="24"/>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through this prospectus (i) to or through underwriters or dealers, (ii) directly to purchasers, including our affiliates, (iii) through agents, or (iv)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pStyle w:val="TextBody"/>
        <w:bidi w:val="0"/>
        <w:spacing w:before="0" w:after="0"/>
        <w:ind w:left="0" w:right="0" w:firstLine="720"/>
        <w:jc w:val="both"/>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5"/>
        <w:gridCol w:w="170"/>
        <w:gridCol w:w="7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any underwriters or agents;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or names of any managing underwriter or underwriters;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of the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over-allotment options under which underwriters may purchase additional securities from us;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from the sale of the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0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delayed delivery arrangements;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0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discounts, commissions and other items constituting underwriters’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0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offering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0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discounts or concessions allowed or reallowed or paid to dealers;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0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commissions paid to agents;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0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exchange or market on which the securities may be listed.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Through Underwriters or 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named in the prospectus supplement are underwriters of the securities offered by the prospectus supplement. 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offering price and any discounts or concessions allowed or reallowed or paid to 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in the applicable prospectus supplement any compensation we will pay to underwriters, dealers, or agents in connection with the offering of the securities, and any discounts, concessions or commissions allowed by underwriters to participating 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 and Sales Through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Delayed Delivery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prospectus supplement indicates, we may authorize agents, underwriters, or dealers to solicit offers from certain types of institutions to purchase securities at the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Making, Stabilization and Other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states otherwise, other than our common stock, all securities we offer under this prospectus will be a new issue and will have no established trading market. We may elect to list offered securities on an exchange or in the over-the-counter market. Any underwriters that we use in the sale of offered securities may make a market in such securities but may discontinue such market making at any time without notice. Therefore, we cannot assure you that the securities will have a liquid trading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and dealers may be entitled, under agreements entered into with us, to indemnification by us against certain liabilities, including liabilities under the Securities Act. Our agents, underwriters, and dealers, or their affiliates, may be customers of, engage in transactions with or perform services for us, in the ordinary course of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sa_002"/>
      <w:bookmarkEnd w:id="25"/>
      <w:r>
        <w:rPr>
          <w:rFonts w:ascii="Times New Roman;Times;Serif" w:hAnsi="Times New Roman;Times;Serif"/>
          <w:b/>
          <w:i w:val="false"/>
          <w:caps w:val="false"/>
          <w:smallCaps w:val="false"/>
          <w:sz w:val="20"/>
        </w:rPr>
        <w:t>LEGAL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the validity of the securities offered by this prospectus, and any supplement thereto, will be passed upon for us by Hunter Taubman Fischer &amp; Li LLC, New York, NY. The legality of the securities for any underwriters, dealers or agents will be passed upon by counsel as may be specified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sa_003"/>
      <w:bookmarkEnd w:id="26"/>
      <w:r>
        <w:rPr>
          <w:rFonts w:ascii="Times New Roman;Times;Serif" w:hAnsi="Times New Roman;Times;Serif"/>
          <w:b/>
          <w:i w:val="false"/>
          <w:caps w:val="false"/>
          <w:smallCaps w:val="false"/>
          <w:sz w:val="20"/>
        </w:rPr>
        <w:t>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Marcum LLP</w:t>
      </w:r>
      <w:r>
        <w:rPr>
          <w:rFonts w:ascii="Times New Roman;Times;Serif" w:hAnsi="Times New Roman;Times;Serif"/>
          <w:b w:val="false"/>
          <w:i w:val="false"/>
          <w:caps w:val="false"/>
          <w:smallCaps w:val="false"/>
          <w:sz w:val="20"/>
        </w:rPr>
        <w:t xml:space="preserve"> (“Marcum”), an independent registered public accounting firm, audited our financial statements for the years ended December 31, 2024 and 2023 included in our Annual Report on Form 10-K for the year ended December 31, 2024, as set forth in their report included therein, which report includes an explanatory paragraph regarding the Company’s ability to continue as a going concern, and is incorporated by reference in this prospectus and elsewhere in the registration statement. Our financial statements are incorporated by reference in reliance on Marcum’s report, given on their authority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CBIZ CPAs P.C., an independent registered public accounting firm (“CBIZ CPAs”), has audited ClearDoc, Inc.’s financial statements for the years ended December 31, 2023 and 2022, as set forth in their report. The office of CBIZ CPAs is located at700 W 47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 Ste. 1100 Kansas City, MO 64112. ClearDoc, Inc.’s financial statements are incorporated by reference in reliance on CBIZ CPAs’ report, given on their authority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Bush &amp; Associates CPA LLC, an independent registered public accounting firm (“B&amp;A”), has audited Vidello’s financial statements for the years ended March 31, 2024 and 2023, as set forth in their report. The office of B&amp;A is located at 179 N. Gibson Rd., Henderson, NV 89014. Vidello’s financial statements are incorporated by reference in reliance on B&amp;A’s report, given on their authority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sa_004"/>
      <w:bookmarkEnd w:id="27"/>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special reports, along with other information with the SEC. Our SEC filings are available to the public over the Internet at the SEC’s website at http://www.sec.gov; you can also find our filings on our company website: www.banzai.io. You may also read and copy any document we file at the SEC’s Public Reference Room at 100 F Street, NE, Washington, D.C. 20549. Please call the SEC at 1-800-SEC-0330 for further information on the Public Reference Room. The information on our website is not intended to form a part of or be incorporated by reference into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 to register the securities offered hereby under the Securities Act of 1933, as amended. This prospectus does not contain all of the information included in the registration statement, including certain exhibits and schedules. You may obtain the registration statement and exhibits to the registration statement from the SEC at the address listed above or from the SEC’s internet site.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sa_005"/>
      <w:bookmarkEnd w:id="28"/>
      <w:r>
        <w:rPr>
          <w:rFonts w:ascii="Times New Roman;Times;Serif" w:hAnsi="Times New Roman;Times;Serif"/>
          <w:b/>
          <w:i w:val="false"/>
          <w:caps w:val="false"/>
          <w:smallCaps w:val="false"/>
          <w:sz w:val="20"/>
        </w:rPr>
        <w:t>INFORMATION INCORPORATED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them under certain conditions, which means that we can disclose important information to you by referring you to those documents. The information incorporated by reference is considered to be a part of this prospectus and any information that we file subsequent to this prospectus with the SEC will automatically update and supersede this information. The documents we are incorporating by reference are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Company’s Annual Report on </w:t>
            </w:r>
            <w:hyperlink r:id="rId1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December 31, 2024, as filed with the SEC on April 15,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Company’s Quarterly Report on </w:t>
            </w:r>
            <w:hyperlink r:id="rId14">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quarter ended March 31, 2025, as filed with the SEC on May 15,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Company’s Current Reports on Form 8-K filed on </w:t>
            </w:r>
            <w:hyperlink r:id="rId15">
              <w:r>
                <w:rPr>
                  <w:rStyle w:val="InternetLink"/>
                  <w:rFonts w:ascii="Times New Roman;Times;Serif" w:hAnsi="Times New Roman;Times;Serif"/>
                  <w:b w:val="false"/>
                  <w:i w:val="false"/>
                  <w:caps w:val="false"/>
                  <w:smallCaps w:val="false"/>
                  <w:sz w:val="20"/>
                </w:rPr>
                <w:t>January 23, 2025</w:t>
              </w:r>
            </w:hyperlink>
            <w:r>
              <w:rPr>
                <w:rFonts w:ascii="Times New Roman;Times;Serif" w:hAnsi="Times New Roman;Times;Serif"/>
                <w:b w:val="false"/>
                <w:i w:val="false"/>
                <w:caps w:val="false"/>
                <w:smallCaps w:val="false"/>
                <w:sz w:val="20"/>
              </w:rPr>
              <w:t xml:space="preserve">, </w:t>
            </w:r>
            <w:hyperlink r:id="rId16">
              <w:r>
                <w:rPr>
                  <w:rStyle w:val="InternetLink"/>
                  <w:rFonts w:ascii="Times New Roman;Times;Serif" w:hAnsi="Times New Roman;Times;Serif"/>
                  <w:b w:val="false"/>
                  <w:i w:val="false"/>
                  <w:caps w:val="false"/>
                  <w:smallCaps w:val="false"/>
                  <w:sz w:val="20"/>
                </w:rPr>
                <w:t>January 31, 2025</w:t>
              </w:r>
            </w:hyperlink>
            <w:r>
              <w:rPr>
                <w:rFonts w:ascii="Times New Roman;Times;Serif" w:hAnsi="Times New Roman;Times;Serif"/>
                <w:b w:val="false"/>
                <w:i w:val="false"/>
                <w:caps w:val="false"/>
                <w:smallCaps w:val="false"/>
                <w:sz w:val="20"/>
              </w:rPr>
              <w:t xml:space="preserve">, </w:t>
            </w:r>
            <w:hyperlink r:id="rId17">
              <w:r>
                <w:rPr>
                  <w:rStyle w:val="InternetLink"/>
                  <w:rFonts w:ascii="Times New Roman;Times;Serif" w:hAnsi="Times New Roman;Times;Serif"/>
                  <w:b w:val="false"/>
                  <w:i w:val="false"/>
                  <w:caps w:val="false"/>
                  <w:smallCaps w:val="false"/>
                  <w:sz w:val="20"/>
                </w:rPr>
                <w:t>March 4, 2025</w:t>
              </w:r>
            </w:hyperlink>
            <w:r>
              <w:rPr>
                <w:rFonts w:ascii="Times New Roman;Times;Serif" w:hAnsi="Times New Roman;Times;Serif"/>
                <w:b w:val="false"/>
                <w:i w:val="false"/>
                <w:caps w:val="false"/>
                <w:smallCaps w:val="false"/>
                <w:sz w:val="20"/>
              </w:rPr>
              <w:t xml:space="preserve">, </w:t>
            </w:r>
            <w:hyperlink r:id="rId18">
              <w:r>
                <w:rPr>
                  <w:rStyle w:val="InternetLink"/>
                  <w:rFonts w:ascii="Times New Roman;Times;Serif" w:hAnsi="Times New Roman;Times;Serif"/>
                  <w:b w:val="false"/>
                  <w:i w:val="false"/>
                  <w:caps w:val="false"/>
                  <w:smallCaps w:val="false"/>
                  <w:sz w:val="20"/>
                </w:rPr>
                <w:t>April 11, 2025</w:t>
              </w:r>
            </w:hyperlink>
            <w:r>
              <w:rPr>
                <w:rFonts w:ascii="Times New Roman;Times;Serif" w:hAnsi="Times New Roman;Times;Serif"/>
                <w:b w:val="false"/>
                <w:i w:val="false"/>
                <w:caps w:val="false"/>
                <w:smallCaps w:val="false"/>
                <w:sz w:val="20"/>
              </w:rPr>
              <w:t xml:space="preserve">, </w:t>
            </w:r>
            <w:hyperlink r:id="rId19">
              <w:r>
                <w:rPr>
                  <w:rStyle w:val="InternetLink"/>
                  <w:rFonts w:ascii="Times New Roman;Times;Serif" w:hAnsi="Times New Roman;Times;Serif"/>
                  <w:b w:val="false"/>
                  <w:i w:val="false"/>
                  <w:caps w:val="false"/>
                  <w:smallCaps w:val="false"/>
                  <w:sz w:val="20"/>
                </w:rPr>
                <w:t>April 15, 2025</w:t>
              </w:r>
            </w:hyperlink>
            <w:r>
              <w:rPr>
                <w:rFonts w:ascii="Times New Roman;Times;Serif" w:hAnsi="Times New Roman;Times;Serif"/>
                <w:b w:val="false"/>
                <w:i w:val="false"/>
                <w:caps w:val="false"/>
                <w:smallCaps w:val="false"/>
                <w:sz w:val="20"/>
              </w:rPr>
              <w:t xml:space="preserve">, </w:t>
            </w:r>
            <w:hyperlink r:id="rId20">
              <w:r>
                <w:rPr>
                  <w:rStyle w:val="InternetLink"/>
                  <w:rFonts w:ascii="Times New Roman;Times;Serif" w:hAnsi="Times New Roman;Times;Serif"/>
                  <w:b w:val="false"/>
                  <w:i w:val="false"/>
                  <w:caps w:val="false"/>
                  <w:smallCaps w:val="false"/>
                  <w:sz w:val="20"/>
                </w:rPr>
                <w:t>April 25, 2025</w:t>
              </w:r>
            </w:hyperlink>
            <w:r>
              <w:rPr>
                <w:rFonts w:ascii="Times New Roman;Times;Serif" w:hAnsi="Times New Roman;Times;Serif"/>
                <w:b w:val="false"/>
                <w:i w:val="false"/>
                <w:caps w:val="false"/>
                <w:smallCaps w:val="false"/>
                <w:sz w:val="20"/>
              </w:rPr>
              <w:t xml:space="preserve">, </w:t>
            </w:r>
            <w:hyperlink r:id="rId21">
              <w:r>
                <w:rPr>
                  <w:rStyle w:val="InternetLink"/>
                  <w:rFonts w:ascii="Times New Roman;Times;Serif" w:hAnsi="Times New Roman;Times;Serif"/>
                  <w:b w:val="false"/>
                  <w:i w:val="false"/>
                  <w:caps w:val="false"/>
                  <w:smallCaps w:val="false"/>
                  <w:sz w:val="20"/>
                </w:rPr>
                <w:t>June 27, 2025</w:t>
              </w:r>
            </w:hyperlink>
            <w:r>
              <w:rPr>
                <w:rFonts w:ascii="Times New Roman;Times;Serif" w:hAnsi="Times New Roman;Times;Serif"/>
                <w:b w:val="false"/>
                <w:i w:val="false"/>
                <w:caps w:val="false"/>
                <w:smallCaps w:val="false"/>
                <w:sz w:val="20"/>
              </w:rPr>
              <w:t xml:space="preserve">, </w:t>
            </w:r>
            <w:hyperlink r:id="rId22">
              <w:r>
                <w:rPr>
                  <w:rStyle w:val="InternetLink"/>
                  <w:rFonts w:ascii="Times New Roman;Times;Serif" w:hAnsi="Times New Roman;Times;Serif"/>
                  <w:b w:val="false"/>
                  <w:i w:val="false"/>
                  <w:caps w:val="false"/>
                  <w:smallCaps w:val="false"/>
                  <w:sz w:val="20"/>
                </w:rPr>
                <w:t>July 2, 2025</w:t>
              </w:r>
            </w:hyperlink>
            <w:r>
              <w:rPr>
                <w:rFonts w:ascii="Times New Roman;Times;Serif" w:hAnsi="Times New Roman;Times;Serif"/>
                <w:b w:val="false"/>
                <w:i w:val="false"/>
                <w:caps w:val="false"/>
                <w:smallCaps w:val="false"/>
                <w:sz w:val="20"/>
              </w:rPr>
              <w:t xml:space="preserve">, </w:t>
            </w:r>
            <w:hyperlink r:id="rId23">
              <w:r>
                <w:rPr>
                  <w:rStyle w:val="InternetLink"/>
                  <w:rFonts w:ascii="Times New Roman;Times;Serif" w:hAnsi="Times New Roman;Times;Serif"/>
                  <w:b w:val="false"/>
                  <w:i w:val="false"/>
                  <w:caps w:val="false"/>
                  <w:smallCaps w:val="false"/>
                  <w:sz w:val="20"/>
                </w:rPr>
                <w:t>July 3, 2025</w:t>
              </w:r>
            </w:hyperlink>
            <w:r>
              <w:rPr>
                <w:rFonts w:ascii="Times New Roman;Times;Serif" w:hAnsi="Times New Roman;Times;Serif"/>
                <w:b w:val="false"/>
                <w:i w:val="false"/>
                <w:caps w:val="false"/>
                <w:smallCaps w:val="false"/>
                <w:sz w:val="20"/>
              </w:rPr>
              <w:t xml:space="preserve"> and </w:t>
            </w:r>
            <w:hyperlink r:id="rId24">
              <w:r>
                <w:rPr>
                  <w:rStyle w:val="InternetLink"/>
                  <w:rFonts w:ascii="Times New Roman;Times;Serif" w:hAnsi="Times New Roman;Times;Serif"/>
                  <w:b w:val="false"/>
                  <w:i w:val="false"/>
                  <w:caps w:val="false"/>
                  <w:smallCaps w:val="false"/>
                  <w:sz w:val="20"/>
                </w:rPr>
                <w:t>July 9, 2025</w:t>
              </w:r>
            </w:hyperlink>
            <w:r>
              <w:rPr>
                <w:rFonts w:ascii="Times New Roman;Times;Serif" w:hAnsi="Times New Roman;Times;Serif"/>
                <w:b w:val="false"/>
                <w:i w:val="false"/>
                <w:caps w:val="false"/>
                <w:smallCaps w:val="false"/>
                <w:sz w:val="20"/>
              </w:rPr>
              <w:t xml:space="preserve"> (except for the portions of such reports deemed to be furnished and not filed);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Company’s Current Reports on Form 8-K/A filed on </w:t>
            </w:r>
            <w:hyperlink r:id="rId25">
              <w:r>
                <w:rPr>
                  <w:rStyle w:val="InternetLink"/>
                  <w:rFonts w:ascii="Times New Roman;Times;Serif" w:hAnsi="Times New Roman;Times;Serif"/>
                  <w:b w:val="false"/>
                  <w:i w:val="false"/>
                  <w:caps w:val="false"/>
                  <w:smallCaps w:val="false"/>
                  <w:sz w:val="20"/>
                </w:rPr>
                <w:t>February 3, 2025</w:t>
              </w:r>
            </w:hyperlink>
            <w:r>
              <w:rPr>
                <w:rFonts w:ascii="Times New Roman;Times;Serif" w:hAnsi="Times New Roman;Times;Serif"/>
                <w:b w:val="false"/>
                <w:i w:val="false"/>
                <w:caps w:val="false"/>
                <w:smallCaps w:val="false"/>
                <w:sz w:val="20"/>
              </w:rPr>
              <w:t xml:space="preserve">, </w:t>
            </w:r>
            <w:hyperlink r:id="rId26">
              <w:r>
                <w:rPr>
                  <w:rStyle w:val="InternetLink"/>
                  <w:rFonts w:ascii="Times New Roman;Times;Serif" w:hAnsi="Times New Roman;Times;Serif"/>
                  <w:b w:val="false"/>
                  <w:i w:val="false"/>
                  <w:caps w:val="false"/>
                  <w:smallCaps w:val="false"/>
                  <w:sz w:val="20"/>
                </w:rPr>
                <w:t>February 13, 2025</w:t>
              </w:r>
            </w:hyperlink>
            <w:r>
              <w:rPr>
                <w:rFonts w:ascii="Times New Roman;Times;Serif" w:hAnsi="Times New Roman;Times;Serif"/>
                <w:b w:val="false"/>
                <w:i w:val="false"/>
                <w:caps w:val="false"/>
                <w:smallCaps w:val="false"/>
                <w:sz w:val="20"/>
              </w:rPr>
              <w:t xml:space="preserve">, </w:t>
            </w:r>
            <w:hyperlink r:id="rId27">
              <w:r>
                <w:rPr>
                  <w:rStyle w:val="InternetLink"/>
                  <w:rFonts w:ascii="Times New Roman;Times;Serif" w:hAnsi="Times New Roman;Times;Serif"/>
                  <w:b w:val="false"/>
                  <w:i w:val="false"/>
                  <w:caps w:val="false"/>
                  <w:smallCaps w:val="false"/>
                  <w:sz w:val="20"/>
                </w:rPr>
                <w:t>March 3, 2025</w:t>
              </w:r>
            </w:hyperlink>
            <w:r>
              <w:rPr>
                <w:rFonts w:ascii="Times New Roman;Times;Serif" w:hAnsi="Times New Roman;Times;Serif"/>
                <w:b w:val="false"/>
                <w:i w:val="false"/>
                <w:caps w:val="false"/>
                <w:smallCaps w:val="false"/>
                <w:sz w:val="20"/>
              </w:rPr>
              <w:t xml:space="preserve">, </w:t>
            </w:r>
            <w:hyperlink r:id="rId28">
              <w:r>
                <w:rPr>
                  <w:rStyle w:val="InternetLink"/>
                  <w:rFonts w:ascii="Times New Roman;Times;Serif" w:hAnsi="Times New Roman;Times;Serif"/>
                  <w:b w:val="false"/>
                  <w:i w:val="false"/>
                  <w:caps w:val="false"/>
                  <w:smallCaps w:val="false"/>
                  <w:sz w:val="20"/>
                </w:rPr>
                <w:t>April 18, 2025</w:t>
              </w:r>
            </w:hyperlink>
            <w:r>
              <w:rPr>
                <w:rFonts w:ascii="Times New Roman;Times;Serif" w:hAnsi="Times New Roman;Times;Serif"/>
                <w:b w:val="false"/>
                <w:i w:val="false"/>
                <w:caps w:val="false"/>
                <w:smallCaps w:val="false"/>
                <w:sz w:val="20"/>
              </w:rPr>
              <w:t xml:space="preserve">, and </w:t>
            </w:r>
            <w:hyperlink r:id="rId29">
              <w:r>
                <w:rPr>
                  <w:rStyle w:val="InternetLink"/>
                  <w:rFonts w:ascii="Times New Roman;Times;Serif" w:hAnsi="Times New Roman;Times;Serif"/>
                  <w:b w:val="false"/>
                  <w:i w:val="false"/>
                  <w:caps w:val="false"/>
                  <w:smallCaps w:val="false"/>
                  <w:sz w:val="20"/>
                </w:rPr>
                <w:t>June 10, 2025</w:t>
              </w:r>
            </w:hyperlink>
            <w:r>
              <w:rPr>
                <w:rFonts w:ascii="Times New Roman;Times;Serif" w:hAnsi="Times New Roman;Times;Serif"/>
                <w:b w:val="false"/>
                <w:i w:val="false"/>
                <w:caps w:val="false"/>
                <w:smallCaps w:val="false"/>
                <w:sz w:val="20"/>
              </w:rPr>
              <w: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the Registrant’s common stock, par value $0.0001, contained in the Registrant’s </w:t>
            </w:r>
            <w:hyperlink r:id="rId30">
              <w:r>
                <w:rPr>
                  <w:rStyle w:val="InternetLink"/>
                  <w:rFonts w:ascii="Times New Roman;Times;Serif" w:hAnsi="Times New Roman;Times;Serif"/>
                  <w:b w:val="false"/>
                  <w:i w:val="false"/>
                  <w:caps w:val="false"/>
                  <w:smallCaps w:val="false"/>
                  <w:sz w:val="20"/>
                </w:rPr>
                <w:t>Form 8-K</w:t>
              </w:r>
            </w:hyperlink>
            <w:r>
              <w:rPr>
                <w:rFonts w:ascii="Times New Roman;Times;Serif" w:hAnsi="Times New Roman;Times;Serif"/>
                <w:b w:val="false"/>
                <w:i w:val="false"/>
                <w:caps w:val="false"/>
                <w:smallCaps w:val="false"/>
                <w:sz w:val="20"/>
              </w:rPr>
              <w:t xml:space="preserve"> filed on December 20, 2023 and any amendment or report filed for the purpose of updating such description.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in the documents referred to above that are incorporated by reference in this prospectus were filed prior to the 1-for-10 reverse split of our common stock that was effective on July 8, 2025, and do not reflect the effects of such reverse stock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by us pursuant to Sections 13(a), 13(c), 14 or 15(d) of the Exchange Act after the initial filing date of this prospectus, through the date declared effective, until the termination of the offering of securities contemplated by this prospectus shall be deemed to be incorporated by reference into this prospectus. These documents that we file later with the SEC and that are incorporated by reference in this prospectus will automatically update information contained in this prospectus or that was previously incorporated by reference into this prospectus. You will be deemed to have notice of all information incorporated by reference in this prospectus as if that information was included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to any person, including any beneficial owner, to whom this prospectus is delivered, a copy of any or all of the information that has been incorporated by reference in this prospectus but not delivered with this prospectus (excluding exhibits, unless the exhibits are specifically incorporated), at no cost to the requesting party, upon request to us in writing or by telephone using the following information: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 Ericksen Ave., Suite 250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Bainbridge Island, Washington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(206) 414-1777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Disclosure of Commission Position on Indemnification for Securities Act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283"/>
              <w:jc w:val="left"/>
              <w:rPr/>
            </w:pPr>
            <w:hyperlink w:anchor="toc_002">
              <w:r>
                <w:rPr>
                  <w:rStyle w:val="InternetLink"/>
                  <w:i/>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327,273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Shares of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13,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26011/000119312526134714/bnzi-20251231.htm" TargetMode="External"/><Relationship Id="rId3" Type="http://schemas.openxmlformats.org/officeDocument/2006/relationships/hyperlink" Target="https://www.sec.gov/Archives/edgar/data/1826011/000119312526226795/bnzi-20260331.htm" TargetMode="External"/><Relationship Id="rId4" Type="http://schemas.openxmlformats.org/officeDocument/2006/relationships/hyperlink" Target="https://www.sec.gov/Archives/edgar/data/1826011/000149315226002436/form8-k.htm" TargetMode="External"/><Relationship Id="rId5" Type="http://schemas.openxmlformats.org/officeDocument/2006/relationships/hyperlink" Target="https://www.sec.gov/Archives/edgar/data/1826011/000149315226006807/form8-k.htm" TargetMode="External"/><Relationship Id="rId6" Type="http://schemas.openxmlformats.org/officeDocument/2006/relationships/hyperlink" Target="https://www.sec.gov/Archives/edgar/data/1826011/000119312526187087/bnzi-20260428.htm" TargetMode="External"/><Relationship Id="rId7" Type="http://schemas.openxmlformats.org/officeDocument/2006/relationships/hyperlink" Target="https://www.sec.gov/Archives/edgar/data/1826011/000119312526206397/bnzi-20251217.htm" TargetMode="External"/><Relationship Id="rId8" Type="http://schemas.openxmlformats.org/officeDocument/2006/relationships/hyperlink" Target="https://www.sec.gov/Archives/edgar/data/1826011/000119312526207628/bnzi-20260505.htm" TargetMode="External"/><Relationship Id="rId9" Type="http://schemas.openxmlformats.org/officeDocument/2006/relationships/hyperlink" Target="https://www.sec.gov/Archives/edgar/data/1826011/000119312526227353/bnzi-20240925.htm" TargetMode="External"/><Relationship Id="rId10" Type="http://schemas.openxmlformats.org/officeDocument/2006/relationships/hyperlink" Target="https://www.sec.gov/Archives/edgar/data/1826011/000119312526297663/bnzi-20260707.htm" TargetMode="External"/><Relationship Id="rId11" Type="http://schemas.openxmlformats.org/officeDocument/2006/relationships/hyperlink" Target="https://www.sec.gov/Archives/edgar/data/1826011/000119312526134714/bnzi-ex4_11.htm" TargetMode="External"/><Relationship Id="rId12" Type="http://schemas.openxmlformats.org/officeDocument/2006/relationships/hyperlink" Target="https://www.sec.gov/Archives/edgar/data/1826011/000119312526134714/bnzi-20251231.htm" TargetMode="External"/><Relationship Id="rId13" Type="http://schemas.openxmlformats.org/officeDocument/2006/relationships/hyperlink" Target="https://www.sec.gov/Archives/edgar/data/1826011/000095017025054303/bnzi-20241231.htm" TargetMode="External"/><Relationship Id="rId14" Type="http://schemas.openxmlformats.org/officeDocument/2006/relationships/hyperlink" Target="https://www.sec.gov/Archives/edgar/data/1826011/000095017025072501/bnzi-20250331.htm" TargetMode="External"/><Relationship Id="rId15" Type="http://schemas.openxmlformats.org/officeDocument/2006/relationships/hyperlink" Target="https://www.sec.gov/Archives/edgar/data/1826011/000149315225003319/form8-k.htm" TargetMode="External"/><Relationship Id="rId16" Type="http://schemas.openxmlformats.org/officeDocument/2006/relationships/hyperlink" Target="https://www.sec.gov/Archives/edgar/data/1826011/000149315225004502/form8-k.htm" TargetMode="External"/><Relationship Id="rId17" Type="http://schemas.openxmlformats.org/officeDocument/2006/relationships/hyperlink" Target="https://www.sec.gov/Archives/edgar/data/1826011/000149315225009079/form8-k.htm" TargetMode="External"/><Relationship Id="rId18" Type="http://schemas.openxmlformats.org/officeDocument/2006/relationships/hyperlink" Target="https://www.sec.gov/Archives/edgar/data/1826011/000164117225003843/form8-k.htm" TargetMode="External"/><Relationship Id="rId19" Type="http://schemas.openxmlformats.org/officeDocument/2006/relationships/hyperlink" Target="https://www.sec.gov/Archives/edgar/data/1826011/000164117225004902/form8-k.htm" TargetMode="External"/><Relationship Id="rId20" Type="http://schemas.openxmlformats.org/officeDocument/2006/relationships/hyperlink" Target="https://www.sec.gov/Archives/edgar/data/1826011/000164117225006216/form8-k.htm" TargetMode="External"/><Relationship Id="rId21" Type="http://schemas.openxmlformats.org/officeDocument/2006/relationships/hyperlink" Target="https://www.sec.gov/Archives/edgar/data/1826011/000164117225016949/form8-k.htm" TargetMode="External"/><Relationship Id="rId22" Type="http://schemas.openxmlformats.org/officeDocument/2006/relationships/hyperlink" Target="https://www.sec.gov/Archives/edgar/data/1826011/000164117225017577/form8-k.htm" TargetMode="External"/><Relationship Id="rId23" Type="http://schemas.openxmlformats.org/officeDocument/2006/relationships/hyperlink" Target="https://www.sec.gov/Archives/edgar/data/1826011/000164117225017861/form8-k.htm" TargetMode="External"/><Relationship Id="rId24" Type="http://schemas.openxmlformats.org/officeDocument/2006/relationships/hyperlink" Target="https://www.sec.gov/Archives/edgar/data/1826011/000164117225018464/form8-k.htm" TargetMode="External"/><Relationship Id="rId25" Type="http://schemas.openxmlformats.org/officeDocument/2006/relationships/hyperlink" Target="https://www.sec.gov/Archives/edgar/data/1826011/000149315225004641/form8-ka.htm" TargetMode="External"/><Relationship Id="rId26" Type="http://schemas.openxmlformats.org/officeDocument/2006/relationships/hyperlink" Target="https://www.sec.gov/Archives/edgar/data/1826011/000149315225006424/form8-ka.htm" TargetMode="External"/><Relationship Id="rId27" Type="http://schemas.openxmlformats.org/officeDocument/2006/relationships/hyperlink" Target="https://www.sec.gov/Archives/edgar/data/1826011/000149315225008763/form8-ka.htm" TargetMode="External"/><Relationship Id="rId28" Type="http://schemas.openxmlformats.org/officeDocument/2006/relationships/hyperlink" Target="https://www.sec.gov/Archives/edgar/data/1826011/000164117225005389/form8-ka.htm" TargetMode="External"/><Relationship Id="rId29" Type="http://schemas.openxmlformats.org/officeDocument/2006/relationships/hyperlink" Target="https://www.sec.gov/Archives/edgar/data/1826011/000164117225014546/form8-ka.htm" TargetMode="External"/><Relationship Id="rId30" Type="http://schemas.openxmlformats.org/officeDocument/2006/relationships/hyperlink" Target="https://www.sec.gov/Archives/edgar/data/1826011/000119312523300033/d449527d8k.htm"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59</Pages>
  <Words>27284</Words>
  <Characters>142857</Characters>
  <CharactersWithSpaces>170174</CharactersWithSpaces>
  <Paragraphs>2358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