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nzi-20260713.htm"/>
      <w:bookmarkStart w:id="1" w:name="ksbnzi20260713"/>
      <w:bookmarkEnd w:id="0"/>
      <w:bookmarkEnd w:id="1"/>
      <w:r>
        <w:rPr/>
        <w:t> </w:t>
      </w:r>
    </w:p>
    <w:p>
      <w:pPr>
        <w:pStyle w:val="TextBody"/>
        <w:bidi w:val="0"/>
        <w:spacing w:before="115"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br/>
        <w:t>Washington, D.C. 20549</w:t>
      </w:r>
    </w:p>
    <w:p>
      <w:pPr>
        <w:pStyle w:val="Heading2"/>
        <w:bidi w:val="0"/>
        <w:spacing w:before="200" w:after="283"/>
        <w:jc w:val="center"/>
        <w:rPr>
          <w:rFonts w:ascii="Times New Roman" w:hAnsi="Times New Roman"/>
          <w:sz w:val="20"/>
        </w:rPr>
      </w:pPr>
      <w:r>
        <w:rPr>
          <w:rFonts w:ascii="Times New Roman" w:hAnsi="Times New Roman"/>
          <w:color w:val="000000"/>
          <w:sz w:val="28"/>
        </w:rPr>
        <w:t xml:space="preserve">FORM </w:t>
      </w:r>
      <w:r>
        <w:rPr>
          <w:rFonts w:ascii="Times New Roman" w:hAnsi="Times New Roman"/>
          <w:b/>
          <w:color w:val="000000"/>
          <w:sz w:val="28"/>
        </w:rPr>
        <w:t>8-K</w:t>
      </w:r>
    </w:p>
    <w:p>
      <w:pPr>
        <w:pStyle w:val="TextBody"/>
        <w:bidi w:val="0"/>
        <w:spacing w:before="180" w:after="283"/>
        <w:jc w:val="center"/>
        <w:rPr>
          <w:rFonts w:ascii="Times New Roman" w:hAnsi="Times New Roman"/>
          <w:b/>
          <w:color w:val="000000"/>
          <w:sz w:val="28"/>
        </w:rPr>
      </w:pPr>
      <w:r>
        <w:rPr>
          <w:rFonts w:ascii="Times New Roman" w:hAnsi="Times New Roman"/>
          <w:b/>
          <w:color w:val="000000"/>
          <w:sz w:val="28"/>
        </w:rPr>
        <w:t>CURRENT REPORT</w:t>
      </w:r>
    </w:p>
    <w:p>
      <w:pPr>
        <w:pStyle w:val="TextBody"/>
        <w:bidi w:val="0"/>
        <w:spacing w:before="180" w:after="120"/>
        <w:jc w:val="center"/>
        <w:rPr>
          <w:rFonts w:ascii="Times New Roman" w:hAnsi="Times New Roman"/>
          <w:b/>
          <w:color w:val="000000"/>
          <w:sz w:val="28"/>
        </w:rPr>
      </w:pPr>
      <w:r>
        <w:rPr>
          <w:rFonts w:ascii="Times New Roman" w:hAnsi="Times New Roman"/>
          <w:b/>
          <w:color w:val="000000"/>
          <w:sz w:val="28"/>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3"/>
              </w:rPr>
              <w:t>July 13, 2026</w:t>
            </w:r>
          </w:p>
        </w:tc>
      </w:tr>
    </w:tbl>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Banzai International, Inc.</w:t>
      </w:r>
    </w:p>
    <w:p>
      <w:pPr>
        <w:pStyle w:val="TextBody"/>
        <w:bidi w:val="0"/>
        <w:jc w:val="left"/>
        <w:rPr/>
      </w:pPr>
      <w:r>
        <w:rPr/>
        <w:t> </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118" w:type="dxa"/>
        <w:jc w:val="left"/>
        <w:tblInd w:w="0" w:type="dxa"/>
        <w:tblLayout w:type="fixed"/>
        <w:tblCellMar>
          <w:top w:w="28" w:type="dxa"/>
          <w:left w:w="28" w:type="dxa"/>
          <w:bottom w:w="28" w:type="dxa"/>
          <w:right w:w="28" w:type="dxa"/>
        </w:tblCellMar>
      </w:tblPr>
      <w:tblGrid>
        <w:gridCol w:w="2251"/>
        <w:gridCol w:w="421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001-39826</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85-3118980</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435 Eriksen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Bainbridge Island, Washington</w:t>
            </w:r>
            <w:r>
              <w:rPr>
                <w:rFonts w:ascii="Times New Roman" w:hAnsi="Times New Roman"/>
                <w:color w:val="000000"/>
                <w:sz w:val="20"/>
              </w:rPr>
              <w:t xml:space="preserve"> </w:t>
            </w:r>
            <w:r>
              <w:rPr>
                <w:rFonts w:ascii="Times New Roman" w:hAnsi="Times New Roman"/>
                <w:b/>
                <w:color w:val="000000"/>
                <w:sz w:val="20"/>
              </w:rPr>
              <w:t>98110</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(Zip Code)</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414-1777</w:t>
            </w:r>
          </w:p>
        </w:tc>
      </w:tr>
      <w:tr>
        <w:trPr/>
        <w:tc>
          <w:tcPr>
            <w:tcW w:w="8118" w:type="dxa"/>
            <w:gridSpan w:val="3"/>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16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302"/>
        <w:gridCol w:w="146"/>
        <w:gridCol w:w="884"/>
        <w:gridCol w:w="146"/>
        <w:gridCol w:w="2727"/>
      </w:tblGrid>
      <w:tr>
        <w:trPr/>
        <w:tc>
          <w:tcPr>
            <w:tcW w:w="6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630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2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3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BNZI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r>
        <w:trPr/>
        <w:tc>
          <w:tcPr>
            <w:tcW w:w="63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each whole warrant exercisable for one share of Class A common stock at an exercise price of $115,000.00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BNZIW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tbl>
      <w:tblPr>
        <w:tblW w:w="2833" w:type="dxa"/>
        <w:jc w:val="left"/>
        <w:tblInd w:w="0" w:type="dxa"/>
        <w:tblLayout w:type="fixed"/>
        <w:tblCellMar>
          <w:top w:w="28" w:type="dxa"/>
          <w:left w:w="28" w:type="dxa"/>
          <w:bottom w:w="28" w:type="dxa"/>
          <w:right w:w="28" w:type="dxa"/>
        </w:tblCellMar>
      </w:tblPr>
      <w:tblGrid>
        <w:gridCol w:w="161"/>
        <w:gridCol w:w="231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13, 2026, Banzai International, Inc. (the "Company") entered into an underwriting agreement (the “Underwriting Agreement”) with Aegis Capital Corp. (“Aegis” or the “Underwriter”), relating to the Company’s public offering (the “Offering”) of 327,273 shares of the Company’s common stock, par value $0.0001 per share (the “Common Stock”), at a public offering price of $2.75. Pursuant to the Underwriting Agreement, the Company also granted the Underwriter a 45-day option (“Option”) to purchase an additional 36,364 shares of Common Stock (the “Option Securities”, and together with the Shares, the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14, 2026, the Company closed the Offering and received gross proceeds of approximately $0.9 million before deducting underwriting discounts and commissions and estimated offering expenses payable by the Company. The Company intends to use the net proceeds of the Offering for general corporate purposes, which may include increasing its working capital, reducing indebtedness as applicable, products or technologies that are complementary to its own, and capital expenditures.</w:t>
      </w:r>
    </w:p>
    <w:p>
      <w:pPr>
        <w:pStyle w:val="TextBody"/>
        <w:bidi w:val="0"/>
        <w:jc w:val="both"/>
        <w:rPr>
          <w:rFonts w:ascii="Times New Roman" w:hAnsi="Times New Roman"/>
          <w:color w:val="000000"/>
          <w:sz w:val="20"/>
        </w:rPr>
      </w:pPr>
      <w:r>
        <w:rPr>
          <w:rFonts w:ascii="Times New Roman" w:hAnsi="Times New Roman"/>
          <w:color w:val="000000"/>
          <w:sz w:val="20"/>
        </w:rPr>
        <w:t>The Securities were offered, issued, and sold pursuant to a prospectus supplement and accompanying prospectus filed with the Securities and Exchange Commission (the “SEC”) pursuant to an effective shelf registration statement filed with the SEC on Form S-3 (File No. 333-288908) (the “Registration Statement”) under the Securities Act of 1933, as amended (the “Securities Act”), as supplemented by the final prospectus, dated July 13, 2026, relating to the Securities (together with the accompanying base prospectus, dated August 8, 2025, the “Prospectus Supplement”), filed with the SEC pursuant to Rule 424(b) of the Securities Act on July 13, 2026.</w:t>
      </w:r>
    </w:p>
    <w:p>
      <w:pPr>
        <w:pStyle w:val="TextBody"/>
        <w:bidi w:val="0"/>
        <w:jc w:val="both"/>
        <w:rPr>
          <w:rFonts w:ascii="Times New Roman" w:hAnsi="Times New Roman"/>
          <w:color w:val="000000"/>
          <w:sz w:val="20"/>
        </w:rPr>
      </w:pPr>
      <w:r>
        <w:rPr>
          <w:rFonts w:ascii="Times New Roman" w:hAnsi="Times New Roman"/>
          <w:color w:val="000000"/>
          <w:sz w:val="20"/>
        </w:rPr>
        <w:t>Under the terms of the Underwriting Agreement, the Underwriter received an underwriting discount of 7.0% to the public offering price for the Common Stock. In addition, the Company agreed to (a) pay a non-accountable expense allowance to the Underwriter received in the Offering and (b) to reimburse the Underwriter for certain out-of-pocket expenses, including, but not limited to, up to $50,000 for reasonable legal fees and disbursements for the Underwriter’s counsel.</w:t>
      </w:r>
    </w:p>
    <w:p>
      <w:pPr>
        <w:pStyle w:val="TextBody"/>
        <w:bidi w:val="0"/>
        <w:jc w:val="both"/>
        <w:rPr>
          <w:rFonts w:ascii="Times New Roman" w:hAnsi="Times New Roman"/>
          <w:color w:val="000000"/>
          <w:sz w:val="20"/>
        </w:rPr>
      </w:pPr>
      <w:r>
        <w:rPr>
          <w:rFonts w:ascii="Times New Roman" w:hAnsi="Times New Roman"/>
          <w:color w:val="000000"/>
          <w:sz w:val="20"/>
        </w:rPr>
        <w:t>The Underwriting Agreement includes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the Underwriting Agreement and as of the specific applicable dates contained in the Underwriting Agreement, were solely for the benefit of the parties to the Underwriting Agreement and were subject to limitations agreed upon by the contracting parties.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9, 2026, the Company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w:t>
      </w:r>
    </w:p>
    <w:p>
      <w:pPr>
        <w:pStyle w:val="TextBody"/>
        <w:bidi w:val="0"/>
        <w:jc w:val="both"/>
        <w:rPr>
          <w:rFonts w:ascii="Times New Roman" w:hAnsi="Times New Roman"/>
          <w:color w:val="000000"/>
          <w:sz w:val="20"/>
        </w:rPr>
      </w:pPr>
      <w:r>
        <w:rPr>
          <w:rFonts w:ascii="Times New Roman" w:hAnsi="Times New Roman"/>
          <w:color w:val="000000"/>
          <w:sz w:val="20"/>
        </w:rPr>
        <w:t xml:space="preserve">The Underwriting Agreement is filed as Exhibit 1.1 to this report and is incorporated herein by reference. The foregoing is only a brief description of the terms of the Underwriting Agreement and does not purport to be a complete statement of the rights and obligations of the parties thereto and the transactions contemplated thereby, and is qualified in its entirety by reference to the full text of such exhibit. A copy of the legal opinions of Hunter, Taubman, Fischer &amp; Li LLC, relating to the validity of the issuance and sale of the shares of Common Stock in the Offering, is filed as Exhibit 5.1 to this Current Report on Form 8-K and is filed with reference to, and is hereby incorporated by reference into, the Registration Statement.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10, 2026, the Company issued a press release announcing the Offering, a copy of which is attached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On July 13, 2026, the Company issued a press release announcing the pricing of the Offering, a copy of which is attached as Exhibit 99.2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14, 2026, the Company issued a press release announcing the closing of the Offering, a copy of which is attached as Exhibit 99.3 to this Current Report on Form 8-K.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furnished pursuant to this Item 7.01, including Exhibit 99.1, Exhibit 99.2, and Exhibit 99.3, shall not be deemed "filed" for purposes of Section 18 of the Securities Exchange Act of 1934, as amended (the "Exchange Act"), or otherwise subject to the liabilities of that section, nor shall it be deemed incorporated by reference into any filing under the Securities Act or the Exchange Act, except as expressly set forth by specific reference in such a filing.</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statements contained in this filing may be considered forward-looking statements within the meaning of the Private Securities Litigation Reform Act of 1995, including statements regarding the transactions contemplated by the Underwriting Agreement. These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forward-looking statements generally include statements that are predictive in nature and depend upon or refer to future events or conditions and include words such as “believes,” “plans,” “anticipates,” “projects,” “estimates,” “expects,” “intends,” “strategy,” “future,” “opportunity,” “may,” “will,” “should,” “could,” “potential,” or similar expressions. Statements that are not historical facts are forward-looking statements. Forward-looking statements are based on current beliefs and assumptions that are subject to risks and uncertainties. Forward-looking statements speak only as of the date they are made, and Banzai undertakes no obligation to update any of them publicly in light of new information or future events. Actual results could differ materially from those contained in any forward-looking statement as a result of various factors. Banzai may be adversely affected by other economic, business, and/or competitive factors. Additional factors that may affect the future results of Banzai are set forth in its filings with the SEC, including Banzai’s most recently filed Annual Report on Form 10-K, subsequent Quarterly Reports on Form 10-Q, Current Reports on Form 8-K and other filings with the SEC, which are available on the SEC’s website at www.sec.gov, specifically under the heading “Risk Factors.” The risks and uncertainties described above and in Banzai’s filings with the SEC are not exclusive. Readers are urged to consider these factors carefully in evaluating these forward-looking statements, and not to place undue reliance on any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nzi-ex1_1.htm">
              <w:r>
                <w:rPr>
                  <w:rStyle w:val="InternetLink"/>
                  <w:rFonts w:ascii="Times New Roman" w:hAnsi="Times New Roman"/>
                  <w:color w:val="0000FF"/>
                  <w:sz w:val="20"/>
                  <w:u w:val="single"/>
                </w:rPr>
                <w:t>Underwriting Agreement</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bnzi-ex5_1.htm">
              <w:r>
                <w:rPr>
                  <w:rStyle w:val="InternetLink"/>
                  <w:rFonts w:ascii="Times New Roman" w:hAnsi="Times New Roman"/>
                  <w:color w:val="0000FF"/>
                  <w:sz w:val="20"/>
                  <w:u w:val="single"/>
                </w:rPr>
                <w:t>Opinion of Hunter Taubman Fischer &amp; Li LLC</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nzi-ex99_1.htm">
              <w:r>
                <w:rPr>
                  <w:rStyle w:val="InternetLink"/>
                  <w:rFonts w:ascii="Times New Roman" w:hAnsi="Times New Roman"/>
                  <w:color w:val="0000FF"/>
                  <w:sz w:val="20"/>
                  <w:u w:val="single"/>
                </w:rPr>
                <w:t>Press Release, dated July 10,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nzi-ex99_2.htm">
              <w:r>
                <w:rPr>
                  <w:rStyle w:val="InternetLink"/>
                  <w:rFonts w:ascii="Times New Roman" w:hAnsi="Times New Roman"/>
                  <w:color w:val="0000FF"/>
                  <w:sz w:val="20"/>
                  <w:u w:val="single"/>
                </w:rPr>
                <w:t>Press Release, dated July 13,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nzi-ex99_3.htm">
              <w:r>
                <w:rPr>
                  <w:rStyle w:val="InternetLink"/>
                  <w:rFonts w:ascii="Times New Roman" w:hAnsi="Times New Roman"/>
                  <w:color w:val="0000FF"/>
                  <w:sz w:val="20"/>
                  <w:u w:val="single"/>
                </w:rPr>
                <w:t>Press Release, dated July 14,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Dated: July 14, 2026</w:t>
      </w:r>
    </w:p>
    <w:tbl>
      <w:tblPr>
        <w:tblW w:w="3236" w:type="dxa"/>
        <w:jc w:val="left"/>
        <w:tblInd w:w="0" w:type="dxa"/>
        <w:tblLayout w:type="fixed"/>
        <w:tblCellMar>
          <w:top w:w="28" w:type="dxa"/>
          <w:left w:w="28" w:type="dxa"/>
          <w:bottom w:w="28" w:type="dxa"/>
          <w:right w:w="28" w:type="dxa"/>
        </w:tblCellMar>
      </w:tblPr>
      <w:tblGrid>
        <w:gridCol w:w="161"/>
        <w:gridCol w:w="504"/>
        <w:gridCol w:w="2571"/>
      </w:tblGrid>
      <w:tr>
        <w:trPr/>
        <w:tc>
          <w:tcPr>
            <w:tcW w:w="1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BANZAI INTERNATIONAL, INC</w:t>
            </w:r>
            <w:r>
              <w:rPr>
                <w:rFonts w:ascii="Times New Roman" w:hAnsi="Times New Roman"/>
                <w:color w:val="000000"/>
                <w:sz w:val="2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Joseph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Davy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pPr>
            <w:r>
              <w:rPr/>
              <w:t> </w:t>
            </w:r>
          </w:p>
        </w:tc>
        <w:tc>
          <w:tcPr>
            <w:tcW w:w="2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nzi-ex1_1.htm"/>
      <w:bookmarkStart w:id="3" w:name="ksbnziex1_1"/>
      <w:bookmarkEnd w:id="2"/>
      <w:bookmarkEnd w:id="3"/>
      <w:r>
        <w:rPr>
          <w:rFonts w:ascii="Times New Roman" w:hAnsi="Times New Roman"/>
          <w:b/>
          <w:color w:val="000000"/>
          <w:sz w:val="20"/>
        </w:rPr>
        <w:t>EXHIBIT 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UNDERWRITING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July 13, 2026</w:t>
      </w:r>
    </w:p>
    <w:p>
      <w:pPr>
        <w:pStyle w:val="TextBody"/>
        <w:bidi w:val="0"/>
        <w:jc w:val="both"/>
        <w:rPr>
          <w:rFonts w:ascii="Times New Roman" w:hAnsi="Times New Roman"/>
          <w:color w:val="000000"/>
          <w:sz w:val="20"/>
        </w:rPr>
      </w:pPr>
      <w:r>
        <w:rPr>
          <w:rFonts w:ascii="Times New Roman" w:hAnsi="Times New Roman"/>
          <w:color w:val="000000"/>
          <w:sz w:val="20"/>
        </w:rPr>
        <w:t>Aegis Capital Corp.</w:t>
      </w:r>
    </w:p>
    <w:p>
      <w:pPr>
        <w:pStyle w:val="TextBody"/>
        <w:bidi w:val="0"/>
        <w:jc w:val="both"/>
        <w:rPr>
          <w:rFonts w:ascii="Times New Roman" w:hAnsi="Times New Roman"/>
          <w:color w:val="000000"/>
          <w:sz w:val="20"/>
        </w:rPr>
      </w:pPr>
      <w:r>
        <w:rPr>
          <w:rFonts w:ascii="Times New Roman" w:hAnsi="Times New Roman"/>
          <w:color w:val="000000"/>
          <w:sz w:val="20"/>
        </w:rPr>
        <w:t>1345 Avenue of the Americas, 27th Floor</w:t>
      </w:r>
    </w:p>
    <w:p>
      <w:pPr>
        <w:pStyle w:val="TextBody"/>
        <w:bidi w:val="0"/>
        <w:jc w:val="both"/>
        <w:rPr>
          <w:rFonts w:ascii="Times New Roman" w:hAnsi="Times New Roman"/>
          <w:color w:val="000000"/>
          <w:sz w:val="20"/>
        </w:rPr>
      </w:pPr>
      <w:r>
        <w:rPr>
          <w:rFonts w:ascii="Times New Roman" w:hAnsi="Times New Roman"/>
          <w:color w:val="000000"/>
          <w:sz w:val="20"/>
        </w:rPr>
        <w:t>New York, NY 10105</w:t>
      </w:r>
    </w:p>
    <w:p>
      <w:pPr>
        <w:pStyle w:val="TextBody"/>
        <w:bidi w:val="0"/>
        <w:jc w:val="both"/>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rFonts w:ascii="Times New Roman" w:hAnsi="Times New Roman"/>
          <w:sz w:val="20"/>
        </w:rPr>
      </w:pPr>
      <w:r>
        <w:rPr>
          <w:rFonts w:ascii="Times New Roman" w:hAnsi="Times New Roman"/>
          <w:color w:val="000000"/>
          <w:sz w:val="20"/>
        </w:rPr>
        <w:t>Banzai International, Inc., a Delaware corporation (the “</w:t>
      </w:r>
      <w:r>
        <w:rPr>
          <w:rFonts w:ascii="Times New Roman" w:hAnsi="Times New Roman"/>
          <w:b/>
          <w:color w:val="000000"/>
          <w:sz w:val="20"/>
          <w:u w:val="single"/>
        </w:rPr>
        <w:t>Company</w:t>
      </w:r>
      <w:r>
        <w:rPr>
          <w:rFonts w:ascii="Times New Roman" w:hAnsi="Times New Roman"/>
          <w:color w:val="000000"/>
          <w:sz w:val="20"/>
        </w:rPr>
        <w:t>”), agrees, subject to the terms and conditions in this agreement (this “</w:t>
      </w:r>
      <w:r>
        <w:rPr>
          <w:rFonts w:ascii="Times New Roman" w:hAnsi="Times New Roman"/>
          <w:b/>
          <w:color w:val="000000"/>
          <w:sz w:val="20"/>
          <w:u w:val="single"/>
        </w:rPr>
        <w:t>Underwriting Agreement</w:t>
      </w:r>
      <w:r>
        <w:rPr>
          <w:rFonts w:ascii="Times New Roman" w:hAnsi="Times New Roman"/>
          <w:color w:val="000000"/>
          <w:sz w:val="20"/>
        </w:rPr>
        <w:t>”), to issue and sell to Aegis Capital Corp. (the “</w:t>
      </w:r>
      <w:r>
        <w:rPr>
          <w:rFonts w:ascii="Times New Roman" w:hAnsi="Times New Roman"/>
          <w:b/>
          <w:color w:val="000000"/>
          <w:sz w:val="20"/>
          <w:u w:val="single"/>
        </w:rPr>
        <w:t>Underwriter</w:t>
      </w:r>
      <w:r>
        <w:rPr>
          <w:rFonts w:ascii="Times New Roman" w:hAnsi="Times New Roman"/>
          <w:color w:val="000000"/>
          <w:sz w:val="20"/>
        </w:rPr>
        <w:t>”) an aggregate of 327,273 shares of the Company’s Class A common stock, par value $0.0001 per share (the “</w:t>
      </w:r>
      <w:r>
        <w:rPr>
          <w:rFonts w:ascii="Times New Roman" w:hAnsi="Times New Roman"/>
          <w:b/>
          <w:color w:val="000000"/>
          <w:sz w:val="20"/>
          <w:u w:val="single"/>
        </w:rPr>
        <w:t>Common Stock</w:t>
      </w:r>
      <w:r>
        <w:rPr>
          <w:rFonts w:ascii="Times New Roman" w:hAnsi="Times New Roman"/>
          <w:color w:val="000000"/>
          <w:sz w:val="20"/>
        </w:rPr>
        <w:t>”; such 327,273 offered shares of Common Stock the “</w:t>
      </w:r>
      <w:r>
        <w:rPr>
          <w:rFonts w:ascii="Times New Roman" w:hAnsi="Times New Roman"/>
          <w:b/>
          <w:color w:val="000000"/>
          <w:sz w:val="20"/>
          <w:u w:val="single"/>
        </w:rPr>
        <w:t>Closing Shares</w:t>
      </w:r>
      <w:r>
        <w:rPr>
          <w:rFonts w:ascii="Times New Roman" w:hAnsi="Times New Roman"/>
          <w:color w:val="000000"/>
          <w:sz w:val="20"/>
        </w:rPr>
        <w:t>”). At the option of the Underwriter, the Company agrees, subject to the terms and conditions herein, to issue and sell up to an aggregate of 36,364 additional shares of Common Stock (the “</w:t>
      </w:r>
      <w:r>
        <w:rPr>
          <w:rFonts w:ascii="Times New Roman" w:hAnsi="Times New Roman"/>
          <w:b/>
          <w:color w:val="000000"/>
          <w:sz w:val="20"/>
          <w:u w:val="single"/>
        </w:rPr>
        <w:t>Option Shares</w:t>
      </w:r>
      <w:r>
        <w:rPr>
          <w:rFonts w:ascii="Times New Roman" w:hAnsi="Times New Roman"/>
          <w:color w:val="000000"/>
          <w:sz w:val="20"/>
        </w:rPr>
        <w:t>”). The Closing Shares and the Option Shares are herein referred to collectively as the “</w:t>
      </w:r>
      <w:r>
        <w:rPr>
          <w:rFonts w:ascii="Times New Roman" w:hAnsi="Times New Roman"/>
          <w:b/>
          <w:color w:val="000000"/>
          <w:sz w:val="20"/>
          <w:u w:val="single"/>
        </w:rPr>
        <w:t>Securities</w:t>
      </w:r>
      <w:r>
        <w:rPr>
          <w:rFonts w:ascii="Times New Roman" w:hAnsi="Times New Roman"/>
          <w:color w:val="000000"/>
          <w:sz w:val="20"/>
        </w:rPr>
        <w:t>.” The number of Closing Shares and Option Shares to be purchased by the Underwriter is set forth opposite its name in Schedule 4.1.2 hereto. The Underwriter has agreed to act as the underwriter in connection with the offering and sale of the Securities.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Definitions.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1.1.          “</w:t>
      </w:r>
      <w:r>
        <w:rPr>
          <w:rFonts w:ascii="Times New Roman" w:hAnsi="Times New Roman"/>
          <w:b/>
          <w:color w:val="000000"/>
          <w:sz w:val="20"/>
          <w:u w:val="single"/>
        </w:rPr>
        <w:t>Affiliate</w:t>
      </w:r>
      <w:r>
        <w:rPr>
          <w:rFonts w:ascii="Times New Roman" w:hAnsi="Times New Roman"/>
          <w:color w:val="000000"/>
          <w:sz w:val="20"/>
        </w:rPr>
        <w:t>” has the meaning set forth in Rule 405 under the Securities Act.</w:t>
      </w:r>
    </w:p>
    <w:p>
      <w:pPr>
        <w:pStyle w:val="TextBody"/>
        <w:bidi w:val="0"/>
        <w:jc w:val="both"/>
        <w:rPr>
          <w:rFonts w:ascii="Times New Roman" w:hAnsi="Times New Roman"/>
          <w:sz w:val="20"/>
        </w:rPr>
      </w:pPr>
      <w:r>
        <w:rPr>
          <w:rFonts w:ascii="Times New Roman" w:hAnsi="Times New Roman"/>
          <w:color w:val="000000"/>
          <w:sz w:val="20"/>
        </w:rPr>
        <w:t>1.2.          “</w:t>
      </w:r>
      <w:r>
        <w:rPr>
          <w:rFonts w:ascii="Times New Roman" w:hAnsi="Times New Roman"/>
          <w:b/>
          <w:color w:val="000000"/>
          <w:sz w:val="20"/>
          <w:u w:val="single"/>
        </w:rPr>
        <w:t>Applicable Time</w:t>
      </w:r>
      <w:r>
        <w:rPr>
          <w:rFonts w:ascii="Times New Roman" w:hAnsi="Times New Roman"/>
          <w:color w:val="000000"/>
          <w:sz w:val="20"/>
        </w:rPr>
        <w:t>” means 8:00 a.m. Eastern Time on the date hereof.</w:t>
      </w:r>
    </w:p>
    <w:p>
      <w:pPr>
        <w:pStyle w:val="TextBody"/>
        <w:bidi w:val="0"/>
        <w:jc w:val="both"/>
        <w:rPr>
          <w:rFonts w:ascii="Times New Roman" w:hAnsi="Times New Roman"/>
          <w:sz w:val="20"/>
        </w:rPr>
      </w:pPr>
      <w:r>
        <w:rPr>
          <w:rFonts w:ascii="Times New Roman" w:hAnsi="Times New Roman"/>
          <w:color w:val="000000"/>
          <w:sz w:val="20"/>
        </w:rPr>
        <w:t>1.3.          “</w:t>
      </w:r>
      <w:r>
        <w:rPr>
          <w:rFonts w:ascii="Times New Roman" w:hAnsi="Times New Roman"/>
          <w:b/>
          <w:color w:val="000000"/>
          <w:sz w:val="20"/>
          <w:u w:val="single"/>
        </w:rPr>
        <w:t>Base Prospectus</w:t>
      </w:r>
      <w:r>
        <w:rPr>
          <w:rFonts w:ascii="Times New Roman" w:hAnsi="Times New Roman"/>
          <w:color w:val="000000"/>
          <w:sz w:val="20"/>
        </w:rPr>
        <w:t>” means the prospectus included in the Registration Statement at the time at which the Commission declared the Registration Statement effective.</w:t>
      </w:r>
    </w:p>
    <w:p>
      <w:pPr>
        <w:pStyle w:val="TextBody"/>
        <w:bidi w:val="0"/>
        <w:jc w:val="both"/>
        <w:rPr>
          <w:rFonts w:ascii="Times New Roman" w:hAnsi="Times New Roman"/>
          <w:sz w:val="20"/>
        </w:rPr>
      </w:pPr>
      <w:r>
        <w:rPr>
          <w:rFonts w:ascii="Times New Roman" w:hAnsi="Times New Roman"/>
          <w:color w:val="000000"/>
          <w:sz w:val="20"/>
        </w:rPr>
        <w:t>1.4.          “</w:t>
      </w:r>
      <w:r>
        <w:rPr>
          <w:rFonts w:ascii="Times New Roman" w:hAnsi="Times New Roman"/>
          <w:b/>
          <w:color w:val="000000"/>
          <w:sz w:val="20"/>
          <w:u w:val="single"/>
        </w:rPr>
        <w:t>Bona Fide Electronic Road Show</w:t>
      </w:r>
      <w:r>
        <w:rPr>
          <w:rFonts w:ascii="Times New Roman" w:hAnsi="Times New Roman"/>
          <w:color w:val="000000"/>
          <w:sz w:val="20"/>
        </w:rPr>
        <w:t>” means a “bona fide electronic road show” (as defined in Rule 433(h)(5) under the Securities Act) that the Company has made available without restriction by “graphic means” (as defined in Rule 405 under the Securities Act) to any person.</w:t>
      </w:r>
    </w:p>
    <w:p>
      <w:pPr>
        <w:pStyle w:val="TextBody"/>
        <w:bidi w:val="0"/>
        <w:jc w:val="both"/>
        <w:rPr>
          <w:rFonts w:ascii="Times New Roman" w:hAnsi="Times New Roman"/>
          <w:sz w:val="20"/>
        </w:rPr>
      </w:pPr>
      <w:r>
        <w:rPr>
          <w:rFonts w:ascii="Times New Roman" w:hAnsi="Times New Roman"/>
          <w:color w:val="000000"/>
          <w:sz w:val="20"/>
        </w:rPr>
        <w:t>1.5.          “</w:t>
      </w:r>
      <w:r>
        <w:rPr>
          <w:rFonts w:ascii="Times New Roman" w:hAnsi="Times New Roman"/>
          <w:b/>
          <w:color w:val="000000"/>
          <w:sz w:val="20"/>
          <w:u w:val="single"/>
        </w:rPr>
        <w:t>Business Day</w:t>
      </w:r>
      <w:r>
        <w:rPr>
          <w:rFonts w:ascii="Times New Roman" w:hAnsi="Times New Roman"/>
          <w:color w:val="000000"/>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jc w:val="both"/>
        <w:rPr>
          <w:rFonts w:ascii="Times New Roman" w:hAnsi="Times New Roman"/>
          <w:sz w:val="20"/>
        </w:rPr>
      </w:pPr>
      <w:r>
        <w:rPr>
          <w:rFonts w:ascii="Times New Roman" w:hAnsi="Times New Roman"/>
          <w:color w:val="000000"/>
          <w:sz w:val="20"/>
        </w:rPr>
        <w:t>1.6.          “</w:t>
      </w:r>
      <w:r>
        <w:rPr>
          <w:rFonts w:ascii="Times New Roman" w:hAnsi="Times New Roman"/>
          <w:b/>
          <w:color w:val="000000"/>
          <w:sz w:val="20"/>
          <w:u w:val="single"/>
        </w:rPr>
        <w:t>Calendar Day</w:t>
      </w:r>
      <w:r>
        <w:rPr>
          <w:rFonts w:ascii="Times New Roman" w:hAnsi="Times New Roman"/>
          <w:color w:val="000000"/>
          <w:sz w:val="20"/>
        </w:rPr>
        <w:t>” means each and every day of the week (Sunday, Monday, Tuesday, Wednesday, Thursday, Friday and Saturday).</w:t>
      </w:r>
    </w:p>
    <w:p>
      <w:pPr>
        <w:pStyle w:val="TextBody"/>
        <w:bidi w:val="0"/>
        <w:jc w:val="both"/>
        <w:rPr>
          <w:rFonts w:ascii="Times New Roman" w:hAnsi="Times New Roman"/>
          <w:sz w:val="20"/>
        </w:rPr>
      </w:pPr>
      <w:r>
        <w:rPr>
          <w:rFonts w:ascii="Times New Roman" w:hAnsi="Times New Roman"/>
          <w:color w:val="000000"/>
          <w:sz w:val="20"/>
        </w:rPr>
        <w:t>1.7.          “</w:t>
      </w:r>
      <w:r>
        <w:rPr>
          <w:rFonts w:ascii="Times New Roman" w:hAnsi="Times New Roman"/>
          <w:b/>
          <w:color w:val="000000"/>
          <w:sz w:val="20"/>
          <w:u w:val="single"/>
        </w:rPr>
        <w:t>Commission</w:t>
      </w:r>
      <w:r>
        <w:rPr>
          <w:rFonts w:ascii="Times New Roman" w:hAnsi="Times New Roman"/>
          <w:color w:val="000000"/>
          <w:sz w:val="20"/>
        </w:rPr>
        <w:t>” means the United States Securities and Exchange Commission.</w:t>
      </w:r>
    </w:p>
    <w:p>
      <w:pPr>
        <w:pStyle w:val="TextBody"/>
        <w:bidi w:val="0"/>
        <w:jc w:val="both"/>
        <w:rPr>
          <w:rFonts w:ascii="Times New Roman" w:hAnsi="Times New Roman"/>
          <w:sz w:val="20"/>
        </w:rPr>
      </w:pPr>
      <w:r>
        <w:rPr>
          <w:rFonts w:ascii="Times New Roman" w:hAnsi="Times New Roman"/>
          <w:color w:val="000000"/>
          <w:sz w:val="20"/>
        </w:rPr>
        <w:t>1.8.         “</w:t>
      </w:r>
      <w:r>
        <w:rPr>
          <w:rFonts w:ascii="Times New Roman" w:hAnsi="Times New Roman"/>
          <w:b/>
          <w:color w:val="000000"/>
          <w:sz w:val="20"/>
          <w:u w:val="single"/>
        </w:rPr>
        <w:t>Company Counsel</w:t>
      </w:r>
      <w:r>
        <w:rPr>
          <w:rFonts w:ascii="Times New Roman" w:hAnsi="Times New Roman"/>
          <w:color w:val="000000"/>
          <w:sz w:val="20"/>
        </w:rPr>
        <w:t>” means Hunter Taubman Fischer &amp; Li LLC, with offices at 950 Third Avenue, 19th Floor New York, NY 10022.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1.9.          “</w:t>
      </w:r>
      <w:r>
        <w:rPr>
          <w:rFonts w:ascii="Times New Roman" w:hAnsi="Times New Roman"/>
          <w:b/>
          <w:color w:val="000000"/>
          <w:sz w:val="20"/>
          <w:u w:val="single"/>
        </w:rPr>
        <w:t>Exchange Act</w:t>
      </w:r>
      <w:r>
        <w:rPr>
          <w:rFonts w:ascii="Times New Roman" w:hAnsi="Times New Roman"/>
          <w:color w:val="000000"/>
          <w:sz w:val="20"/>
        </w:rPr>
        <w:t>” means the Securities Exchange Act of 1934, as amended, and the rules and regulations promulgated thereunder.</w:t>
      </w:r>
    </w:p>
    <w:p>
      <w:pPr>
        <w:pStyle w:val="TextBody"/>
        <w:bidi w:val="0"/>
        <w:jc w:val="both"/>
        <w:rPr>
          <w:rFonts w:ascii="Times New Roman" w:hAnsi="Times New Roman"/>
          <w:sz w:val="20"/>
        </w:rPr>
      </w:pPr>
      <w:r>
        <w:rPr>
          <w:rFonts w:ascii="Times New Roman" w:hAnsi="Times New Roman"/>
          <w:color w:val="000000"/>
          <w:sz w:val="20"/>
        </w:rPr>
        <w:t>1.10.        “</w:t>
      </w:r>
      <w:r>
        <w:rPr>
          <w:rFonts w:ascii="Times New Roman" w:hAnsi="Times New Roman"/>
          <w:b/>
          <w:color w:val="000000"/>
          <w:sz w:val="20"/>
          <w:u w:val="single"/>
        </w:rPr>
        <w:t>Final Prospectus Supplement</w:t>
      </w:r>
      <w:r>
        <w:rPr>
          <w:rFonts w:ascii="Times New Roman" w:hAnsi="Times New Roman"/>
          <w:color w:val="000000"/>
          <w:sz w:val="20"/>
        </w:rPr>
        <w:t>” means the prospectus supplement to the Base Prospectus relating to the Securities and the Offering in accordance with the provisions of Rule 430B and Rule 424(b) of the Securities Act Regulations, including any documents incorporated by reference therein.</w:t>
      </w:r>
    </w:p>
    <w:p>
      <w:pPr>
        <w:pStyle w:val="TextBody"/>
        <w:bidi w:val="0"/>
        <w:jc w:val="both"/>
        <w:rPr>
          <w:rFonts w:ascii="Times New Roman" w:hAnsi="Times New Roman"/>
          <w:sz w:val="20"/>
        </w:rPr>
      </w:pPr>
      <w:r>
        <w:rPr>
          <w:rFonts w:ascii="Times New Roman" w:hAnsi="Times New Roman"/>
          <w:color w:val="000000"/>
          <w:sz w:val="20"/>
        </w:rPr>
        <w:t>1.11.        “</w:t>
      </w:r>
      <w:r>
        <w:rPr>
          <w:rFonts w:ascii="Times New Roman" w:hAnsi="Times New Roman"/>
          <w:b/>
          <w:color w:val="000000"/>
          <w:sz w:val="20"/>
          <w:u w:val="single"/>
        </w:rPr>
        <w:t>Free Writing Prospectus</w:t>
      </w:r>
      <w:r>
        <w:rPr>
          <w:rFonts w:ascii="Times New Roman" w:hAnsi="Times New Roman"/>
          <w:color w:val="000000"/>
          <w:sz w:val="20"/>
        </w:rPr>
        <w:t>” has the meaning set forth in Rule 405 under the Securities Act.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1.12.        “</w:t>
      </w:r>
      <w:r>
        <w:rPr>
          <w:rFonts w:ascii="Times New Roman" w:hAnsi="Times New Roman"/>
          <w:b/>
          <w:color w:val="000000"/>
          <w:sz w:val="20"/>
          <w:u w:val="single"/>
        </w:rPr>
        <w:t>Indebtedness</w:t>
      </w:r>
      <w:r>
        <w:rPr>
          <w:rFonts w:ascii="Times New Roman" w:hAnsi="Times New Roman"/>
          <w:color w:val="000000"/>
          <w:sz w:val="20"/>
        </w:rPr>
        <w:t>” means (a) any liabilities for borrowed money or amounts owed in excess of $50,000 in aggregate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in aggregate due under leases required to be capitalized in accordance with GAAP.</w:t>
      </w:r>
    </w:p>
    <w:p>
      <w:pPr>
        <w:pStyle w:val="TextBody"/>
        <w:bidi w:val="0"/>
        <w:jc w:val="both"/>
        <w:rPr>
          <w:rFonts w:ascii="Times New Roman" w:hAnsi="Times New Roman"/>
          <w:sz w:val="20"/>
        </w:rPr>
      </w:pPr>
      <w:r>
        <w:rPr>
          <w:rFonts w:ascii="Times New Roman" w:hAnsi="Times New Roman"/>
          <w:color w:val="000000"/>
          <w:sz w:val="20"/>
        </w:rPr>
        <w:t>1.13.        “</w:t>
      </w:r>
      <w:r>
        <w:rPr>
          <w:rFonts w:ascii="Times New Roman" w:hAnsi="Times New Roman"/>
          <w:b/>
          <w:color w:val="000000"/>
          <w:sz w:val="20"/>
          <w:u w:val="single"/>
        </w:rPr>
        <w:t>Investment Company Act</w:t>
      </w:r>
      <w:r>
        <w:rPr>
          <w:rFonts w:ascii="Times New Roman" w:hAnsi="Times New Roman"/>
          <w:color w:val="000000"/>
          <w:sz w:val="20"/>
        </w:rPr>
        <w:t>” means the Investment Company Act of 1940, as amended, and the rules and regulations promulgated thereunder.</w:t>
      </w:r>
    </w:p>
    <w:p>
      <w:pPr>
        <w:pStyle w:val="TextBody"/>
        <w:bidi w:val="0"/>
        <w:jc w:val="both"/>
        <w:rPr>
          <w:rFonts w:ascii="Times New Roman" w:hAnsi="Times New Roman"/>
          <w:sz w:val="20"/>
        </w:rPr>
      </w:pPr>
      <w:r>
        <w:rPr>
          <w:rFonts w:ascii="Times New Roman" w:hAnsi="Times New Roman"/>
          <w:color w:val="000000"/>
          <w:sz w:val="20"/>
        </w:rPr>
        <w:t>1.14.        “</w:t>
      </w:r>
      <w:r>
        <w:rPr>
          <w:rFonts w:ascii="Times New Roman" w:hAnsi="Times New Roman"/>
          <w:b/>
          <w:color w:val="000000"/>
          <w:sz w:val="20"/>
          <w:u w:val="single"/>
        </w:rPr>
        <w:t>Issuer Free Writing Prospectus</w:t>
      </w:r>
      <w:r>
        <w:rPr>
          <w:rFonts w:ascii="Times New Roman" w:hAnsi="Times New Roman"/>
          <w:color w:val="000000"/>
          <w:sz w:val="20"/>
        </w:rPr>
        <w:t>” means an “issuer free writing prospectus” (as defined in Rule 433(h)(1) under the Securities Act).</w:t>
      </w:r>
    </w:p>
    <w:p>
      <w:pPr>
        <w:pStyle w:val="TextBody"/>
        <w:bidi w:val="0"/>
        <w:jc w:val="both"/>
        <w:rPr>
          <w:rFonts w:ascii="Times New Roman" w:hAnsi="Times New Roman"/>
          <w:sz w:val="20"/>
        </w:rPr>
      </w:pPr>
      <w:r>
        <w:rPr>
          <w:rFonts w:ascii="Times New Roman" w:hAnsi="Times New Roman"/>
          <w:color w:val="000000"/>
          <w:sz w:val="20"/>
        </w:rPr>
        <w:t>1.15.        “</w:t>
      </w:r>
      <w:r>
        <w:rPr>
          <w:rFonts w:ascii="Times New Roman" w:hAnsi="Times New Roman"/>
          <w:b/>
          <w:color w:val="000000"/>
          <w:sz w:val="20"/>
          <w:u w:val="single"/>
        </w:rPr>
        <w:t>Person</w:t>
      </w:r>
      <w:r>
        <w:rPr>
          <w:rFonts w:ascii="Times New Roman" w:hAnsi="Times New Roman"/>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1.16.        “</w:t>
      </w:r>
      <w:r>
        <w:rPr>
          <w:rFonts w:ascii="Times New Roman" w:hAnsi="Times New Roman"/>
          <w:b/>
          <w:color w:val="000000"/>
          <w:sz w:val="20"/>
          <w:u w:val="single"/>
        </w:rPr>
        <w:t>Preliminary Prospectus Supplement</w:t>
      </w:r>
      <w:r>
        <w:rPr>
          <w:rFonts w:ascii="Times New Roman" w:hAnsi="Times New Roman"/>
          <w:color w:val="000000"/>
          <w:sz w:val="20"/>
        </w:rPr>
        <w:t>” means the preliminary prospectus supplement to the Base Prospectus (including the Base Prospectus as so supplemented) that described the Securities and the Offering (as defined herein) and omitted the Rule 430B Information and that was used prior to the filing of the Final Prospectus Supplement, including any documents incorporated by reference therein.</w:t>
      </w:r>
    </w:p>
    <w:p>
      <w:pPr>
        <w:pStyle w:val="TextBody"/>
        <w:bidi w:val="0"/>
        <w:jc w:val="both"/>
        <w:rPr>
          <w:rFonts w:ascii="Times New Roman" w:hAnsi="Times New Roman"/>
          <w:sz w:val="20"/>
        </w:rPr>
      </w:pPr>
      <w:r>
        <w:rPr>
          <w:rFonts w:ascii="Times New Roman" w:hAnsi="Times New Roman"/>
          <w:color w:val="000000"/>
          <w:sz w:val="20"/>
        </w:rPr>
        <w:t>1.17.        “</w:t>
      </w:r>
      <w:r>
        <w:rPr>
          <w:rFonts w:ascii="Times New Roman" w:hAnsi="Times New Roman"/>
          <w:b/>
          <w:color w:val="000000"/>
          <w:sz w:val="20"/>
          <w:u w:val="single"/>
        </w:rPr>
        <w:t>Pricing Disclosure Package</w:t>
      </w:r>
      <w:r>
        <w:rPr>
          <w:rFonts w:ascii="Times New Roman" w:hAnsi="Times New Roman"/>
          <w:color w:val="000000"/>
          <w:sz w:val="20"/>
        </w:rPr>
        <w:t>” means the Preliminary Prospectus Supplement and the Base Prospectus collectively with this Agreement (including documents attached hereto or incorporated by reference herein) and the documents and pricing information set forth in Schedule 1.17 hereto.</w:t>
      </w:r>
    </w:p>
    <w:p>
      <w:pPr>
        <w:pStyle w:val="TextBody"/>
        <w:bidi w:val="0"/>
        <w:jc w:val="both"/>
        <w:rPr>
          <w:rFonts w:ascii="Times New Roman" w:hAnsi="Times New Roman"/>
          <w:sz w:val="20"/>
        </w:rPr>
      </w:pPr>
      <w:r>
        <w:rPr>
          <w:rFonts w:ascii="Times New Roman" w:hAnsi="Times New Roman"/>
          <w:color w:val="000000"/>
          <w:sz w:val="20"/>
        </w:rPr>
        <w:t>1.18.        “</w:t>
      </w:r>
      <w:r>
        <w:rPr>
          <w:rFonts w:ascii="Times New Roman" w:hAnsi="Times New Roman"/>
          <w:b/>
          <w:color w:val="000000"/>
          <w:sz w:val="20"/>
          <w:u w:val="single"/>
        </w:rPr>
        <w:t>Prospectus Delivery Period</w:t>
      </w:r>
      <w:r>
        <w:rPr>
          <w:rFonts w:ascii="Times New Roman" w:hAnsi="Times New Roman"/>
          <w:color w:val="000000"/>
          <w:sz w:val="20"/>
        </w:rPr>
        <w:t>” means such period of time after the first date of the public offering of the Securities as in the opinion of counsel for the Underwriter a prospectus relating to the Securities is required by law to be delivered (or required to be delivered but for Rule 172 under the Securities Act) in connection with sales of the Securities by the Underwriter or dealer.</w:t>
      </w:r>
    </w:p>
    <w:p>
      <w:pPr>
        <w:pStyle w:val="TextBody"/>
        <w:bidi w:val="0"/>
        <w:jc w:val="both"/>
        <w:rPr>
          <w:rFonts w:ascii="Times New Roman" w:hAnsi="Times New Roman"/>
          <w:sz w:val="20"/>
        </w:rPr>
      </w:pPr>
      <w:r>
        <w:rPr>
          <w:rFonts w:ascii="Times New Roman" w:hAnsi="Times New Roman"/>
          <w:color w:val="000000"/>
          <w:sz w:val="20"/>
        </w:rPr>
        <w:t>1.19.        “</w:t>
      </w:r>
      <w:r>
        <w:rPr>
          <w:rFonts w:ascii="Times New Roman" w:hAnsi="Times New Roman"/>
          <w:b/>
          <w:color w:val="000000"/>
          <w:sz w:val="20"/>
          <w:u w:val="single"/>
        </w:rPr>
        <w:t>Registration Statement</w:t>
      </w:r>
      <w:r>
        <w:rPr>
          <w:rFonts w:ascii="Times New Roman" w:hAnsi="Times New Roman"/>
          <w:color w:val="000000"/>
          <w:sz w:val="20"/>
        </w:rPr>
        <w:t>” means (a) the registration statement on Form S-3 (File No. 333-288908) including a prospectus, registering the offer and sale of the Securities under the Securities Act as amended at the time the Commission declared it effective, including each of the exhibits, financial statements and schedules thereto, (b) any Rule 430A Information, and (c) any Rule 462(b) Registration Statement, including in each case any documents incorporated by reference therein.</w:t>
      </w:r>
    </w:p>
    <w:p>
      <w:pPr>
        <w:pStyle w:val="TextBody"/>
        <w:bidi w:val="0"/>
        <w:jc w:val="both"/>
        <w:rPr>
          <w:rFonts w:ascii="Times New Roman" w:hAnsi="Times New Roman"/>
          <w:sz w:val="20"/>
        </w:rPr>
      </w:pPr>
      <w:r>
        <w:rPr>
          <w:rFonts w:ascii="Times New Roman" w:hAnsi="Times New Roman"/>
          <w:color w:val="000000"/>
          <w:sz w:val="20"/>
        </w:rPr>
        <w:t>1.20.        “</w:t>
      </w:r>
      <w:r>
        <w:rPr>
          <w:rFonts w:ascii="Times New Roman" w:hAnsi="Times New Roman"/>
          <w:b/>
          <w:color w:val="000000"/>
          <w:sz w:val="20"/>
          <w:u w:val="single"/>
        </w:rPr>
        <w:t>Release Date</w:t>
      </w:r>
      <w:r>
        <w:rPr>
          <w:rFonts w:ascii="Times New Roman" w:hAnsi="Times New Roman"/>
          <w:color w:val="000000"/>
          <w:sz w:val="20"/>
        </w:rPr>
        <w:t>” means the Closing Date.</w:t>
      </w:r>
    </w:p>
    <w:p>
      <w:pPr>
        <w:pStyle w:val="TextBody"/>
        <w:bidi w:val="0"/>
        <w:jc w:val="both"/>
        <w:rPr>
          <w:rFonts w:ascii="Times New Roman" w:hAnsi="Times New Roman"/>
          <w:sz w:val="20"/>
        </w:rPr>
      </w:pPr>
      <w:r>
        <w:rPr>
          <w:rFonts w:ascii="Times New Roman" w:hAnsi="Times New Roman"/>
          <w:color w:val="000000"/>
          <w:sz w:val="20"/>
        </w:rPr>
        <w:t>1.21.        “</w:t>
      </w:r>
      <w:r>
        <w:rPr>
          <w:rFonts w:ascii="Times New Roman" w:hAnsi="Times New Roman"/>
          <w:b/>
          <w:color w:val="000000"/>
          <w:sz w:val="20"/>
          <w:u w:val="single"/>
        </w:rPr>
        <w:t>Rule 430A Information</w:t>
      </w:r>
      <w:r>
        <w:rPr>
          <w:rFonts w:ascii="Times New Roman" w:hAnsi="Times New Roman"/>
          <w:color w:val="000000"/>
          <w:sz w:val="20"/>
        </w:rPr>
        <w:t>” means the information deemed, pursuant to Rule 430A under the Securities Act, to be part of the Registration Statement at the time the Commission declared the Registration Statement effective.</w:t>
      </w:r>
    </w:p>
    <w:p>
      <w:pPr>
        <w:pStyle w:val="TextBody"/>
        <w:bidi w:val="0"/>
        <w:jc w:val="both"/>
        <w:rPr>
          <w:rFonts w:ascii="Times New Roman" w:hAnsi="Times New Roman"/>
          <w:sz w:val="20"/>
        </w:rPr>
      </w:pPr>
      <w:r>
        <w:rPr>
          <w:rFonts w:ascii="Times New Roman" w:hAnsi="Times New Roman"/>
          <w:color w:val="000000"/>
          <w:sz w:val="20"/>
        </w:rPr>
        <w:t>1.22.        “</w:t>
      </w:r>
      <w:r>
        <w:rPr>
          <w:rFonts w:ascii="Times New Roman" w:hAnsi="Times New Roman"/>
          <w:b/>
          <w:color w:val="000000"/>
          <w:sz w:val="20"/>
          <w:u w:val="single"/>
        </w:rPr>
        <w:t>Rule 462(b) Registration Statement</w:t>
      </w:r>
      <w:r>
        <w:rPr>
          <w:rFonts w:ascii="Times New Roman" w:hAnsi="Times New Roman"/>
          <w:color w:val="000000"/>
          <w:sz w:val="20"/>
        </w:rPr>
        <w:t>” means an abbreviated registration statement to register the offer and sale of additional shares of Common Stock pursuant to Rule 462(b) under the Securities Act.</w:t>
      </w:r>
    </w:p>
    <w:p>
      <w:pPr>
        <w:pStyle w:val="TextBody"/>
        <w:bidi w:val="0"/>
        <w:jc w:val="both"/>
        <w:rPr>
          <w:rFonts w:ascii="Times New Roman" w:hAnsi="Times New Roman"/>
          <w:sz w:val="20"/>
        </w:rPr>
      </w:pPr>
      <w:r>
        <w:rPr>
          <w:rFonts w:ascii="Times New Roman" w:hAnsi="Times New Roman"/>
          <w:color w:val="000000"/>
          <w:sz w:val="20"/>
        </w:rPr>
        <w:t>1.23.        “</w:t>
      </w:r>
      <w:r>
        <w:rPr>
          <w:rFonts w:ascii="Times New Roman" w:hAnsi="Times New Roman"/>
          <w:b/>
          <w:color w:val="000000"/>
          <w:sz w:val="20"/>
          <w:u w:val="single"/>
        </w:rPr>
        <w:t>Sarbanes-Oxley Act</w:t>
      </w:r>
      <w:r>
        <w:rPr>
          <w:rFonts w:ascii="Times New Roman" w:hAnsi="Times New Roman"/>
          <w:color w:val="000000"/>
          <w:sz w:val="20"/>
        </w:rPr>
        <w:t>” means the Sarbanes-Oxley Act of 2002, as amended, and the rules and regulations promulgated thereunder.</w:t>
      </w:r>
    </w:p>
    <w:p>
      <w:pPr>
        <w:pStyle w:val="TextBody"/>
        <w:bidi w:val="0"/>
        <w:jc w:val="both"/>
        <w:rPr>
          <w:rFonts w:ascii="Times New Roman" w:hAnsi="Times New Roman"/>
          <w:sz w:val="20"/>
        </w:rPr>
      </w:pPr>
      <w:r>
        <w:rPr>
          <w:rFonts w:ascii="Times New Roman" w:hAnsi="Times New Roman"/>
          <w:color w:val="000000"/>
          <w:sz w:val="20"/>
        </w:rPr>
        <w:t>1.24.        “</w:t>
      </w:r>
      <w:r>
        <w:rPr>
          <w:rFonts w:ascii="Times New Roman" w:hAnsi="Times New Roman"/>
          <w:b/>
          <w:color w:val="000000"/>
          <w:sz w:val="20"/>
          <w:u w:val="single"/>
        </w:rPr>
        <w:t>Securities Act</w:t>
      </w:r>
      <w:r>
        <w:rPr>
          <w:rFonts w:ascii="Times New Roman" w:hAnsi="Times New Roman"/>
          <w:color w:val="000000"/>
          <w:sz w:val="20"/>
        </w:rPr>
        <w:t>” means the Securities Act of 1933, as amended, and the rules and regulations promulgated thereunder.</w:t>
      </w:r>
    </w:p>
    <w:p>
      <w:pPr>
        <w:pStyle w:val="TextBody"/>
        <w:bidi w:val="0"/>
        <w:jc w:val="both"/>
        <w:rPr>
          <w:rFonts w:ascii="Times New Roman" w:hAnsi="Times New Roman"/>
          <w:sz w:val="20"/>
        </w:rPr>
      </w:pPr>
      <w:r>
        <w:rPr>
          <w:rFonts w:ascii="Times New Roman" w:hAnsi="Times New Roman"/>
          <w:color w:val="000000"/>
          <w:sz w:val="20"/>
        </w:rPr>
        <w:t>1.25.        “</w:t>
      </w:r>
      <w:r>
        <w:rPr>
          <w:rFonts w:ascii="Times New Roman" w:hAnsi="Times New Roman"/>
          <w:b/>
          <w:color w:val="000000"/>
          <w:sz w:val="20"/>
          <w:u w:val="single"/>
        </w:rPr>
        <w:t>Standstill Period</w:t>
      </w:r>
      <w:r>
        <w:rPr>
          <w:rFonts w:ascii="Times New Roman" w:hAnsi="Times New Roman"/>
          <w:color w:val="000000"/>
          <w:sz w:val="20"/>
        </w:rPr>
        <w:t>” has the meaning set forth in Section 5.10.1 hereof.</w:t>
      </w:r>
    </w:p>
    <w:p>
      <w:pPr>
        <w:pStyle w:val="TextBody"/>
        <w:bidi w:val="0"/>
        <w:jc w:val="both"/>
        <w:rPr>
          <w:rFonts w:ascii="Times New Roman" w:hAnsi="Times New Roman"/>
          <w:sz w:val="20"/>
        </w:rPr>
      </w:pPr>
      <w:r>
        <w:rPr>
          <w:rFonts w:ascii="Times New Roman" w:hAnsi="Times New Roman"/>
          <w:color w:val="000000"/>
          <w:sz w:val="20"/>
        </w:rPr>
        <w:t>1.26.        “</w:t>
      </w:r>
      <w:r>
        <w:rPr>
          <w:rFonts w:ascii="Times New Roman" w:hAnsi="Times New Roman"/>
          <w:b/>
          <w:color w:val="000000"/>
          <w:sz w:val="20"/>
          <w:u w:val="single"/>
        </w:rPr>
        <w:t>Testing-the-Waters Communication</w:t>
      </w:r>
      <w:r>
        <w:rPr>
          <w:rFonts w:ascii="Times New Roman" w:hAnsi="Times New Roman"/>
          <w:color w:val="000000"/>
          <w:sz w:val="20"/>
        </w:rPr>
        <w:t>” means any oral or Written Communication with potential investors undertaken in reliance on Section 5(d) of the Securities Act and Rule 163B thereunder.</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1.27.        “</w:t>
      </w:r>
      <w:r>
        <w:rPr>
          <w:rFonts w:ascii="Times New Roman" w:hAnsi="Times New Roman"/>
          <w:b/>
          <w:color w:val="000000"/>
          <w:sz w:val="20"/>
          <w:u w:val="single"/>
        </w:rPr>
        <w:t>Underwriter Counsel</w:t>
      </w:r>
      <w:r>
        <w:rPr>
          <w:rFonts w:ascii="Times New Roman" w:hAnsi="Times New Roman"/>
          <w:color w:val="000000"/>
          <w:sz w:val="20"/>
        </w:rPr>
        <w:t>” means Baker &amp; Hostetler LLP, 1900 Ave of the Stars, Suite 2700, Los Angeles, CA 90067.</w:t>
      </w:r>
    </w:p>
    <w:p>
      <w:pPr>
        <w:pStyle w:val="TextBody"/>
        <w:bidi w:val="0"/>
        <w:jc w:val="both"/>
        <w:rPr>
          <w:rFonts w:ascii="Times New Roman" w:hAnsi="Times New Roman"/>
          <w:sz w:val="20"/>
        </w:rPr>
      </w:pPr>
      <w:r>
        <w:rPr>
          <w:rFonts w:ascii="Times New Roman" w:hAnsi="Times New Roman"/>
          <w:color w:val="000000"/>
          <w:sz w:val="20"/>
        </w:rPr>
        <w:t>1.28.        “</w:t>
      </w:r>
      <w:r>
        <w:rPr>
          <w:rFonts w:ascii="Times New Roman" w:hAnsi="Times New Roman"/>
          <w:b/>
          <w:color w:val="000000"/>
          <w:sz w:val="20"/>
          <w:u w:val="single"/>
        </w:rPr>
        <w:t>Written Communication</w:t>
      </w:r>
      <w:r>
        <w:rPr>
          <w:rFonts w:ascii="Times New Roman" w:hAnsi="Times New Roman"/>
          <w:color w:val="000000"/>
          <w:sz w:val="20"/>
        </w:rPr>
        <w:t>” has the meaning set forth in Rule 405 under the Securities Act.</w:t>
      </w:r>
    </w:p>
    <w:p>
      <w:pPr>
        <w:pStyle w:val="TextBody"/>
        <w:bidi w:val="0"/>
        <w:jc w:val="both"/>
        <w:rPr>
          <w:rFonts w:ascii="Times New Roman" w:hAnsi="Times New Roman"/>
          <w:sz w:val="20"/>
        </w:rPr>
      </w:pPr>
      <w:r>
        <w:rPr>
          <w:rFonts w:ascii="Times New Roman" w:hAnsi="Times New Roman"/>
          <w:color w:val="000000"/>
          <w:sz w:val="20"/>
        </w:rPr>
        <w:t>1.39.        “</w:t>
      </w:r>
      <w:r>
        <w:rPr>
          <w:rFonts w:ascii="Times New Roman" w:hAnsi="Times New Roman"/>
          <w:b/>
          <w:color w:val="000000"/>
          <w:sz w:val="20"/>
          <w:u w:val="single"/>
        </w:rPr>
        <w:t>Written Testing-the-Waters Communications</w:t>
      </w:r>
      <w:r>
        <w:rPr>
          <w:rFonts w:ascii="Times New Roman" w:hAnsi="Times New Roman"/>
          <w:color w:val="000000"/>
          <w:sz w:val="20"/>
        </w:rPr>
        <w:t>” means any Testing-the-Waters Communication that is a Written Communication.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u w:val="single"/>
        </w:rPr>
        <w:t>Representations and Warranties of the Company</w:t>
      </w:r>
      <w:r>
        <w:rPr>
          <w:rFonts w:ascii="Times New Roman" w:hAnsi="Times New Roman"/>
          <w:color w:val="000000"/>
          <w:sz w:val="20"/>
        </w:rPr>
        <w:t>. The Company hereby represents and warrants to, and agrees with, the Underwriter that the following matters are true and accurate and do not contain any untrue statement of a material fact or omit to state a material fact required to be stated therein or necessary to make the statements therein not misleading. Any certificate signed by an officer of the Company and delivered to the Underwriter or to Underwriter Counsel shall be deemed to be a representation and warranty by the Company to the Underwriter as to the matters set forth therein.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2.1.          </w:t>
      </w:r>
      <w:r>
        <w:rPr>
          <w:rFonts w:ascii="Times New Roman" w:hAnsi="Times New Roman"/>
          <w:b/>
          <w:color w:val="000000"/>
          <w:sz w:val="20"/>
          <w:u w:val="single"/>
        </w:rPr>
        <w:t>Registration Statement</w:t>
      </w:r>
      <w:r>
        <w:rPr>
          <w:rFonts w:ascii="Times New Roman" w:hAnsi="Times New Roman"/>
          <w:b/>
          <w:color w:val="000000"/>
          <w:sz w:val="20"/>
        </w:rPr>
        <w:t xml:space="preserve">. </w:t>
      </w:r>
      <w:r>
        <w:rPr>
          <w:rFonts w:ascii="Times New Roman" w:hAnsi="Times New Roman"/>
          <w:color w:val="000000"/>
          <w:sz w:val="20"/>
        </w:rPr>
        <w:t>The Company has prepared and filed the Registration Statement with the Commission under the Securities Act. The Commission has declared the Registration Statement effective under the Securities Act and the Company has not as of the date of this Agreement filed a post-effective amendment to the Registration Statement. The Commission has not issued any order suspending the effectiveness of the Registration Statement or any order preventing or suspending the use of the Registration Statement, the Final Prospectus Supplement, any Preliminary Prospectus Supplement, any Issuer Free Writing Prospectus or any Testing-the-Waters Communication, and no proceedings for such purpose or pursuant to Section 8A of the Securities Act have been initiated, are pending before or, to the Company’s knowledge, threatened by the Commission.</w:t>
      </w:r>
    </w:p>
    <w:p>
      <w:pPr>
        <w:pStyle w:val="TextBody"/>
        <w:bidi w:val="0"/>
        <w:jc w:val="both"/>
        <w:rPr>
          <w:rFonts w:ascii="Times New Roman" w:hAnsi="Times New Roman"/>
          <w:sz w:val="20"/>
        </w:rPr>
      </w:pPr>
      <w:r>
        <w:rPr>
          <w:rFonts w:ascii="Times New Roman" w:hAnsi="Times New Roman"/>
          <w:color w:val="000000"/>
          <w:sz w:val="20"/>
        </w:rPr>
        <w:t xml:space="preserve">2.1.1.       The Registration Statement, at the time it became effective, did not contain, and any post-effective amendment thereto, as of the effective date of such amendment, will not contain, any untrue statement of a material fact or omit to state a material fact required to be stated therein or necessary to make the statements therein not misleading; </w:t>
      </w:r>
      <w:r>
        <w:rPr>
          <w:rFonts w:ascii="Times New Roman" w:hAnsi="Times New Roman"/>
          <w:color w:val="000000"/>
          <w:sz w:val="20"/>
          <w:u w:val="single"/>
        </w:rPr>
        <w:t>provided</w:t>
      </w:r>
      <w:r>
        <w:rPr>
          <w:rFonts w:ascii="Times New Roman" w:hAnsi="Times New Roman"/>
          <w:color w:val="000000"/>
          <w:sz w:val="20"/>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the Registration Statement (including any post-effective amendment thereto), the Pricing Disclosure Package, the Final Prospectus Supplement (including any amendments or supplements thereto), any Preliminary Prospectus Supplement, any Issuer Free Writing Prospectus or any Testing-the-Waters Communication, it being understood and agreed that the only such information furnished by the Underwriter consists of the information described in Section 9.3 hereof (collectively, the “</w:t>
      </w:r>
      <w:r>
        <w:rPr>
          <w:rFonts w:ascii="Times New Roman" w:hAnsi="Times New Roman"/>
          <w:b/>
          <w:color w:val="000000"/>
          <w:sz w:val="20"/>
          <w:u w:val="single"/>
        </w:rPr>
        <w:t>Underwriter Information</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2.1.2.       Each of the Registration Statement and any post-effective amendment thereto, at the time it became effective and at the date hereof, complied and will comply in all material respects with the Securities Act.</w:t>
      </w:r>
    </w:p>
    <w:p>
      <w:pPr>
        <w:pStyle w:val="TextBody"/>
        <w:bidi w:val="0"/>
        <w:jc w:val="both"/>
        <w:rPr>
          <w:rFonts w:ascii="Times New Roman" w:hAnsi="Times New Roman"/>
          <w:sz w:val="20"/>
        </w:rPr>
      </w:pPr>
      <w:r>
        <w:rPr>
          <w:rFonts w:ascii="Times New Roman" w:hAnsi="Times New Roman"/>
          <w:color w:val="000000"/>
          <w:sz w:val="20"/>
        </w:rPr>
        <w:t>2.1.3.       The prospectus in the form in which it was filed with the Commission in connection with the Initial Registration Statement is herein called the “</w:t>
      </w:r>
      <w:r>
        <w:rPr>
          <w:rFonts w:ascii="Times New Roman" w:hAnsi="Times New Roman"/>
          <w:b/>
          <w:color w:val="000000"/>
          <w:sz w:val="20"/>
          <w:u w:val="single"/>
        </w:rPr>
        <w:t>Base Prospectus</w:t>
      </w:r>
      <w:r>
        <w:rPr>
          <w:rFonts w:ascii="Times New Roman" w:hAnsi="Times New Roman"/>
          <w:color w:val="000000"/>
          <w:sz w:val="20"/>
        </w:rPr>
        <w:t>.” Each preliminary prospectus supplement to the Base Prospectus (including the Base Prospectus as so supplemented) that described the Securities and the Offering and omitted the Rule 430B Information and that was used prior to the filing of the final prospectus supplement referred to in the following paragraph is herein called a “</w:t>
      </w:r>
      <w:r>
        <w:rPr>
          <w:rFonts w:ascii="Times New Roman" w:hAnsi="Times New Roman"/>
          <w:b/>
          <w:color w:val="000000"/>
          <w:sz w:val="20"/>
          <w:u w:val="single"/>
        </w:rPr>
        <w:t>Preliminary Prospectus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2.1.4.       Promptly after the execution and delivery of this Agreement, the Company will prepare and file with the Commission a final prospectus supplement to the Base Prospectus relating to the Securities and the Offering in accordance with the provisions of Rule 430B and Rule 424(b) of the Securities Act Regulations. Such final prospectus supplement (including the Base Prospectus as so supplemented), in the form filed with the Commission pursuant to Rule 424(b) under the Securities Act is herein called the “</w:t>
      </w:r>
      <w:r>
        <w:rPr>
          <w:rFonts w:ascii="Times New Roman" w:hAnsi="Times New Roman"/>
          <w:b/>
          <w:color w:val="000000"/>
          <w:sz w:val="20"/>
          <w:u w:val="single"/>
        </w:rPr>
        <w:t>Prospectus</w:t>
      </w:r>
      <w:r>
        <w:rPr>
          <w:rFonts w:ascii="Times New Roman" w:hAnsi="Times New Roman"/>
          <w:color w:val="000000"/>
          <w:sz w:val="20"/>
        </w:rPr>
        <w:t>.” Any reference herein to the Base Prospectus, any Preliminary Prospectus or the Prospectus shall be deemed to refer to and include the documents incorporated by reference therein, pursuant to Item 12 of Form S-3 under the Securities Act as of the date of such prospectus.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2.2.          </w:t>
      </w:r>
      <w:r>
        <w:rPr>
          <w:rFonts w:ascii="Times New Roman" w:hAnsi="Times New Roman"/>
          <w:b/>
          <w:color w:val="000000"/>
          <w:sz w:val="20"/>
          <w:u w:val="single"/>
        </w:rPr>
        <w:t>Pricing Disclosure Package</w:t>
      </w:r>
      <w:r>
        <w:rPr>
          <w:rFonts w:ascii="Times New Roman" w:hAnsi="Times New Roman"/>
          <w:color w:val="000000"/>
          <w:sz w:val="20"/>
        </w:rPr>
        <w:t xml:space="preserve">. The Pricing Disclosure Package, as of the Applicable Time, did not, and as of the Closing Date (as defined below) and as of any Additional Closing Date (as defined below),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0"/>
          <w:u w:val="single"/>
        </w:rPr>
        <w:t>provided</w:t>
      </w:r>
      <w:r>
        <w:rPr>
          <w:rFonts w:ascii="Times New Roman" w:hAnsi="Times New Roman"/>
          <w:color w:val="000000"/>
          <w:sz w:val="20"/>
        </w:rPr>
        <w:t xml:space="preserve"> that the Company makes no representation or warranty with respect to any statements or omissions made in reliance upon and in conformity with the Underwriter Information.</w:t>
      </w:r>
    </w:p>
    <w:p>
      <w:pPr>
        <w:pStyle w:val="TextBody"/>
        <w:bidi w:val="0"/>
        <w:jc w:val="both"/>
        <w:rPr>
          <w:rFonts w:ascii="Times New Roman" w:hAnsi="Times New Roman"/>
          <w:sz w:val="20"/>
        </w:rPr>
      </w:pPr>
      <w:r>
        <w:rPr>
          <w:rFonts w:ascii="Times New Roman" w:hAnsi="Times New Roman"/>
          <w:color w:val="000000"/>
          <w:sz w:val="20"/>
        </w:rPr>
        <w:t xml:space="preserve">2.3.          </w:t>
      </w:r>
      <w:r>
        <w:rPr>
          <w:rFonts w:ascii="Times New Roman" w:hAnsi="Times New Roman"/>
          <w:b/>
          <w:color w:val="000000"/>
          <w:sz w:val="20"/>
          <w:u w:val="single"/>
        </w:rPr>
        <w:t>Final Prospectus Supplement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2.3.1.       Each of the Final Prospectus Supplement and any amendments or supplements thereto, as of its date, as of the time it is filed with the Commission pursuant to Rule 424(b) under the Securities Act,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0"/>
          <w:u w:val="single"/>
        </w:rPr>
        <w:t>provided</w:t>
      </w:r>
      <w:r>
        <w:rPr>
          <w:rFonts w:ascii="Times New Roman" w:hAnsi="Times New Roman"/>
          <w:color w:val="000000"/>
          <w:sz w:val="20"/>
        </w:rPr>
        <w:t xml:space="preserve"> that the Company makes no representation or warranty with respect to any statements or omissions made in reliance upon and in conformity with the Underwriter Information.</w:t>
      </w:r>
    </w:p>
    <w:p>
      <w:pPr>
        <w:pStyle w:val="TextBody"/>
        <w:bidi w:val="0"/>
        <w:jc w:val="both"/>
        <w:rPr>
          <w:rFonts w:ascii="Times New Roman" w:hAnsi="Times New Roman"/>
          <w:color w:val="000000"/>
          <w:sz w:val="20"/>
        </w:rPr>
      </w:pPr>
      <w:r>
        <w:rPr>
          <w:rFonts w:ascii="Times New Roman" w:hAnsi="Times New Roman"/>
          <w:color w:val="000000"/>
          <w:sz w:val="20"/>
        </w:rPr>
        <w:t>2.3.2.       Each of the Final Prospectus Supplement and any amendments or supplements thereto, at the time it is filed with the Commission pursuant to Rule 424(b) under the Securities Act, as of the Closing Date and as of any Additional Closing Date, as the case may be, will comply in all material respects with the Securities Act.</w:t>
      </w:r>
    </w:p>
    <w:p>
      <w:pPr>
        <w:pStyle w:val="TextBody"/>
        <w:bidi w:val="0"/>
        <w:jc w:val="both"/>
        <w:rPr>
          <w:rFonts w:ascii="Times New Roman" w:hAnsi="Times New Roman"/>
          <w:sz w:val="20"/>
        </w:rPr>
      </w:pPr>
      <w:r>
        <w:rPr>
          <w:rFonts w:ascii="Times New Roman" w:hAnsi="Times New Roman"/>
          <w:color w:val="000000"/>
          <w:sz w:val="20"/>
        </w:rPr>
        <w:t xml:space="preserve">2.4.          </w:t>
      </w:r>
      <w:r>
        <w:rPr>
          <w:rFonts w:ascii="Times New Roman" w:hAnsi="Times New Roman"/>
          <w:b/>
          <w:color w:val="000000"/>
          <w:sz w:val="20"/>
          <w:u w:val="single"/>
        </w:rPr>
        <w:t>Preliminary Prospectus Supplements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2.4.1.        Each Preliminary Prospectus Supplement, when considered together with any amendments or supplements thereto, as of the time it was filed with the Commission pursuant to Rule 424(a) under the Securities Act, if any, did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0"/>
          <w:u w:val="single"/>
        </w:rPr>
        <w:t>provided</w:t>
      </w:r>
      <w:r>
        <w:rPr>
          <w:rFonts w:ascii="Times New Roman" w:hAnsi="Times New Roman"/>
          <w:color w:val="000000"/>
          <w:sz w:val="20"/>
        </w:rPr>
        <w:t xml:space="preserve"> that the Company makes no representation or warranty with respect to any statements or omissions made in reliance upon and in conformity with the Underwriter Information.</w:t>
      </w:r>
    </w:p>
    <w:p>
      <w:pPr>
        <w:pStyle w:val="TextBody"/>
        <w:bidi w:val="0"/>
        <w:jc w:val="both"/>
        <w:rPr>
          <w:rFonts w:ascii="Times New Roman" w:hAnsi="Times New Roman"/>
          <w:color w:val="000000"/>
          <w:sz w:val="20"/>
        </w:rPr>
      </w:pPr>
      <w:r>
        <w:rPr>
          <w:rFonts w:ascii="Times New Roman" w:hAnsi="Times New Roman"/>
          <w:color w:val="000000"/>
          <w:sz w:val="20"/>
        </w:rPr>
        <w:t>2.4.2.        Each Preliminary Prospectus Supplement, when considered together with any amendments or supplements thereto, at the time it was filed with the Commission pursuant to Rule 424(a) under the Securities Act, if any, complied in all material respects with the Securities Act.</w:t>
      </w:r>
    </w:p>
    <w:p>
      <w:pPr>
        <w:pStyle w:val="TextBody"/>
        <w:bidi w:val="0"/>
        <w:jc w:val="both"/>
        <w:rPr>
          <w:rFonts w:ascii="Times New Roman" w:hAnsi="Times New Roman"/>
          <w:sz w:val="20"/>
        </w:rPr>
      </w:pPr>
      <w:r>
        <w:rPr>
          <w:rFonts w:ascii="Times New Roman" w:hAnsi="Times New Roman"/>
          <w:color w:val="000000"/>
          <w:sz w:val="20"/>
        </w:rPr>
        <w:t xml:space="preserve">2.5.          </w:t>
      </w:r>
      <w:r>
        <w:rPr>
          <w:rFonts w:ascii="Times New Roman" w:hAnsi="Times New Roman"/>
          <w:b/>
          <w:color w:val="000000"/>
          <w:sz w:val="20"/>
          <w:u w:val="single"/>
        </w:rPr>
        <w:t>Issuer Free Writing Prospectuses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2.5.1.        Each Issuer Free Writing Prospectus, when considered together with the Preliminary Prospectus Supplement accompanying, or delivered prior to the delivery of, such Issuer Free Writing Prospectus, did not, as of the date of such Issuer Free Writing Prospectus, and will not, as of the Closing Date and as of any Additional Closing Date, as the case may be,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0"/>
          <w:u w:val="single"/>
        </w:rPr>
        <w:t>provided</w:t>
      </w:r>
      <w:r>
        <w:rPr>
          <w:rFonts w:ascii="Times New Roman" w:hAnsi="Times New Roman"/>
          <w:color w:val="000000"/>
          <w:sz w:val="20"/>
        </w:rPr>
        <w:t xml:space="preserve"> that the Company makes no representation or warranty with respect to any statements or omissions made in reliance upon and in conformity with the Underwriter Information.</w:t>
      </w:r>
    </w:p>
    <w:p>
      <w:pPr>
        <w:pStyle w:val="TextBody"/>
        <w:bidi w:val="0"/>
        <w:jc w:val="both"/>
        <w:rPr>
          <w:rFonts w:ascii="Times New Roman" w:hAnsi="Times New Roman"/>
          <w:color w:val="000000"/>
          <w:sz w:val="20"/>
        </w:rPr>
      </w:pPr>
      <w:r>
        <w:rPr>
          <w:rFonts w:ascii="Times New Roman" w:hAnsi="Times New Roman"/>
          <w:color w:val="000000"/>
          <w:sz w:val="20"/>
        </w:rPr>
        <w:t>2.5.2.        Each Issuer Free Writing Prospectus, at the time of filing with the Commission, complied or will comply in all material respects with the Securities Act.</w:t>
      </w:r>
    </w:p>
    <w:p>
      <w:pPr>
        <w:pStyle w:val="TextBody"/>
        <w:bidi w:val="0"/>
        <w:jc w:val="both"/>
        <w:rPr>
          <w:rFonts w:ascii="Times New Roman" w:hAnsi="Times New Roman"/>
          <w:sz w:val="20"/>
        </w:rPr>
      </w:pPr>
      <w:r>
        <w:rPr>
          <w:rFonts w:ascii="Times New Roman" w:hAnsi="Times New Roman"/>
          <w:color w:val="000000"/>
          <w:sz w:val="20"/>
        </w:rPr>
        <w:t>2.5.3.        The Company has filed, or will file, with the Commission, within the time period specified in Rule 433(d) under the Securities Act, any Free Writing Prospectus it is required to file pursuant to Rule 433(d) under the Securities Act. The Company has made available any Bona Fide Electronic Road Show used by it in compliance with Rule 433(d)(8)(ii) under the Securities Act such that no filing of any “road show” (as defined in Rule 433(h) under the Securities Act) (“</w:t>
      </w:r>
      <w:r>
        <w:rPr>
          <w:rFonts w:ascii="Times New Roman" w:hAnsi="Times New Roman"/>
          <w:b/>
          <w:color w:val="000000"/>
          <w:sz w:val="20"/>
          <w:u w:val="single"/>
        </w:rPr>
        <w:t>Road Show</w:t>
      </w:r>
      <w:r>
        <w:rPr>
          <w:rFonts w:ascii="Times New Roman" w:hAnsi="Times New Roman"/>
          <w:color w:val="000000"/>
          <w:sz w:val="20"/>
        </w:rPr>
        <w:t>”) is required in connection with the offering of the Securities.</w:t>
      </w:r>
    </w:p>
    <w:p>
      <w:pPr>
        <w:pStyle w:val="TextBody"/>
        <w:bidi w:val="0"/>
        <w:jc w:val="both"/>
        <w:rPr>
          <w:rFonts w:ascii="Times New Roman" w:hAnsi="Times New Roman"/>
          <w:color w:val="000000"/>
          <w:sz w:val="20"/>
        </w:rPr>
      </w:pPr>
      <w:r>
        <w:rPr>
          <w:rFonts w:ascii="Times New Roman" w:hAnsi="Times New Roman"/>
          <w:color w:val="000000"/>
          <w:sz w:val="20"/>
        </w:rPr>
        <w:t xml:space="preserve">2.5.4.        Except for the Issuer Free Writing Prospectuses, if any, set forth in Schedule 2.5.4 hereto and electronic road shows, if any, each furnished to the Underwriter before first use, the Company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has not used, authorized the use of, referred to or participated in the planning for use of, and will not, without the prior consent of the Underwriter, use, authorize the use of, refer to or participate in the planning for use of, any Free Writing Prospectus.</w:t>
      </w:r>
    </w:p>
    <w:p>
      <w:pPr>
        <w:pStyle w:val="TextBody"/>
        <w:bidi w:val="0"/>
        <w:jc w:val="both"/>
        <w:rPr>
          <w:rFonts w:ascii="Times New Roman" w:hAnsi="Times New Roman"/>
          <w:sz w:val="20"/>
        </w:rPr>
      </w:pPr>
      <w:r>
        <w:rPr>
          <w:rFonts w:ascii="Times New Roman" w:hAnsi="Times New Roman"/>
          <w:color w:val="000000"/>
          <w:sz w:val="20"/>
        </w:rPr>
        <w:t xml:space="preserve">2.6. </w:t>
      </w:r>
      <w:r>
        <w:rPr>
          <w:rFonts w:ascii="Times New Roman" w:hAnsi="Times New Roman"/>
          <w:b/>
          <w:color w:val="000000"/>
          <w:sz w:val="20"/>
          <w:u w:val="single"/>
        </w:rPr>
        <w:t>Testing-the-Waters Communications</w:t>
      </w:r>
      <w:r>
        <w:rPr>
          <w:rFonts w:ascii="Times New Roman" w:hAnsi="Times New Roman"/>
          <w:color w:val="000000"/>
          <w:sz w:val="20"/>
        </w:rPr>
        <w:t>. The Company has not (x) alone engaged in any Testing-the-Waters Communication other than Testing-the-Waters Communications with the consent of the Underwriter or any underwriter that the Company has previously identified to the Underwriter with entities that are qualified institutional buyers within the meaning of Rule 144A under the Securities Act or institutions that are accredited investors within the meaning of Rule 501 under the Securities Act, and (y) authorized anyone other than the Underwriter, or any underwriter that the Company has previously identified to the Underwriter, to engage in Testing-the-Waters Communications.</w:t>
      </w:r>
    </w:p>
    <w:p>
      <w:pPr>
        <w:pStyle w:val="TextBody"/>
        <w:bidi w:val="0"/>
        <w:jc w:val="both"/>
        <w:rPr>
          <w:rFonts w:ascii="Times New Roman" w:hAnsi="Times New Roman"/>
          <w:sz w:val="20"/>
        </w:rPr>
      </w:pPr>
      <w:r>
        <w:rPr>
          <w:rFonts w:ascii="Times New Roman" w:hAnsi="Times New Roman"/>
          <w:color w:val="000000"/>
          <w:sz w:val="20"/>
        </w:rPr>
        <w:t>2.7.          </w:t>
      </w:r>
      <w:r>
        <w:rPr>
          <w:rFonts w:ascii="Times New Roman" w:hAnsi="Times New Roman"/>
          <w:b/>
          <w:color w:val="000000"/>
          <w:sz w:val="20"/>
          <w:u w:val="single"/>
        </w:rPr>
        <w:t>No Other Disclosure Materials</w:t>
      </w:r>
      <w:r>
        <w:rPr>
          <w:rFonts w:ascii="Times New Roman" w:hAnsi="Times New Roman"/>
          <w:color w:val="000000"/>
          <w:sz w:val="20"/>
        </w:rPr>
        <w:t>. Other than the Registration Statement, the Pricing Disclosure Package, the Final Prospectus Supplement and the Road Show, the Company (including its agents and representatives, other than the Underwriter or any underwriter that the Company has previously identified to the Underwriter, as to which no representation or warranty is given) has not, directly or indirectly, distributed, prepared, used, authorized, approved or referred to, and will not distribute, prepare, use, authorize, approve or refer to, any offering material in connection with the offering and sale of the Securities.</w:t>
      </w:r>
    </w:p>
    <w:p>
      <w:pPr>
        <w:pStyle w:val="TextBody"/>
        <w:bidi w:val="0"/>
        <w:jc w:val="both"/>
        <w:rPr>
          <w:rFonts w:ascii="Times New Roman" w:hAnsi="Times New Roman"/>
          <w:sz w:val="20"/>
        </w:rPr>
      </w:pPr>
      <w:r>
        <w:rPr>
          <w:rFonts w:ascii="Times New Roman" w:hAnsi="Times New Roman"/>
          <w:color w:val="000000"/>
          <w:sz w:val="20"/>
        </w:rPr>
        <w:t>2.8.          </w:t>
      </w:r>
      <w:r>
        <w:rPr>
          <w:rFonts w:ascii="Times New Roman" w:hAnsi="Times New Roman"/>
          <w:b/>
          <w:color w:val="000000"/>
          <w:sz w:val="20"/>
          <w:u w:val="single"/>
        </w:rPr>
        <w:t>Ineligible Issuer</w:t>
      </w:r>
      <w:r>
        <w:rPr>
          <w:rFonts w:ascii="Times New Roman" w:hAnsi="Times New Roman"/>
          <w:color w:val="000000"/>
          <w:sz w:val="20"/>
        </w:rPr>
        <w:t>. At the time of filing of the Registration Statement and any amendment thereto and at the date hereof, the Company was not and is not an “ineligible issuer” (as defined in Rule 405 under the Securities Act).</w:t>
      </w:r>
    </w:p>
    <w:p>
      <w:pPr>
        <w:pStyle w:val="TextBody"/>
        <w:bidi w:val="0"/>
        <w:jc w:val="both"/>
        <w:rPr>
          <w:rFonts w:ascii="Times New Roman" w:hAnsi="Times New Roman"/>
          <w:sz w:val="20"/>
        </w:rPr>
      </w:pPr>
      <w:r>
        <w:rPr>
          <w:rFonts w:ascii="Times New Roman" w:hAnsi="Times New Roman"/>
          <w:color w:val="000000"/>
          <w:sz w:val="20"/>
        </w:rPr>
        <w:t xml:space="preserve">2.9. </w:t>
      </w:r>
      <w:r>
        <w:rPr>
          <w:rFonts w:ascii="Times New Roman" w:hAnsi="Times New Roman"/>
          <w:b/>
          <w:color w:val="000000"/>
          <w:sz w:val="20"/>
          <w:u w:val="single"/>
        </w:rPr>
        <w:t>Smaller Reporting Company</w:t>
      </w:r>
      <w:r>
        <w:rPr>
          <w:rFonts w:ascii="Times New Roman" w:hAnsi="Times New Roman"/>
          <w:color w:val="000000"/>
          <w:sz w:val="20"/>
        </w:rPr>
        <w:t>. 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 “smaller reporting company,” as defined in Rule 12b-2 under the Exchange Act.</w:t>
      </w:r>
    </w:p>
    <w:p>
      <w:pPr>
        <w:pStyle w:val="TextBody"/>
        <w:bidi w:val="0"/>
        <w:jc w:val="both"/>
        <w:rPr>
          <w:rFonts w:ascii="Times New Roman" w:hAnsi="Times New Roman"/>
          <w:sz w:val="20"/>
        </w:rPr>
      </w:pPr>
      <w:r>
        <w:rPr>
          <w:rFonts w:ascii="Times New Roman" w:hAnsi="Times New Roman"/>
          <w:color w:val="000000"/>
          <w:sz w:val="20"/>
        </w:rPr>
        <w:t>2.10.        </w:t>
      </w:r>
      <w:r>
        <w:rPr>
          <w:rFonts w:ascii="Times New Roman" w:hAnsi="Times New Roman"/>
          <w:b/>
          <w:color w:val="000000"/>
          <w:sz w:val="20"/>
          <w:u w:val="single"/>
        </w:rPr>
        <w:t>Due Authorization</w:t>
      </w:r>
      <w:r>
        <w:rPr>
          <w:rFonts w:ascii="Times New Roman" w:hAnsi="Times New Roman"/>
          <w:color w:val="000000"/>
          <w:sz w:val="20"/>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jc w:val="both"/>
        <w:rPr>
          <w:rFonts w:ascii="Times New Roman" w:hAnsi="Times New Roman"/>
          <w:sz w:val="20"/>
        </w:rPr>
      </w:pPr>
      <w:r>
        <w:rPr>
          <w:rFonts w:ascii="Times New Roman" w:hAnsi="Times New Roman"/>
          <w:color w:val="000000"/>
          <w:sz w:val="20"/>
        </w:rPr>
        <w:t>2.11.        </w:t>
      </w:r>
      <w:r>
        <w:rPr>
          <w:rFonts w:ascii="Times New Roman" w:hAnsi="Times New Roman"/>
          <w:b/>
          <w:color w:val="000000"/>
          <w:sz w:val="20"/>
          <w:u w:val="single"/>
        </w:rPr>
        <w:t>Underwriting Agreement</w:t>
      </w:r>
      <w:r>
        <w:rPr>
          <w:rFonts w:ascii="Times New Roman" w:hAnsi="Times New Roman"/>
          <w:color w:val="000000"/>
          <w:sz w:val="20"/>
        </w:rPr>
        <w:t>. This Agreement has been duly authorized, executed and delivered by the Company and, assuming the due authorization, execution and delivery by the other parties hereto, constitutes the legal, valid and binding obligation of the Company, enforceable against the Company in accordance with its terms, except as (i) the enforcement may be limited by bankruptcy, insolvency, fraudulent transfer, reorganization, moratorium or other similar laws relating to or affecting the rights and remedies of creditors generally or by general equitable principles (whether considered in a proceeding at law or in equity) relating to enforceability and (ii) rights to indemnification and contribution hereunder may be limited by applicable law and public policy considerations.</w:t>
      </w:r>
    </w:p>
    <w:p>
      <w:pPr>
        <w:pStyle w:val="TextBody"/>
        <w:bidi w:val="0"/>
        <w:jc w:val="both"/>
        <w:rPr>
          <w:rFonts w:ascii="Times New Roman" w:hAnsi="Times New Roman"/>
          <w:sz w:val="20"/>
        </w:rPr>
      </w:pPr>
      <w:r>
        <w:rPr>
          <w:rFonts w:ascii="Times New Roman" w:hAnsi="Times New Roman"/>
          <w:color w:val="000000"/>
          <w:sz w:val="20"/>
        </w:rPr>
        <w:t>2.12.        </w:t>
      </w:r>
      <w:r>
        <w:rPr>
          <w:rFonts w:ascii="Times New Roman" w:hAnsi="Times New Roman"/>
          <w:b/>
          <w:color w:val="000000"/>
          <w:sz w:val="20"/>
          <w:u w:val="single"/>
        </w:rPr>
        <w:t>No Material Adverse Change</w:t>
      </w:r>
      <w:r>
        <w:rPr>
          <w:rFonts w:ascii="Times New Roman" w:hAnsi="Times New Roman"/>
          <w:color w:val="000000"/>
          <w:sz w:val="20"/>
        </w:rPr>
        <w:t xml:space="preserve">. Except as otherwise disclosed in the Registration Statement, the Pricing Disclosure Package and the Final Prospectus Supplement (in each case exclusive of any amendment or supplement thereto), since the date of the most recent financial statements included or incorporated by reference in the Registration Statement, the Pricing Disclosure Package and the Final Prospectus Supplement: (i) there has been no material adverse change, or any development that could result in a material adverse change, in or affecting the condition (financial or otherwise), earnings, business, properties, management, financial position, stockholders’ equity, or results of operations, whether or not arising from transactions in the ordinary course of business, of the Company and its subsidiaries, considered as a whole; (ii) there has been no change in the capital stock (other than (A) the issuance of shares of Common Stock upon the exercise or settlement (including any “net” or “cashless” exercises or settlements) of stock options, restricted stock units or warrants described as outstanding, (B) the grant of options and awards under existing equity incentive plans, or (C) in each case, as described in the Registration Statement, the Pricing Disclosure Package and the Final Prospectus Supplement), or material change in the short-term debt or long-term debt of the Company or any of its subsidiaries, considered as a whole; and (iii) the Company and its subsidiaries, considered as a whole, have not incurred any material liability or obligation, indirect, direct or contingent (whether or not in the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ordinary course of business); nor entered into any transaction or agreement (whether or not in the ordinary course of business) that is material to the Company and its subsidiaries, considered as a whole; and (iv) there has been no dividend or distribution of any kind declared, set aside for payment, paid or made by the Company or, except for dividends paid to the Company or other subsidiaries of the Company, any of its subsidiaries on any class of capital stock or repurchase or redemption by the Company or any of its subsidiaries of any class of capital stock.</w:t>
      </w:r>
    </w:p>
    <w:p>
      <w:pPr>
        <w:pStyle w:val="TextBody"/>
        <w:bidi w:val="0"/>
        <w:jc w:val="both"/>
        <w:rPr>
          <w:rFonts w:ascii="Times New Roman" w:hAnsi="Times New Roman"/>
          <w:sz w:val="20"/>
        </w:rPr>
      </w:pPr>
      <w:r>
        <w:rPr>
          <w:rFonts w:ascii="Times New Roman" w:hAnsi="Times New Roman"/>
          <w:color w:val="000000"/>
          <w:sz w:val="20"/>
        </w:rPr>
        <w:t>2.13.        </w:t>
      </w:r>
      <w:r>
        <w:rPr>
          <w:rFonts w:ascii="Times New Roman" w:hAnsi="Times New Roman"/>
          <w:b/>
          <w:color w:val="000000"/>
          <w:sz w:val="20"/>
          <w:u w:val="single"/>
        </w:rPr>
        <w:t>Organization and Good Standing of the Company and its Subsidiaries</w:t>
      </w:r>
      <w:r>
        <w:rPr>
          <w:rFonts w:ascii="Times New Roman" w:hAnsi="Times New Roman"/>
          <w:color w:val="000000"/>
          <w:sz w:val="20"/>
        </w:rPr>
        <w:t>. The Company and each of its subsidiaries have been duly incorporated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(corporate and other) necessary to own, lease or hold their respective properties and to conduct the businesses in which they are engaged as described in the Registration Statement, the Pricing Disclosure Package and the Final Prospectus Supplement, except where the failure to be in good standing, to be so qualified or to have such power or authority could not, individually or in the aggregate, have a material adverse effect on the condition (financial or otherwise), earnings, business, properties, management, financial position, stockholders’ equity, or results of operations of the Company and its subsidiaries, considered as a whole, or adversely affect the performance by the Company of its obligations under this Agreement (a “</w:t>
      </w:r>
      <w:r>
        <w:rPr>
          <w:rFonts w:ascii="Times New Roman" w:hAnsi="Times New Roman"/>
          <w:b/>
          <w:color w:val="000000"/>
          <w:sz w:val="20"/>
          <w:u w:val="single"/>
        </w:rPr>
        <w:t>Material Adverse Effect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2.14. </w:t>
      </w:r>
      <w:r>
        <w:rPr>
          <w:rFonts w:ascii="Times New Roman" w:hAnsi="Times New Roman"/>
          <w:b/>
          <w:color w:val="000000"/>
          <w:sz w:val="20"/>
          <w:u w:val="single"/>
        </w:rPr>
        <w:t>Capitalization</w:t>
      </w:r>
      <w:r>
        <w:rPr>
          <w:rFonts w:ascii="Times New Roman" w:hAnsi="Times New Roman"/>
          <w:color w:val="000000"/>
          <w:sz w:val="20"/>
        </w:rPr>
        <w:t>. The capitalization of the Company is as set forth in the Registration Statement, the Pricing Disclosure Package and the Final Prospectus Supplement under the heading “Capitalization”. All of the outstanding capital stock of the Company has been duly authorized and validly issued and is fully paid and non-assessable. The Closing Shares and the Option Shares have been duly authorized and, when issued and paid for as contemplated herein, will be validly issued, fully paid and non-assessable; the holders thereof are not and will not be subject to personal liability by reason of being such holders; the Closing Shares and the Option Shares are not and will not be subject to the preemptive rights of any holders of any security of the Company or similar contractual rights granted by the Company; and all corporate action required to be taken for the authorization, issuance and sale of the Closing Shares and the Option Shares has been duly and validly taken. None of the outstanding Common Stock of the Company were issued in violation of any preemptive rights, rights of first refusal or other similar rights to subscribe for or purchase securities of the Company. Except as disclosed in the Registration Statement, the Pricing Disclosure Package and the Final Prospectus Supplement, there are no authorized or outstanding options, warrants, preemptive rights, rights of first refusal or other rights to acquire, or instruments convertible into or exchangeable or exercisable for, any capital stock of, or other equity interest in, the Company or any of its subsidiaries. All of the outstanding shares of, or other equity interest in, each of the Company’s subsidiaries (i) have been duly authorized and validly issued, (ii) are fully paid and non-assessable and (iii) are owned by the Company, directly or through the Company’s subsidiaries, free and clear of any security interest, mortgage, pledge, lien, encumbrance, charge, claim or restriction on voting or transfer (collectively, “</w:t>
      </w:r>
      <w:r>
        <w:rPr>
          <w:rFonts w:ascii="Times New Roman" w:hAnsi="Times New Roman"/>
          <w:b/>
          <w:color w:val="000000"/>
          <w:sz w:val="20"/>
          <w:u w:val="single"/>
        </w:rPr>
        <w:t>Liens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2.15. </w:t>
      </w:r>
      <w:r>
        <w:rPr>
          <w:rFonts w:ascii="Times New Roman" w:hAnsi="Times New Roman"/>
          <w:b/>
          <w:color w:val="000000"/>
          <w:sz w:val="20"/>
          <w:u w:val="single"/>
        </w:rPr>
        <w:t>Common Stock Incentive Plans</w:t>
      </w:r>
      <w:r>
        <w:rPr>
          <w:rFonts w:ascii="Times New Roman" w:hAnsi="Times New Roman"/>
          <w:color w:val="000000"/>
          <w:sz w:val="20"/>
        </w:rPr>
        <w:t>. With respect to the Common Stock options (the “</w:t>
      </w:r>
      <w:r>
        <w:rPr>
          <w:rFonts w:ascii="Times New Roman" w:hAnsi="Times New Roman"/>
          <w:b/>
          <w:color w:val="000000"/>
          <w:sz w:val="20"/>
          <w:u w:val="single"/>
        </w:rPr>
        <w:t>Stock Options</w:t>
      </w:r>
      <w:r>
        <w:rPr>
          <w:rFonts w:ascii="Times New Roman" w:hAnsi="Times New Roman"/>
          <w:color w:val="000000"/>
          <w:sz w:val="20"/>
        </w:rPr>
        <w:t>”) granted pursuant to the Common Stock-based compensation plans of the Company and its subsidiaries (the “</w:t>
      </w:r>
      <w:r>
        <w:rPr>
          <w:rFonts w:ascii="Times New Roman" w:hAnsi="Times New Roman"/>
          <w:b/>
          <w:color w:val="000000"/>
          <w:sz w:val="20"/>
          <w:u w:val="single"/>
        </w:rPr>
        <w:t>Company Common Stock Incentive Plans</w:t>
      </w:r>
      <w:r>
        <w:rPr>
          <w:rFonts w:ascii="Times New Roman" w:hAnsi="Times New Roman"/>
          <w:color w:val="000000"/>
          <w:sz w:val="20"/>
        </w:rPr>
        <w:t>”), (i) each Stock Option intended to qualify as an “incentive stock option” under Section 422 of the Internal Revenue Code of 1986, as amended (the “</w:t>
      </w:r>
      <w:r>
        <w:rPr>
          <w:rFonts w:ascii="Times New Roman" w:hAnsi="Times New Roman"/>
          <w:b/>
          <w:color w:val="000000"/>
          <w:sz w:val="20"/>
          <w:u w:val="single"/>
        </w:rPr>
        <w:t>Code</w:t>
      </w:r>
      <w:r>
        <w:rPr>
          <w:rFonts w:ascii="Times New Roman" w:hAnsi="Times New Roman"/>
          <w:color w:val="000000"/>
          <w:sz w:val="20"/>
        </w:rPr>
        <w:t>”), so qualifies, (ii) each grant of a Stock Option was duly authorized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to the Company’s knowledge, was duly executed and delivered by each party thereto, (iii) each such grant was made in all material respects in accordance with the terms of the Company Common Stock Incentive Plans, and (iv) each such grant was properly accounted for in accordance with United States generally accepted accounting principles applied on a consistent basis during the periods involved (“</w:t>
      </w:r>
      <w:r>
        <w:rPr>
          <w:rFonts w:ascii="Times New Roman" w:hAnsi="Times New Roman"/>
          <w:b/>
          <w:color w:val="000000"/>
          <w:sz w:val="20"/>
          <w:u w:val="single"/>
        </w:rPr>
        <w:t>GAAP</w:t>
      </w:r>
      <w:r>
        <w:rPr>
          <w:rFonts w:ascii="Times New Roman" w:hAnsi="Times New Roman"/>
          <w:color w:val="000000"/>
          <w:sz w:val="20"/>
        </w:rPr>
        <w:t>”) in the financial statements (including the related notes) of the Company.</w:t>
      </w:r>
    </w:p>
    <w:p>
      <w:pPr>
        <w:pStyle w:val="TextBody"/>
        <w:bidi w:val="0"/>
        <w:jc w:val="both"/>
        <w:rPr>
          <w:rFonts w:ascii="Times New Roman" w:hAnsi="Times New Roman"/>
          <w:sz w:val="20"/>
        </w:rPr>
      </w:pPr>
      <w:r>
        <w:rPr>
          <w:rFonts w:ascii="Times New Roman" w:hAnsi="Times New Roman"/>
          <w:color w:val="000000"/>
          <w:sz w:val="20"/>
        </w:rPr>
        <w:t xml:space="preserve">2.16. </w:t>
      </w:r>
      <w:r>
        <w:rPr>
          <w:rFonts w:ascii="Times New Roman" w:hAnsi="Times New Roman"/>
          <w:b/>
          <w:color w:val="000000"/>
          <w:sz w:val="20"/>
          <w:u w:val="single"/>
        </w:rPr>
        <w:t>No Violation or Default</w:t>
      </w:r>
      <w:r>
        <w:rPr>
          <w:rFonts w:ascii="Times New Roman" w:hAnsi="Times New Roman"/>
          <w:color w:val="000000"/>
          <w:sz w:val="20"/>
        </w:rPr>
        <w:t xml:space="preserve">. Neither the Company nor any of its subsidiaries is: (i) in violation of, in the case of the Company, its charter, by-laws or similar organizational documents; (ii) in default, and no event has occurred that, with notice or lapse of time or both, would constitute such a default, in the due performance or observance of any term, covenant, condition or other obligation contained in any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indenture, mortgage, deed of trust, loan agreement, contract, undertaking or other agreement or instrument to which the Company or any of its subsidiaries is a party or by which the Company or any of its subsidiaries is bound or to which any property, right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or any of their respective properties or assets, except, in the case of clauses (ii) and (iii) above, for any such default or violation that would not, individually or in the aggregate, have a Material Adverse Effect.</w:t>
      </w:r>
    </w:p>
    <w:p>
      <w:pPr>
        <w:pStyle w:val="TextBody"/>
        <w:bidi w:val="0"/>
        <w:jc w:val="both"/>
        <w:rPr>
          <w:rFonts w:ascii="Times New Roman" w:hAnsi="Times New Roman"/>
          <w:sz w:val="20"/>
        </w:rPr>
      </w:pPr>
      <w:r>
        <w:rPr>
          <w:rFonts w:ascii="Times New Roman" w:hAnsi="Times New Roman"/>
          <w:color w:val="000000"/>
          <w:sz w:val="20"/>
        </w:rPr>
        <w:t xml:space="preserve">2.17. </w:t>
      </w:r>
      <w:r>
        <w:rPr>
          <w:rFonts w:ascii="Times New Roman" w:hAnsi="Times New Roman"/>
          <w:b/>
          <w:color w:val="000000"/>
          <w:sz w:val="20"/>
          <w:u w:val="single"/>
        </w:rPr>
        <w:t>No Conflicts</w:t>
      </w:r>
      <w:r>
        <w:rPr>
          <w:rFonts w:ascii="Times New Roman" w:hAnsi="Times New Roman"/>
          <w:color w:val="000000"/>
          <w:sz w:val="20"/>
        </w:rPr>
        <w:t>. None of (i) the execution, delivery and performance of this Agreement by the Company, (ii) the issuance, sale and delivery of the Securities or the Warrant Shares, (iii) the application of the proceeds of the offering as described under “Use of Proceeds” in the Registration Statement, the Pricing Disclosure Package and the Final Prospectus Supplement, or (iv) the consummation of the transactions contemplated herein will: (x) result in any violation of the terms or provisions of the charter, by-laws or similar organizational documents of the Company or the organizational documents of any of its subsidiaries; (y) conflict with, result in a breach or violation of, or require the approval of stockholders, members or partners or any approval or consent of any persons under, any of the terms or provisions of,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note agreement, contract, undertaking or other agreement, obligation, condition, covenant or instrument to which the Company or any of its subsidiaries is a party or by which the Company or any of its subsidiaries is bound or to which any property, right or asset of the Company or any of its subsidiaries is subject; or (z) result in the violation of any law, statute, judgment, order, rule, decree or regulation applicable to the Company or any of its subsidiaries of any court, arbitrator, governmental or regulatory authority, agency or body having jurisdiction over the Company or any of its subsidiaries or any of their respective properties or assets.</w:t>
      </w:r>
    </w:p>
    <w:p>
      <w:pPr>
        <w:pStyle w:val="TextBody"/>
        <w:bidi w:val="0"/>
        <w:jc w:val="both"/>
        <w:rPr>
          <w:rFonts w:ascii="Times New Roman" w:hAnsi="Times New Roman"/>
          <w:sz w:val="20"/>
        </w:rPr>
      </w:pPr>
      <w:r>
        <w:rPr>
          <w:rFonts w:ascii="Times New Roman" w:hAnsi="Times New Roman"/>
          <w:color w:val="000000"/>
          <w:sz w:val="20"/>
        </w:rPr>
        <w:t>2.18.        </w:t>
      </w:r>
      <w:r>
        <w:rPr>
          <w:rFonts w:ascii="Times New Roman" w:hAnsi="Times New Roman"/>
          <w:b/>
          <w:color w:val="000000"/>
          <w:sz w:val="20"/>
          <w:u w:val="single"/>
        </w:rPr>
        <w:t>No Consents Required</w:t>
      </w:r>
      <w:r>
        <w:rPr>
          <w:rFonts w:ascii="Times New Roman" w:hAnsi="Times New Roman"/>
          <w:color w:val="000000"/>
          <w:sz w:val="20"/>
        </w:rPr>
        <w:t>. No consent, approval, authorization, order, filing, registration, license or qualification of or with any court, arbitrator, or governmental or regulatory authority, agency, or body is required for (i) the execution, delivery and performance by the Company of this Agreement; (ii) the issuance, sale and delivery of the Securities ; or (iii) the consummation of the transactions contemplated herein, except for such consents, approvals, authorizations, orders, filings, registrations or qualifications as (x) have already been obtained or made and are still in full force and effect, (y) may be required by FINRA and The Nasdaq Capital Market, and (z) may be required under applicable state securities laws in connection with the purchase, distribution and resale of the Securities by the Underwriter.</w:t>
      </w:r>
    </w:p>
    <w:p>
      <w:pPr>
        <w:pStyle w:val="TextBody"/>
        <w:bidi w:val="0"/>
        <w:jc w:val="both"/>
        <w:rPr>
          <w:rFonts w:ascii="Times New Roman" w:hAnsi="Times New Roman"/>
          <w:sz w:val="20"/>
        </w:rPr>
      </w:pPr>
      <w:r>
        <w:rPr>
          <w:rFonts w:ascii="Times New Roman" w:hAnsi="Times New Roman"/>
          <w:color w:val="000000"/>
          <w:sz w:val="20"/>
        </w:rPr>
        <w:t>2.19.        </w:t>
      </w:r>
      <w:r>
        <w:rPr>
          <w:rFonts w:ascii="Times New Roman" w:hAnsi="Times New Roman"/>
          <w:b/>
          <w:color w:val="000000"/>
          <w:sz w:val="20"/>
          <w:u w:val="single"/>
        </w:rPr>
        <w:t>Independent Accountants</w:t>
      </w:r>
      <w:r>
        <w:rPr>
          <w:rFonts w:ascii="Times New Roman" w:hAnsi="Times New Roman"/>
          <w:color w:val="000000"/>
          <w:sz w:val="20"/>
        </w:rPr>
        <w:t>. Bush &amp; Associates CPA LLC and Marcum LLP, both of which expressed their opinion with respect to the financial statements (which term as used in this Agreement includes the related notes thereto) and supporting schedules included in the Registration Statement, the Pricing Disclosure Package and the Final Prospectus Supplement, are independent registered public accounting firms with respect to the Company and its subsidiaries within the meaning of the rules and regulations of the Commission and the Public Company Accounting Oversight Board and as required by the Securities Act.</w:t>
      </w:r>
    </w:p>
    <w:p>
      <w:pPr>
        <w:pStyle w:val="TextBody"/>
        <w:bidi w:val="0"/>
        <w:jc w:val="both"/>
        <w:rPr>
          <w:rFonts w:ascii="Times New Roman" w:hAnsi="Times New Roman"/>
          <w:sz w:val="20"/>
        </w:rPr>
      </w:pPr>
      <w:r>
        <w:rPr>
          <w:rFonts w:ascii="Times New Roman" w:hAnsi="Times New Roman"/>
          <w:color w:val="000000"/>
          <w:sz w:val="20"/>
        </w:rPr>
        <w:t>2.20.        </w:t>
      </w:r>
      <w:r>
        <w:rPr>
          <w:rFonts w:ascii="Times New Roman" w:hAnsi="Times New Roman"/>
          <w:b/>
          <w:color w:val="000000"/>
          <w:sz w:val="20"/>
          <w:u w:val="single"/>
        </w:rPr>
        <w:t>Financial Statements and Other Financial Data</w:t>
      </w:r>
      <w:r>
        <w:rPr>
          <w:rFonts w:ascii="Times New Roman" w:hAnsi="Times New Roman"/>
          <w:color w:val="000000"/>
          <w:sz w:val="20"/>
        </w:rPr>
        <w:t>. The financial statements (including the related notes thereto), together with the supporting schedules, included in the Registration Statement, the Pricing Disclosure Package and the Final Prospectus Supplement comply in all material respects with the applicable requirements of the Securities Act and present fairly the consolidated financial position of the entities to which they relate as of and at the dates indicated and the results of their operations and cash flows for the periods specified. Such financial statements, notes and schedules have been prepared in conformity with GAAP applied on a consistent basis throughout the periods involved, except as may be expressly stated in the notes thereto and except, in the case of unaudited interim financial statements, subject to normal year end audit adjustments and the exclusion of certain footnotes as permitted by the applicable rules of the Commission. The financial data set forth in the Registration Statement, the Pricing Disclosure Package and the Final Prospectus Supplement under the captions “Capitalization” present fairly the information set forth therein on a basis consistent with that of the audited financial statements included in the Registration Statement, the Pricing Disclosure Package and the Final Prospectus Supplement.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2.21.       </w:t>
      </w:r>
      <w:r>
        <w:rPr>
          <w:rFonts w:ascii="Times New Roman" w:hAnsi="Times New Roman"/>
          <w:b/>
          <w:color w:val="000000"/>
          <w:sz w:val="20"/>
          <w:u w:val="single"/>
        </w:rPr>
        <w:t>Statistical and Market-Related Data</w:t>
      </w:r>
      <w:r>
        <w:rPr>
          <w:rFonts w:ascii="Times New Roman" w:hAnsi="Times New Roman"/>
          <w:color w:val="000000"/>
          <w:sz w:val="20"/>
        </w:rPr>
        <w:t>. The statistical and market-related data included in the Registration Statement, the Pricing Disclosure Package and the Final Prospectus Supplement are based on or derived from sources that the Company reasonably and in good faith believes to be accurate and reliable in all material respects.</w:t>
      </w:r>
    </w:p>
    <w:p>
      <w:pPr>
        <w:pStyle w:val="TextBody"/>
        <w:bidi w:val="0"/>
        <w:jc w:val="both"/>
        <w:rPr>
          <w:rFonts w:ascii="Times New Roman" w:hAnsi="Times New Roman"/>
          <w:sz w:val="20"/>
        </w:rPr>
      </w:pPr>
      <w:r>
        <w:rPr>
          <w:rFonts w:ascii="Times New Roman" w:hAnsi="Times New Roman"/>
          <w:color w:val="000000"/>
          <w:sz w:val="20"/>
        </w:rPr>
        <w:t>2.22.        </w:t>
      </w:r>
      <w:r>
        <w:rPr>
          <w:rFonts w:ascii="Times New Roman" w:hAnsi="Times New Roman"/>
          <w:b/>
          <w:color w:val="000000"/>
          <w:sz w:val="20"/>
          <w:u w:val="single"/>
        </w:rPr>
        <w:t>Forward-Looking Statements</w:t>
      </w:r>
      <w:r>
        <w:rPr>
          <w:rFonts w:ascii="Times New Roman" w:hAnsi="Times New Roman"/>
          <w:color w:val="000000"/>
          <w:sz w:val="20"/>
        </w:rPr>
        <w:t>. No forward-looking statement (within the meaning of Section 27A of the Securities Act and Section 21E of the Exchange Act) included in the Registration Statement, the Pricing Disclosure Package or the Final Prospectus Supplement has been made or reaffirmed without a reasonable basis or has been disclosed other than in good faith.</w:t>
      </w:r>
    </w:p>
    <w:p>
      <w:pPr>
        <w:pStyle w:val="TextBody"/>
        <w:bidi w:val="0"/>
        <w:jc w:val="both"/>
        <w:rPr>
          <w:rFonts w:ascii="Times New Roman" w:hAnsi="Times New Roman"/>
          <w:sz w:val="20"/>
        </w:rPr>
      </w:pPr>
      <w:r>
        <w:rPr>
          <w:rFonts w:ascii="Times New Roman" w:hAnsi="Times New Roman"/>
          <w:color w:val="000000"/>
          <w:sz w:val="20"/>
        </w:rPr>
        <w:t>2.23.        </w:t>
      </w:r>
      <w:r>
        <w:rPr>
          <w:rFonts w:ascii="Times New Roman" w:hAnsi="Times New Roman"/>
          <w:b/>
          <w:color w:val="000000"/>
          <w:sz w:val="20"/>
          <w:u w:val="single"/>
        </w:rPr>
        <w:t>Legal Proceedings</w:t>
      </w:r>
      <w:r>
        <w:rPr>
          <w:rFonts w:ascii="Times New Roman" w:hAnsi="Times New Roman"/>
          <w:color w:val="000000"/>
          <w:sz w:val="20"/>
        </w:rPr>
        <w:t>. Except as disclosed in the Registration Statement, the Pricing Disclosure Package and the Final Prospectus Supplement, (i) there are no legal, governmental or regulatory investigations, actions, demands, claims, suits, arbitrations, inquiries or proceedings (collectively, “</w:t>
      </w:r>
      <w:r>
        <w:rPr>
          <w:rFonts w:ascii="Times New Roman" w:hAnsi="Times New Roman"/>
          <w:b/>
          <w:color w:val="000000"/>
          <w:sz w:val="20"/>
          <w:u w:val="single"/>
        </w:rPr>
        <w:t>Actions</w:t>
      </w:r>
      <w:r>
        <w:rPr>
          <w:rFonts w:ascii="Times New Roman" w:hAnsi="Times New Roman"/>
          <w:color w:val="000000"/>
          <w:sz w:val="20"/>
        </w:rPr>
        <w:t>”) pending to which the Company or any of its subsidiaries is or may be a party or to which any property, right or asset of the Company or any of its subsidiaries is or may be the subject that, individually or in the aggregate, if determined adversely to the Company or any of its subsidiaries, could have a Material Adverse Effect; and (ii) to the knowledge of the Company, no such Actions are threatened or contemplated by any governmental or regulatory authority or by others.</w:t>
      </w:r>
    </w:p>
    <w:p>
      <w:pPr>
        <w:pStyle w:val="TextBody"/>
        <w:bidi w:val="0"/>
        <w:jc w:val="both"/>
        <w:rPr>
          <w:rFonts w:ascii="Times New Roman" w:hAnsi="Times New Roman"/>
          <w:sz w:val="20"/>
        </w:rPr>
      </w:pPr>
      <w:r>
        <w:rPr>
          <w:rFonts w:ascii="Times New Roman" w:hAnsi="Times New Roman"/>
          <w:color w:val="000000"/>
          <w:sz w:val="20"/>
        </w:rPr>
        <w:t>2.24.        </w:t>
      </w:r>
      <w:r>
        <w:rPr>
          <w:rFonts w:ascii="Times New Roman" w:hAnsi="Times New Roman"/>
          <w:b/>
          <w:color w:val="000000"/>
          <w:sz w:val="20"/>
          <w:u w:val="single"/>
        </w:rPr>
        <w:t>Labor Disputes</w:t>
      </w:r>
      <w:r>
        <w:rPr>
          <w:rFonts w:ascii="Times New Roman" w:hAnsi="Times New Roman"/>
          <w:color w:val="000000"/>
          <w:sz w:val="20"/>
        </w:rPr>
        <w:t>. No labor disturbance by or dispute with the employees of the Company or any of its subsidiaries exists or, to the knowledge of the Company, is threatened or contemplated that could, individually or in the aggregate, have a Material Adverse Effect.</w:t>
      </w:r>
    </w:p>
    <w:p>
      <w:pPr>
        <w:pStyle w:val="TextBody"/>
        <w:bidi w:val="0"/>
        <w:jc w:val="both"/>
        <w:rPr>
          <w:rFonts w:ascii="Times New Roman" w:hAnsi="Times New Roman"/>
          <w:sz w:val="20"/>
        </w:rPr>
      </w:pPr>
      <w:r>
        <w:rPr>
          <w:rFonts w:ascii="Times New Roman" w:hAnsi="Times New Roman"/>
          <w:color w:val="000000"/>
          <w:sz w:val="20"/>
        </w:rPr>
        <w:t>2.25.        </w:t>
      </w:r>
      <w:r>
        <w:rPr>
          <w:rFonts w:ascii="Times New Roman" w:hAnsi="Times New Roman"/>
          <w:b/>
          <w:color w:val="000000"/>
          <w:sz w:val="20"/>
          <w:u w:val="single"/>
        </w:rPr>
        <w:t>Intellectual Property Rights</w:t>
      </w:r>
      <w:r>
        <w:rPr>
          <w:rFonts w:ascii="Times New Roman" w:hAnsi="Times New Roman"/>
          <w:color w:val="000000"/>
          <w:sz w:val="20"/>
        </w:rPr>
        <w:t>. (i) The Company and its subsidiaries own or have the right to use all patents, patent applications, trademarks, service marks, trade names, and other source indicators and registrations and applications for registration thereof, domain name registrations, copyrights and registrations and applications for registration thereof, technology and know-how, trade secrets, and all other intellectual property and related proprietary rights (collectively, “</w:t>
      </w:r>
      <w:r>
        <w:rPr>
          <w:rFonts w:ascii="Times New Roman" w:hAnsi="Times New Roman"/>
          <w:b/>
          <w:color w:val="000000"/>
          <w:sz w:val="20"/>
          <w:u w:val="single"/>
        </w:rPr>
        <w:t>Intellectual Property Rights</w:t>
      </w:r>
      <w:r>
        <w:rPr>
          <w:rFonts w:ascii="Times New Roman" w:hAnsi="Times New Roman"/>
          <w:color w:val="000000"/>
          <w:sz w:val="20"/>
        </w:rPr>
        <w:t>”) necessary to conduct their respective businesses; (ii) other than as disclosed in the Final Prospectus Supplement, neither the Company nor any of its subsidiaries has received any notice of infringement, misappropriation or other conflict with (and neither the Company nor any of its subsidiaries is otherwise aware of any infringement, misappropriation or other conflict with) the Intellectual Property Rights of any other person, except for such infringement, misappropriation or other conflict as could not have a Material Adverse Effect; and (iii) to the knowledge of the Company, the Intellectual Property Rights of the Company and its subsidiaries are not being infringed, misappropriated or otherwise violated by any person.</w:t>
      </w:r>
    </w:p>
    <w:p>
      <w:pPr>
        <w:pStyle w:val="TextBody"/>
        <w:bidi w:val="0"/>
        <w:jc w:val="both"/>
        <w:rPr>
          <w:rFonts w:ascii="Times New Roman" w:hAnsi="Times New Roman"/>
          <w:sz w:val="20"/>
        </w:rPr>
      </w:pPr>
      <w:r>
        <w:rPr>
          <w:rFonts w:ascii="Times New Roman" w:hAnsi="Times New Roman"/>
          <w:color w:val="000000"/>
          <w:sz w:val="20"/>
        </w:rPr>
        <w:t>2.26.       </w:t>
      </w:r>
      <w:r>
        <w:rPr>
          <w:rFonts w:ascii="Times New Roman" w:hAnsi="Times New Roman"/>
          <w:b/>
          <w:color w:val="000000"/>
          <w:sz w:val="20"/>
          <w:u w:val="single"/>
        </w:rPr>
        <w:t>Licenses and Permits</w:t>
      </w:r>
      <w:r>
        <w:rPr>
          <w:rFonts w:ascii="Times New Roman" w:hAnsi="Times New Roman"/>
          <w:color w:val="000000"/>
          <w:sz w:val="20"/>
        </w:rPr>
        <w:t>. (i) The Company and its subsidiaries possess such valid and current certificates, authorizations, approvals, licenses and permits (collectively, “</w:t>
      </w:r>
      <w:r>
        <w:rPr>
          <w:rFonts w:ascii="Times New Roman" w:hAnsi="Times New Roman"/>
          <w:b/>
          <w:color w:val="000000"/>
          <w:sz w:val="20"/>
          <w:u w:val="single"/>
        </w:rPr>
        <w:t>Authorizations</w:t>
      </w:r>
      <w:r>
        <w:rPr>
          <w:rFonts w:ascii="Times New Roman" w:hAnsi="Times New Roman"/>
          <w:color w:val="000000"/>
          <w:sz w:val="20"/>
        </w:rPr>
        <w:t>”) issued by, and have made all declarations, amendments, supplements and filings with, the appropriate state, federal or foreign regulatory agencies or bodies necessary to own, lease and operate their respective properties and to conduct their respective businesses as set forth in the Registration Statement, the Pricing Disclosure Package and the Final Prospectus Supplement; (ii) all such Authorizations are valid and in full force and effect and the Company and its subsidiaries are in compliance with the terms and conditions of all such Authorizations; and (iii) neither the Company nor any of its subsidiaries has received notice of any revocation, termination or modification of, or non-compliance with, any such Authorization or has any reason to believe that any such Authorization will not be renewed in the ordinary course, except where, in the case of clauses (i), (ii) and (iii), the failure to possess, make or obtain such Authorizations (by possession, declaration or filing) could not, individually or in the aggregate, have a Material Adverse Effect.</w:t>
      </w:r>
    </w:p>
    <w:p>
      <w:pPr>
        <w:pStyle w:val="TextBody"/>
        <w:bidi w:val="0"/>
        <w:jc w:val="both"/>
        <w:rPr>
          <w:rFonts w:ascii="Times New Roman" w:hAnsi="Times New Roman"/>
          <w:sz w:val="20"/>
        </w:rPr>
      </w:pPr>
      <w:r>
        <w:rPr>
          <w:rFonts w:ascii="Times New Roman" w:hAnsi="Times New Roman"/>
          <w:color w:val="000000"/>
          <w:sz w:val="20"/>
        </w:rPr>
        <w:t>2.27.        </w:t>
      </w:r>
      <w:r>
        <w:rPr>
          <w:rFonts w:ascii="Times New Roman" w:hAnsi="Times New Roman"/>
          <w:b/>
          <w:color w:val="000000"/>
          <w:sz w:val="20"/>
          <w:u w:val="single"/>
        </w:rPr>
        <w:t>Title to Property</w:t>
      </w:r>
      <w:r>
        <w:rPr>
          <w:rFonts w:ascii="Times New Roman" w:hAnsi="Times New Roman"/>
          <w:color w:val="000000"/>
          <w:sz w:val="20"/>
        </w:rPr>
        <w:t xml:space="preserve">. The Company and its subsidiaries have good and marketable title to, or have valid and enforceable rights to lease or otherwise use, all items of real and personal property that are material to the respective businesses of the Company and its subsidiaries, in each case, free and clear of all liens, encumbrances, claims and defects and imperfections of title, except such liens, encumbrances, claims, defects and imperfections as (i) are disclosed in the Registration Statement, the Pricing Disclosure Package and the Final Prospectus Supplement, or (ii) do not materially affect the value of such property and do not materially interfere with the use made or proposed to be made of such property by the Company and its subsidiaries. All items of real and personal property held under lease by the Company and its subsidiaries are held under valid, subsisting and enforceable leases, with such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exceptions as do not materially interfere with the use made or proposed to be made of such property by the Company and its subsidiaries.</w:t>
      </w:r>
    </w:p>
    <w:p>
      <w:pPr>
        <w:pStyle w:val="TextBody"/>
        <w:bidi w:val="0"/>
        <w:jc w:val="both"/>
        <w:rPr>
          <w:rFonts w:ascii="Times New Roman" w:hAnsi="Times New Roman"/>
          <w:sz w:val="20"/>
        </w:rPr>
      </w:pPr>
      <w:r>
        <w:rPr>
          <w:rFonts w:ascii="Times New Roman" w:hAnsi="Times New Roman"/>
          <w:color w:val="000000"/>
          <w:sz w:val="20"/>
        </w:rPr>
        <w:t>2.28.        </w:t>
      </w:r>
      <w:r>
        <w:rPr>
          <w:rFonts w:ascii="Times New Roman" w:hAnsi="Times New Roman"/>
          <w:b/>
          <w:color w:val="000000"/>
          <w:sz w:val="20"/>
          <w:u w:val="single"/>
        </w:rPr>
        <w:t>Taxes</w:t>
      </w:r>
      <w:r>
        <w:rPr>
          <w:rFonts w:ascii="Times New Roman" w:hAnsi="Times New Roman"/>
          <w:color w:val="000000"/>
          <w:sz w:val="20"/>
        </w:rPr>
        <w:t>. The Company and each of its subsidiaries have filed all federal, state, local and foreign tax returns required to be filed through the date hereof or have timely requested extensions thereof and have paid all taxes required to be paid thereon (except as currently being contested in good faith and for which reserves required by GAAP have been created in the financial statements of the Company). The charges, accruals and reserves in respect of any income and other tax liability in the financial statements of the Company referred to in Section 2.20 are adequate, in accordance with GAAP principles, to meet any assessments for any taxes of the Company accruing through the end of the last period specified in such financial statements.</w:t>
      </w:r>
    </w:p>
    <w:p>
      <w:pPr>
        <w:pStyle w:val="TextBody"/>
        <w:bidi w:val="0"/>
        <w:jc w:val="both"/>
        <w:rPr>
          <w:rFonts w:ascii="Times New Roman" w:hAnsi="Times New Roman"/>
          <w:sz w:val="20"/>
        </w:rPr>
      </w:pPr>
      <w:r>
        <w:rPr>
          <w:rFonts w:ascii="Times New Roman" w:hAnsi="Times New Roman"/>
          <w:color w:val="000000"/>
          <w:sz w:val="20"/>
        </w:rPr>
        <w:t>2.29.        </w:t>
      </w:r>
      <w:r>
        <w:rPr>
          <w:rFonts w:ascii="Times New Roman" w:hAnsi="Times New Roman"/>
          <w:b/>
          <w:color w:val="000000"/>
          <w:sz w:val="20"/>
          <w:u w:val="single"/>
        </w:rPr>
        <w:t>Solvency</w:t>
      </w:r>
      <w:r>
        <w:rPr>
          <w:rFonts w:ascii="Times New Roman" w:hAnsi="Times New Roman"/>
          <w:color w:val="000000"/>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The Registration Statement sets forth as of the date hereof all outstanding secured and unsecured Indebtedness of the Company or any Subsidiary, or for which the Company or any Subsidiary has commitments. Neither the Company nor any Subsidiary is in default with respect to any Indebtedness.</w:t>
      </w:r>
    </w:p>
    <w:p>
      <w:pPr>
        <w:pStyle w:val="TextBody"/>
        <w:bidi w:val="0"/>
        <w:jc w:val="both"/>
        <w:rPr>
          <w:rFonts w:ascii="Times New Roman" w:hAnsi="Times New Roman"/>
          <w:sz w:val="20"/>
        </w:rPr>
      </w:pPr>
      <w:r>
        <w:rPr>
          <w:rFonts w:ascii="Times New Roman" w:hAnsi="Times New Roman"/>
          <w:color w:val="000000"/>
          <w:sz w:val="20"/>
        </w:rPr>
        <w:t>2.30.       </w:t>
      </w:r>
      <w:r>
        <w:rPr>
          <w:rFonts w:ascii="Times New Roman" w:hAnsi="Times New Roman"/>
          <w:b/>
          <w:color w:val="000000"/>
          <w:sz w:val="20"/>
          <w:u w:val="single"/>
        </w:rPr>
        <w:t>Investment Company Act</w:t>
      </w:r>
      <w:r>
        <w:rPr>
          <w:rFonts w:ascii="Times New Roman" w:hAnsi="Times New Roman"/>
          <w:color w:val="000000"/>
          <w:sz w:val="20"/>
        </w:rPr>
        <w:t>. Neither the Company nor any of its subsidiaries is or, after giving effect to the offer and sale of the Securities and the application of the proceeds therefrom as described under “Use of Proceeds” in the Registration Statement, the Pricing Disclosure Package and the Final Prospectus Supplement, will be required to register as an “investment company” (as defined in the Investment Company Act).</w:t>
      </w:r>
    </w:p>
    <w:p>
      <w:pPr>
        <w:pStyle w:val="TextBody"/>
        <w:bidi w:val="0"/>
        <w:jc w:val="both"/>
        <w:rPr>
          <w:rFonts w:ascii="Times New Roman" w:hAnsi="Times New Roman"/>
          <w:sz w:val="20"/>
        </w:rPr>
      </w:pPr>
      <w:r>
        <w:rPr>
          <w:rFonts w:ascii="Times New Roman" w:hAnsi="Times New Roman"/>
          <w:color w:val="000000"/>
          <w:sz w:val="20"/>
        </w:rPr>
        <w:t>2.31.        </w:t>
      </w:r>
      <w:r>
        <w:rPr>
          <w:rFonts w:ascii="Times New Roman" w:hAnsi="Times New Roman"/>
          <w:b/>
          <w:color w:val="000000"/>
          <w:sz w:val="20"/>
          <w:u w:val="single"/>
        </w:rPr>
        <w:t>Insurance</w:t>
      </w:r>
      <w:r>
        <w:rPr>
          <w:rFonts w:ascii="Times New Roman" w:hAnsi="Times New Roman"/>
          <w:color w:val="000000"/>
          <w:sz w:val="20"/>
        </w:rPr>
        <w:t>. The Company and its subsidiaries are insured by recognized, financially sound institutions in such amounts, with such amounts, with such deductibles and covering such losses and risks as the Company reasonably believes to be adequate for the conduct of their respective businesses and the value of their respective properties and as is prudent and customary for companies engaged in similar businesses in similar industries. All insurance policies and fidelity or surety bonds insuring the Company and its subsidiaries or their respective businesses, assets, employees, officers and directors are in full force and effect; the Company and its subsidiaries are in compliance with the terms of such policies in all material respects; neither the Company nor any of its subsidiaries has received notice from any insurer or agent of such insurer that capital improvements or other expenditures are required to be made in order to continue such insurance; and neither the Company nor any of its subsidiaries has been refused any insurance coverage sought or applied for. There are no claims by the Company or any of its subsidiaries under any such policy as to which any insurer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could not have a Material Adverse Effect.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2.32.        </w:t>
      </w:r>
      <w:r>
        <w:rPr>
          <w:rFonts w:ascii="Times New Roman" w:hAnsi="Times New Roman"/>
          <w:b/>
          <w:color w:val="000000"/>
          <w:sz w:val="20"/>
          <w:u w:val="single"/>
        </w:rPr>
        <w:t>No Stabilization or Manipulation</w:t>
      </w:r>
      <w:r>
        <w:rPr>
          <w:rFonts w:ascii="Times New Roman" w:hAnsi="Times New Roman"/>
          <w:color w:val="000000"/>
          <w:sz w:val="20"/>
        </w:rPr>
        <w:t xml:space="preserve">. None of the Company, nor its Affiliates, or, to the knowledge of the Company, any person acting on its or any of their behalf (other than the Underwriter, as to which no representation or warranty is given) has taken, directly or indirectly, any action designed to or that has constituted or that could reasonably be expected to cause or result in the stabilization or manipulation of the price of any securities of the Company. The Company acknowledges that the Underwriter may engage in passive market making transactions in the Common Stock on The Nasdaq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Capital Market (the “</w:t>
      </w:r>
      <w:r>
        <w:rPr>
          <w:rFonts w:ascii="Times New Roman" w:hAnsi="Times New Roman"/>
          <w:b/>
          <w:color w:val="000000"/>
          <w:sz w:val="20"/>
          <w:u w:val="single"/>
        </w:rPr>
        <w:t>Exchange</w:t>
      </w:r>
      <w:r>
        <w:rPr>
          <w:rFonts w:ascii="Times New Roman" w:hAnsi="Times New Roman"/>
          <w:color w:val="000000"/>
          <w:sz w:val="20"/>
        </w:rPr>
        <w:t>”) in accordance with Regulation M under the Exchange Act (“</w:t>
      </w:r>
      <w:r>
        <w:rPr>
          <w:rFonts w:ascii="Times New Roman" w:hAnsi="Times New Roman"/>
          <w:b/>
          <w:color w:val="000000"/>
          <w:sz w:val="20"/>
          <w:u w:val="single"/>
        </w:rPr>
        <w:t>Regulation M</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2.33.        </w:t>
      </w:r>
      <w:r>
        <w:rPr>
          <w:rFonts w:ascii="Times New Roman" w:hAnsi="Times New Roman"/>
          <w:b/>
          <w:color w:val="000000"/>
          <w:sz w:val="20"/>
          <w:u w:val="single"/>
        </w:rPr>
        <w:t>Compliance with the Sarbanes-Oxley Act</w:t>
      </w:r>
      <w:r>
        <w:rPr>
          <w:rFonts w:ascii="Times New Roman" w:hAnsi="Times New Roman"/>
          <w:color w:val="000000"/>
          <w:sz w:val="20"/>
        </w:rPr>
        <w:t>. The Company and, to the knowledge of the Company, its officers and directors, in their capacities as such, are and have been in compliance with all applicable provisions of the Sarbanes-Oxley Act.</w:t>
      </w:r>
    </w:p>
    <w:p>
      <w:pPr>
        <w:pStyle w:val="TextBody"/>
        <w:bidi w:val="0"/>
        <w:jc w:val="both"/>
        <w:rPr>
          <w:rFonts w:ascii="Times New Roman" w:hAnsi="Times New Roman"/>
          <w:sz w:val="20"/>
        </w:rPr>
      </w:pPr>
      <w:r>
        <w:rPr>
          <w:rFonts w:ascii="Times New Roman" w:hAnsi="Times New Roman"/>
          <w:color w:val="000000"/>
          <w:sz w:val="20"/>
        </w:rPr>
        <w:t>2.34.        </w:t>
      </w:r>
      <w:r>
        <w:rPr>
          <w:rFonts w:ascii="Times New Roman" w:hAnsi="Times New Roman"/>
          <w:b/>
          <w:color w:val="000000"/>
          <w:sz w:val="20"/>
          <w:u w:val="single"/>
        </w:rPr>
        <w:t>Accounting Controls</w:t>
      </w:r>
      <w:r>
        <w:rPr>
          <w:rFonts w:ascii="Times New Roman" w:hAnsi="Times New Roman"/>
          <w:color w:val="000000"/>
          <w:sz w:val="20"/>
        </w:rPr>
        <w:t>. The Company and its subsidiaries maintain systems of “internal control over financial reporting” (as defined in Rule 13a-15(f) of the Exchange Act) that comply with the requirements of the Exchange Act and have been designed by, or under the supervision of, their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Other than as disclosed in the Registration Statement, the Company maintains a system of internal control over financial reporting and the Company is not aware of any other material weaknesses in its internal control over financial reporting (whether or not remediated). Other than as disclosed in the Registration Statement, since the date of the most recent balance sheet included in the Registration Statement, the Pricing Disclosure Package and the Final Prospectus Supplement, (x) the Company’s auditors and the board of directors of the Company have not been advised of (A) any new significant deficiencies or material weaknesses in the design or operation of the internal control over financial reporting of the Company and its subsidiaries which could adversely affect the Company’s ability to record, process, summarize, and report financial data; or (B) any fraud, whether or not material, that involves management or other employees who have a role in the internal control over financial reporting of the Company or its subsidiaries; and (y) there have been no significant changes in the internal control over financial reporting of the Company or its subsidiaries or in other factors that could significantly affect, such internal control over financial reporting, including any corrective actions with regard to significant deficiencies or material weaknesses, since the respective dates as of which information is given in the Registration Statement, the Pricing Disclosure Package and the Final Prospectus Supplement.</w:t>
      </w:r>
    </w:p>
    <w:p>
      <w:pPr>
        <w:pStyle w:val="TextBody"/>
        <w:bidi w:val="0"/>
        <w:jc w:val="both"/>
        <w:rPr>
          <w:rFonts w:ascii="Times New Roman" w:hAnsi="Times New Roman"/>
          <w:sz w:val="20"/>
        </w:rPr>
      </w:pPr>
      <w:r>
        <w:rPr>
          <w:rFonts w:ascii="Times New Roman" w:hAnsi="Times New Roman"/>
          <w:color w:val="000000"/>
          <w:sz w:val="20"/>
        </w:rPr>
        <w:t>2.35.        </w:t>
      </w:r>
      <w:r>
        <w:rPr>
          <w:rFonts w:ascii="Times New Roman" w:hAnsi="Times New Roman"/>
          <w:b/>
          <w:color w:val="000000"/>
          <w:sz w:val="20"/>
          <w:u w:val="single"/>
        </w:rPr>
        <w:t>Disclosure Controls and Procedures</w:t>
      </w:r>
      <w:r>
        <w:rPr>
          <w:rFonts w:ascii="Times New Roman" w:hAnsi="Times New Roman"/>
          <w:color w:val="000000"/>
          <w:sz w:val="20"/>
        </w:rPr>
        <w:t>. Except as otherwise disclosed in the Registration Statement, the Pricing Disclosure Package and the Final Prospectus Supplement, the Company and its subsidiaries have established and maintain disclosure controls and procedures (as such term is defined in Rule 13a-15(e) under the Exchange Act) that are designed to comply with the requirements of the Exchange Act; such disclosure controls and procedures are designed to ensure that information required to be disclosed by the Company and its subsidiaries in the reports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such disclosure controls and procedures are effective to perform the functions for which they were established.</w:t>
      </w:r>
    </w:p>
    <w:p>
      <w:pPr>
        <w:pStyle w:val="TextBody"/>
        <w:bidi w:val="0"/>
        <w:jc w:val="both"/>
        <w:rPr>
          <w:rFonts w:ascii="Times New Roman" w:hAnsi="Times New Roman"/>
          <w:sz w:val="20"/>
        </w:rPr>
      </w:pPr>
      <w:r>
        <w:rPr>
          <w:rFonts w:ascii="Times New Roman" w:hAnsi="Times New Roman"/>
          <w:color w:val="000000"/>
          <w:sz w:val="20"/>
        </w:rPr>
        <w:t>2.36.        </w:t>
      </w:r>
      <w:r>
        <w:rPr>
          <w:rFonts w:ascii="Times New Roman" w:hAnsi="Times New Roman"/>
          <w:b/>
          <w:color w:val="000000"/>
          <w:sz w:val="20"/>
          <w:u w:val="single"/>
        </w:rPr>
        <w:t>Compliance with Environmental Laws</w:t>
      </w:r>
      <w:r>
        <w:rPr>
          <w:rFonts w:ascii="Times New Roman" w:hAnsi="Times New Roman"/>
          <w:color w:val="000000"/>
          <w:sz w:val="20"/>
        </w:rPr>
        <w:t xml:space="preserve">. The Company and each of its subsidiaries (i) are, and at all times prior hereto were, in compliance with all Environmental Laws (as defined below)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and, except as described in the Registration Statement, the Pricing Disclosure Package and the Final Prospectus Supplement, (x) there are no proceedings that are pending, or known to be contemplated, against the Company or any of its subsidiaries under Environmental Laws, other than such proceedings regarding which would not, individually or in the aggregate, have a Material Adverse Effect; (y) to the knowledge of the Company, none of the Company or any of its subsidiaries is aware of any issues regarding compliance with Environmental Laws, including any pending or proposed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any of its subsidiaries anticipates material capital expenditures relating to Environmental Laws. As used herein, the term “</w:t>
      </w:r>
      <w:r>
        <w:rPr>
          <w:rFonts w:ascii="Times New Roman" w:hAnsi="Times New Roman"/>
          <w:b/>
          <w:color w:val="000000"/>
          <w:sz w:val="20"/>
          <w:u w:val="single"/>
        </w:rPr>
        <w:t>Environmental Laws</w:t>
      </w:r>
      <w:r>
        <w:rPr>
          <w:rFonts w:ascii="Times New Roman" w:hAnsi="Times New Roman"/>
          <w:color w:val="000000"/>
          <w:sz w:val="20"/>
        </w:rPr>
        <w:t>” means any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hazardous or toxic substances or wastes, pollutants or contaminants.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2.37.        </w:t>
      </w:r>
      <w:r>
        <w:rPr>
          <w:rFonts w:ascii="Times New Roman" w:hAnsi="Times New Roman"/>
          <w:b/>
          <w:color w:val="000000"/>
          <w:sz w:val="20"/>
          <w:u w:val="single"/>
        </w:rPr>
        <w:t>ERISA</w:t>
      </w:r>
      <w:r>
        <w:rPr>
          <w:rFonts w:ascii="Times New Roman" w:hAnsi="Times New Roman"/>
          <w:color w:val="000000"/>
          <w:sz w:val="20"/>
        </w:rPr>
        <w:t>. Each “employee benefit plan” (within the meaning of Section 3(3) of the Employee Retirement Security Act of 1974, as amended (“</w:t>
      </w:r>
      <w:r>
        <w:rPr>
          <w:rFonts w:ascii="Times New Roman" w:hAnsi="Times New Roman"/>
          <w:b/>
          <w:color w:val="000000"/>
          <w:sz w:val="20"/>
          <w:u w:val="single"/>
        </w:rPr>
        <w:t>ERISA</w:t>
      </w:r>
      <w:r>
        <w:rPr>
          <w:rFonts w:ascii="Times New Roman" w:hAnsi="Times New Roman"/>
          <w:color w:val="000000"/>
          <w:sz w:val="20"/>
        </w:rPr>
        <w:t>”)) for which the Company or any member of its “Controlled Group” (defined as any organization which is a member of a controlled group of corporations within the meaning of Section 414 of the Code) would have any liability (each, a “</w:t>
      </w:r>
      <w:r>
        <w:rPr>
          <w:rFonts w:ascii="Times New Roman" w:hAnsi="Times New Roman"/>
          <w:b/>
          <w:color w:val="000000"/>
          <w:sz w:val="20"/>
          <w:u w:val="single"/>
        </w:rPr>
        <w:t>Plan</w:t>
      </w:r>
      <w:r>
        <w:rPr>
          <w:rFonts w:ascii="Times New Roman" w:hAnsi="Times New Roman"/>
          <w:color w:val="000000"/>
          <w:sz w:val="20"/>
        </w:rPr>
        <w:t>”)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 (ii) with respect to each Plan subject to Title IV of ERISA or Section 302 of ERISA or Section 412 and 430 of the Code (A) no “reportable event” (within the meaning of Section 4043(c) of ERISA) has occurred or is reasonably expected to occur, (B) no failure to satisfy the minimum funding standard (within the meaning of Section 302 of ERISA or Section 412 and 430 of the Code), whether or not waived, has occurred or is reasonably expected to occur, (C) the fair market value of the assets under each Plan (excluding for these purposes accrued but unpaid contributions)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(iii) each Plan that is intended to be qualified under Section 401(a) of the Code is so qualified and nothing has occurred, whether by action or by failure to act, which would cause the loss of such qualification; and (iv) no prohibited transaction, within the meaning of Section 406 of ERISA or Section 4975 of the Code, has occurred with respect to any Plan excluding transactions to which a statutory or administrative prohibited transaction exemption applies.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2.38.        </w:t>
      </w:r>
      <w:r>
        <w:rPr>
          <w:rFonts w:ascii="Times New Roman" w:hAnsi="Times New Roman"/>
          <w:b/>
          <w:color w:val="000000"/>
          <w:sz w:val="20"/>
          <w:u w:val="single"/>
        </w:rPr>
        <w:t>Related Party Transactions</w:t>
      </w:r>
      <w:r>
        <w:rPr>
          <w:rFonts w:ascii="Times New Roman" w:hAnsi="Times New Roman"/>
          <w:color w:val="000000"/>
          <w:sz w:val="20"/>
        </w:rPr>
        <w:t>. Except as disclosed in the Registration Statement, the Pricing Disclosure Package and the Final Prospectus Supplement, no relationship, direct or indirect, exists between or among the Company or any of its subsidiaries, on the one hand, and the directors, officers, stockholders, other Affiliates, customers or suppliers of the Company or any of its subsidiaries, on the other hand, that would be required by the Securities Act to be described in the Registration Statement, the Pricing Disclosure Package and the Final Prospectus Supplement.</w:t>
      </w:r>
    </w:p>
    <w:p>
      <w:pPr>
        <w:pStyle w:val="TextBody"/>
        <w:bidi w:val="0"/>
        <w:jc w:val="both"/>
        <w:rPr>
          <w:rFonts w:ascii="Times New Roman" w:hAnsi="Times New Roman"/>
          <w:sz w:val="20"/>
        </w:rPr>
      </w:pPr>
      <w:r>
        <w:rPr>
          <w:rFonts w:ascii="Times New Roman" w:hAnsi="Times New Roman"/>
          <w:color w:val="000000"/>
          <w:sz w:val="20"/>
        </w:rPr>
        <w:t>2.39.        </w:t>
      </w:r>
      <w:r>
        <w:rPr>
          <w:rFonts w:ascii="Times New Roman" w:hAnsi="Times New Roman"/>
          <w:b/>
          <w:color w:val="000000"/>
          <w:sz w:val="20"/>
          <w:u w:val="single"/>
        </w:rPr>
        <w:t>No Unlawful Contributions or Other Payments</w:t>
      </w:r>
      <w:r>
        <w:rPr>
          <w:rFonts w:ascii="Times New Roman" w:hAnsi="Times New Roman"/>
          <w:color w:val="000000"/>
          <w:sz w:val="20"/>
        </w:rPr>
        <w:t>. Neither the Company nor any of its subsidiaries, nor any director, officer of the Company, nor, to the knowledge of the Company, any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or regulatory official or employee; (iii) made any bribe, rebate, payoff, influence payment, kickback or other unlawful payment; or (iv) violated or is in violation of any provision of (y) the Foreign Corrupt Practices Act of 1977, as amended, and the rules and regulations thereunder (the “</w:t>
      </w:r>
      <w:r>
        <w:rPr>
          <w:rFonts w:ascii="Times New Roman" w:hAnsi="Times New Roman"/>
          <w:b/>
          <w:color w:val="000000"/>
          <w:sz w:val="20"/>
          <w:u w:val="single"/>
        </w:rPr>
        <w:t>FCPA</w:t>
      </w:r>
      <w:r>
        <w:rPr>
          <w:rFonts w:ascii="Times New Roman" w:hAnsi="Times New Roman"/>
          <w:color w:val="000000"/>
          <w:sz w:val="20"/>
        </w:rPr>
        <w:t>”), or (z) any non-U.S. anti-bribery or anti-corruption statute or regulation. The Company and its subsidiaries have instituted and maintained and enforced policies and procedures designed to promote and ensure compliance with all applicable anti-bribery and anti-corruption laws.</w:t>
      </w:r>
    </w:p>
    <w:p>
      <w:pPr>
        <w:pStyle w:val="TextBody"/>
        <w:bidi w:val="0"/>
        <w:jc w:val="both"/>
        <w:rPr>
          <w:rFonts w:ascii="Times New Roman" w:hAnsi="Times New Roman"/>
          <w:sz w:val="20"/>
        </w:rPr>
      </w:pPr>
      <w:r>
        <w:rPr>
          <w:rFonts w:ascii="Times New Roman" w:hAnsi="Times New Roman"/>
          <w:color w:val="000000"/>
          <w:sz w:val="20"/>
        </w:rPr>
        <w:t>2.40.        </w:t>
      </w:r>
      <w:r>
        <w:rPr>
          <w:rFonts w:ascii="Times New Roman" w:hAnsi="Times New Roman"/>
          <w:b/>
          <w:color w:val="000000"/>
          <w:sz w:val="20"/>
          <w:u w:val="single"/>
        </w:rPr>
        <w:t>Compliance with Anti-Money Laundering Laws</w:t>
      </w:r>
      <w:r>
        <w:rPr>
          <w:rFonts w:ascii="Times New Roman" w:hAnsi="Times New Roman"/>
          <w:color w:val="000000"/>
          <w:sz w:val="20"/>
        </w:rPr>
        <w:t xml:space="preserve">. The operations of the Company and its subsidiaries are and have been conducted at all times in compliance with all applicable financial recordkeeping and reporting requirements, including those of the Currency and Foreign Transactions Reporting Act of 1970, as amended, the applicable anti-money laundering statutes of all jurisdictions where the Company or any of its subsidiaries conduct business, the rules and regulations thereunder and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any related or similar rules, regulations or guidelines issued, administered or enforced by any governmental agency (collectively, the “</w:t>
      </w:r>
      <w:r>
        <w:rPr>
          <w:rFonts w:ascii="Times New Roman" w:hAnsi="Times New Roman"/>
          <w:b/>
          <w:color w:val="000000"/>
          <w:sz w:val="20"/>
          <w:u w:val="single"/>
        </w:rPr>
        <w:t>Anti-Money Laundering Laws</w:t>
      </w:r>
      <w:r>
        <w:rPr>
          <w:rFonts w:ascii="Times New Roman" w:hAnsi="Times New Roman"/>
          <w:color w:val="000000"/>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jc w:val="both"/>
        <w:rPr>
          <w:rFonts w:ascii="Times New Roman" w:hAnsi="Times New Roman"/>
          <w:sz w:val="20"/>
        </w:rPr>
      </w:pPr>
      <w:r>
        <w:rPr>
          <w:rFonts w:ascii="Times New Roman" w:hAnsi="Times New Roman"/>
          <w:color w:val="000000"/>
          <w:sz w:val="20"/>
        </w:rPr>
        <w:t>2.41.        </w:t>
      </w:r>
      <w:r>
        <w:rPr>
          <w:rFonts w:ascii="Times New Roman" w:hAnsi="Times New Roman"/>
          <w:b/>
          <w:color w:val="000000"/>
          <w:sz w:val="20"/>
          <w:u w:val="single"/>
        </w:rPr>
        <w:t>Compliance with OFAC</w:t>
      </w:r>
      <w:r>
        <w:rPr>
          <w:rFonts w:ascii="Times New Roman" w:hAnsi="Times New Roman"/>
          <w:color w:val="000000"/>
          <w:sz w:val="20"/>
        </w:rPr>
        <w:t>. Neither the Company nor any of its subsidiaries nor any director, officer of the Company, nor, to the knowledge of the Company, any agent, employee or Affiliate of the Company or any of its subsidiaries is an individual or entity (an “</w:t>
      </w:r>
      <w:r>
        <w:rPr>
          <w:rFonts w:ascii="Times New Roman" w:hAnsi="Times New Roman"/>
          <w:b/>
          <w:color w:val="000000"/>
          <w:sz w:val="20"/>
          <w:u w:val="single"/>
        </w:rPr>
        <w:t>OFAC Person</w:t>
      </w:r>
      <w:r>
        <w:rPr>
          <w:rFonts w:ascii="Times New Roman" w:hAnsi="Times New Roman"/>
          <w:color w:val="000000"/>
          <w:sz w:val="20"/>
        </w:rPr>
        <w:t>”), or is owned or controlled by an OFAC Person, that is currently the subject or target of any sanctions administered or enforced by the U.S. government (including, without limitation, the Office of Foreign Assets Control of the U.S. Treasury Department (“</w:t>
      </w:r>
      <w:r>
        <w:rPr>
          <w:rFonts w:ascii="Times New Roman" w:hAnsi="Times New Roman"/>
          <w:b/>
          <w:color w:val="000000"/>
          <w:sz w:val="20"/>
          <w:u w:val="single"/>
        </w:rPr>
        <w:t>OFAC</w:t>
      </w:r>
      <w:r>
        <w:rPr>
          <w:rFonts w:ascii="Times New Roman" w:hAnsi="Times New Roman"/>
          <w:color w:val="000000"/>
          <w:sz w:val="20"/>
        </w:rPr>
        <w:t>”)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b/>
          <w:color w:val="000000"/>
          <w:sz w:val="20"/>
          <w:u w:val="single"/>
        </w:rPr>
        <w:t>Sanctions</w:t>
      </w:r>
      <w:r>
        <w:rPr>
          <w:rFonts w:ascii="Times New Roman" w:hAnsi="Times New Roman"/>
          <w:color w:val="000000"/>
          <w:sz w:val="20"/>
        </w:rPr>
        <w:t>”), nor is the Company or any of its subsidiaries located, organized or resident in a country or territory that is the subject or the target of Sanctions, including, without limitation, Crimea, Cuba, Iran, North Korea, Sudan and Syria (each, a “</w:t>
      </w:r>
      <w:r>
        <w:rPr>
          <w:rFonts w:ascii="Times New Roman" w:hAnsi="Times New Roman"/>
          <w:b/>
          <w:color w:val="000000"/>
          <w:sz w:val="20"/>
          <w:u w:val="single"/>
        </w:rPr>
        <w:t>Sanctioned Country</w:t>
      </w:r>
      <w:r>
        <w:rPr>
          <w:rFonts w:ascii="Times New Roman" w:hAnsi="Times New Roman"/>
          <w:color w:val="000000"/>
          <w:sz w:val="20"/>
        </w:rPr>
        <w:t>”); and the Company will not directly or indirectly use the proceeds of the offering, or lend, contribute or otherwise make available such proceeds to any subsidiary, joint venture partner or other OFAC Person (i) to fund or facilitate any activities of or business with any OFAC Person that, at the time of such funding or facilitation, is the subject or the target of Sanctions, (ii) to fund or facilitate any activities or business in any Sanctioned Country or (iii) in any other manner that will result in a violation by any OFAC Person (including any OFAC Person participating in the transaction, whether as underwriter, advisor, investor or otherwise) of Sanctions. Since the Company’s inception, the Company and its subsidiaries have not knowingly engaged in and are not now knowingly engaged in any dealings or transactions with any OFAC Person that at the time of the dealing or transaction is or was the subject or the target of Sanctions or with any Sanctioned Country.</w:t>
      </w:r>
    </w:p>
    <w:p>
      <w:pPr>
        <w:pStyle w:val="TextBody"/>
        <w:bidi w:val="0"/>
        <w:jc w:val="both"/>
        <w:rPr>
          <w:rFonts w:ascii="Times New Roman" w:hAnsi="Times New Roman"/>
          <w:sz w:val="20"/>
        </w:rPr>
      </w:pPr>
      <w:r>
        <w:rPr>
          <w:rFonts w:ascii="Times New Roman" w:hAnsi="Times New Roman"/>
          <w:color w:val="000000"/>
          <w:sz w:val="20"/>
        </w:rPr>
        <w:t>2.42.        </w:t>
      </w:r>
      <w:r>
        <w:rPr>
          <w:rFonts w:ascii="Times New Roman" w:hAnsi="Times New Roman"/>
          <w:b/>
          <w:color w:val="000000"/>
          <w:sz w:val="20"/>
          <w:u w:val="single"/>
        </w:rPr>
        <w:t>No Registration Rights</w:t>
      </w:r>
      <w:r>
        <w:rPr>
          <w:rFonts w:ascii="Times New Roman" w:hAnsi="Times New Roman"/>
          <w:color w:val="000000"/>
          <w:sz w:val="20"/>
        </w:rPr>
        <w:t>. Except as described in the Registration Statement, the Pricing Disclosure Package and the Final Prospectus Supplement, there are no contracts, agreements or understandings between the Company or any of its subsidiaries, on the one hand, and any person, on the other hand, granting such person any rights to require the Company or any of its subsidiaries to file a registration statement under the Securities Act with respect to any securities of the Company or any of its subsidiaries owned or to be owned by such person or to require the Company or any of its subsidiaries to include such securities in any securities to be registered pursuant to any registration statement to be filed by the Company or any of its subsidiaries under the Securities Act.</w:t>
      </w:r>
    </w:p>
    <w:p>
      <w:pPr>
        <w:pStyle w:val="TextBody"/>
        <w:bidi w:val="0"/>
        <w:jc w:val="both"/>
        <w:rPr>
          <w:rFonts w:ascii="Times New Roman" w:hAnsi="Times New Roman"/>
          <w:sz w:val="20"/>
        </w:rPr>
      </w:pPr>
      <w:r>
        <w:rPr>
          <w:rFonts w:ascii="Times New Roman" w:hAnsi="Times New Roman"/>
          <w:color w:val="000000"/>
          <w:sz w:val="20"/>
        </w:rPr>
        <w:t>2.43.        </w:t>
      </w:r>
      <w:r>
        <w:rPr>
          <w:rFonts w:ascii="Times New Roman" w:hAnsi="Times New Roman"/>
          <w:b/>
          <w:color w:val="000000"/>
          <w:sz w:val="20"/>
          <w:u w:val="single"/>
        </w:rPr>
        <w:t>Subsidiaries</w:t>
      </w:r>
      <w:r>
        <w:rPr>
          <w:rFonts w:ascii="Times New Roman" w:hAnsi="Times New Roman"/>
          <w:color w:val="000000"/>
          <w:sz w:val="20"/>
        </w:rPr>
        <w:t>. The subsidiaries of the Company shall be referred to hereinafter each as a “</w:t>
      </w:r>
      <w:r>
        <w:rPr>
          <w:rFonts w:ascii="Times New Roman" w:hAnsi="Times New Roman"/>
          <w:b/>
          <w:color w:val="000000"/>
          <w:sz w:val="20"/>
          <w:u w:val="single"/>
        </w:rPr>
        <w:t>Subsidiary</w:t>
      </w:r>
      <w:r>
        <w:rPr>
          <w:rFonts w:ascii="Times New Roman" w:hAnsi="Times New Roman"/>
          <w:color w:val="000000"/>
          <w:sz w:val="20"/>
        </w:rPr>
        <w:t>” and collectively as “</w:t>
      </w:r>
      <w:r>
        <w:rPr>
          <w:rFonts w:ascii="Times New Roman" w:hAnsi="Times New Roman"/>
          <w:b/>
          <w:color w:val="000000"/>
          <w:sz w:val="20"/>
          <w:u w:val="single"/>
        </w:rPr>
        <w:t>Subsidiaries</w:t>
      </w:r>
      <w:r>
        <w:rPr>
          <w:rFonts w:ascii="Times New Roman" w:hAnsi="Times New Roman"/>
          <w:color w:val="000000"/>
          <w:sz w:val="20"/>
        </w:rPr>
        <w:t>.” The description of the Subsidiaries of the Company are as set forth in the Registration Statement, the Pricing Disclosure Package and the Final Prospectus Supplement under the caption “Subsidiaries of the Registrant” filed as Exhibit 21.1 to the Registration Statement, is true and accurate in all material respects and nothing has been omitted from such description which would make it misleading. The Subsidiaries of the Company listed in Schedule 2.43 hereto are the only “significant subsidiaries” (as defined under Rule 1.02(w) of Regulation S-X under the Securities Act) of the Company (the “</w:t>
      </w:r>
      <w:r>
        <w:rPr>
          <w:rFonts w:ascii="Times New Roman" w:hAnsi="Times New Roman"/>
          <w:b/>
          <w:color w:val="000000"/>
          <w:sz w:val="20"/>
          <w:u w:val="single"/>
        </w:rPr>
        <w:t>Significant Subsidiaries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2.44.        </w:t>
      </w:r>
      <w:r>
        <w:rPr>
          <w:rFonts w:ascii="Times New Roman" w:hAnsi="Times New Roman"/>
          <w:b/>
          <w:color w:val="000000"/>
          <w:sz w:val="20"/>
          <w:u w:val="single"/>
        </w:rPr>
        <w:t>No Restrictions on Subsidiaries</w:t>
      </w:r>
      <w:r>
        <w:rPr>
          <w:rFonts w:ascii="Times New Roman" w:hAnsi="Times New Roman"/>
          <w:color w:val="000000"/>
          <w:sz w:val="20"/>
        </w:rPr>
        <w:t>. Except as disclosed in the Registration Statement, the Pricing Disclosure Package and the Final Prospectus Supplement, no Subsidiary of the Company is currently prohibited, directly or indirectly,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pStyle w:val="TextBody"/>
        <w:bidi w:val="0"/>
        <w:jc w:val="both"/>
        <w:rPr>
          <w:rFonts w:ascii="Times New Roman" w:hAnsi="Times New Roman"/>
          <w:sz w:val="20"/>
        </w:rPr>
      </w:pPr>
      <w:r>
        <w:rPr>
          <w:rFonts w:ascii="Times New Roman" w:hAnsi="Times New Roman"/>
          <w:color w:val="000000"/>
          <w:sz w:val="20"/>
        </w:rPr>
        <w:t>2.45.        </w:t>
      </w:r>
      <w:r>
        <w:rPr>
          <w:rFonts w:ascii="Times New Roman" w:hAnsi="Times New Roman"/>
          <w:b/>
          <w:color w:val="000000"/>
          <w:sz w:val="20"/>
          <w:u w:val="single"/>
        </w:rPr>
        <w:t>Exchange Listing</w:t>
      </w:r>
      <w:r>
        <w:rPr>
          <w:rFonts w:ascii="Times New Roman" w:hAnsi="Times New Roman"/>
          <w:color w:val="000000"/>
          <w:sz w:val="20"/>
        </w:rPr>
        <w:t>. The Common Stock is listed on the Exchange, and the Company has taken no action designed to, or likely to have the effect of, delisting the Common Stock from the Exchange, nor has the Company received any notification that the Exchange is contemplating terminating such listing, except as described in the Registration Statement, the Pricing Disclosure Package and the Final Prospectus Supplement.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2.46.        </w:t>
      </w:r>
      <w:r>
        <w:rPr>
          <w:rFonts w:ascii="Times New Roman" w:hAnsi="Times New Roman"/>
          <w:b/>
          <w:color w:val="000000"/>
          <w:sz w:val="20"/>
          <w:u w:val="single"/>
        </w:rPr>
        <w:t>Exchange Act Registration</w:t>
      </w:r>
      <w:r>
        <w:rPr>
          <w:rFonts w:ascii="Times New Roman" w:hAnsi="Times New Roman"/>
          <w:color w:val="000000"/>
          <w:sz w:val="20"/>
        </w:rPr>
        <w:t>. The Common Stock is registered pursuant to Section 12(b) under the Exchange Act. The Company has taken no action designed to, or likely to have the effect of, terminating the registration of the Common Stock under the Exchange Act, nor has the Company received any notification that the Commission is contemplating terminating such registration.</w:t>
      </w:r>
    </w:p>
    <w:p>
      <w:pPr>
        <w:pStyle w:val="TextBody"/>
        <w:bidi w:val="0"/>
        <w:jc w:val="both"/>
        <w:rPr>
          <w:rFonts w:ascii="Times New Roman" w:hAnsi="Times New Roman"/>
          <w:sz w:val="20"/>
        </w:rPr>
      </w:pPr>
      <w:r>
        <w:rPr>
          <w:rFonts w:ascii="Times New Roman" w:hAnsi="Times New Roman"/>
          <w:color w:val="000000"/>
          <w:sz w:val="20"/>
        </w:rPr>
        <w:t>2.47.        </w:t>
      </w:r>
      <w:r>
        <w:rPr>
          <w:rFonts w:ascii="Times New Roman" w:hAnsi="Times New Roman"/>
          <w:b/>
          <w:color w:val="000000"/>
          <w:sz w:val="20"/>
          <w:u w:val="single"/>
        </w:rPr>
        <w:t>Prior Securities Transactions</w:t>
      </w:r>
      <w:r>
        <w:rPr>
          <w:rFonts w:ascii="Times New Roman" w:hAnsi="Times New Roman"/>
          <w:color w:val="000000"/>
          <w:sz w:val="20"/>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Final Prospectus Supplement.</w:t>
      </w:r>
    </w:p>
    <w:p>
      <w:pPr>
        <w:pStyle w:val="TextBody"/>
        <w:bidi w:val="0"/>
        <w:jc w:val="both"/>
        <w:rPr>
          <w:rFonts w:ascii="Times New Roman" w:hAnsi="Times New Roman"/>
          <w:sz w:val="20"/>
        </w:rPr>
      </w:pPr>
      <w:r>
        <w:rPr>
          <w:rFonts w:ascii="Times New Roman" w:hAnsi="Times New Roman"/>
          <w:color w:val="000000"/>
          <w:sz w:val="20"/>
        </w:rPr>
        <w:t xml:space="preserve">2.48. </w:t>
      </w:r>
      <w:r>
        <w:rPr>
          <w:rFonts w:ascii="Times New Roman" w:hAnsi="Times New Roman"/>
          <w:b/>
          <w:color w:val="000000"/>
          <w:sz w:val="20"/>
          <w:u w:val="single"/>
        </w:rPr>
        <w:t>Application of Takeover Protections</w:t>
      </w:r>
      <w:r>
        <w:rPr>
          <w:rFonts w:ascii="Times New Roman" w:hAnsi="Times New Roman"/>
          <w:color w:val="000000"/>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 and the Company fulfilling their obligations or exercising their rights hereunder (including documents incorporated herein by reference or attached hereto).</w:t>
      </w:r>
    </w:p>
    <w:p>
      <w:pPr>
        <w:pStyle w:val="TextBody"/>
        <w:bidi w:val="0"/>
        <w:jc w:val="both"/>
        <w:rPr>
          <w:rFonts w:ascii="Times New Roman" w:hAnsi="Times New Roman"/>
          <w:sz w:val="20"/>
        </w:rPr>
      </w:pPr>
      <w:r>
        <w:rPr>
          <w:rFonts w:ascii="Times New Roman" w:hAnsi="Times New Roman"/>
          <w:color w:val="000000"/>
          <w:sz w:val="20"/>
        </w:rPr>
        <w:t>2.49.        </w:t>
      </w:r>
      <w:r>
        <w:rPr>
          <w:rFonts w:ascii="Times New Roman" w:hAnsi="Times New Roman"/>
          <w:b/>
          <w:color w:val="000000"/>
          <w:sz w:val="20"/>
          <w:u w:val="single"/>
        </w:rPr>
        <w:t>Reserved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2.50.        </w:t>
      </w:r>
      <w:r>
        <w:rPr>
          <w:rFonts w:ascii="Times New Roman" w:hAnsi="Times New Roman"/>
          <w:b/>
          <w:color w:val="000000"/>
          <w:sz w:val="20"/>
          <w:u w:val="single"/>
        </w:rPr>
        <w:t>No Integrated Offering</w:t>
      </w:r>
      <w:r>
        <w:rPr>
          <w:rFonts w:ascii="Times New Roman" w:hAnsi="Times New Roman"/>
          <w:color w:val="000000"/>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Closing Shares to be integrated with prior offerings by the Company for purposes of any applicable stockholder approval provisions of any Trading Market on which any of the securities of the Company are listed or designated.</w:t>
      </w:r>
    </w:p>
    <w:p>
      <w:pPr>
        <w:pStyle w:val="TextBody"/>
        <w:bidi w:val="0"/>
        <w:jc w:val="both"/>
        <w:rPr>
          <w:rFonts w:ascii="Times New Roman" w:hAnsi="Times New Roman"/>
          <w:sz w:val="20"/>
        </w:rPr>
      </w:pPr>
      <w:r>
        <w:rPr>
          <w:rFonts w:ascii="Times New Roman" w:hAnsi="Times New Roman"/>
          <w:color w:val="000000"/>
          <w:sz w:val="20"/>
        </w:rPr>
        <w:t>2.51.        </w:t>
      </w:r>
      <w:r>
        <w:rPr>
          <w:rFonts w:ascii="Times New Roman" w:hAnsi="Times New Roman"/>
          <w:b/>
          <w:color w:val="000000"/>
          <w:sz w:val="20"/>
          <w:u w:val="single"/>
        </w:rPr>
        <w:t>Litigation; Governmental Proceedings</w:t>
      </w:r>
      <w:r>
        <w:rPr>
          <w:rFonts w:ascii="Times New Roman" w:hAnsi="Times New Roman"/>
          <w:color w:val="000000"/>
          <w:sz w:val="20"/>
        </w:rPr>
        <w:t>. There is no material action, suit, proceeding, inquiry, arbitration, investigation, litigation or governmental proceeding pending or, to the Company’s knowledge, threatened against, or involving the Company, any of its Subsidiaries or, to the Company’s knowledge, any executive officer or director which has not been disclosed in the Registration Statement, the Pricing Disclosure Package and the Final Prospectus Supplement which is required to be disclosed.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2.52 </w:t>
      </w:r>
      <w:r>
        <w:rPr>
          <w:rFonts w:ascii="Times New Roman" w:hAnsi="Times New Roman"/>
          <w:b/>
          <w:color w:val="000000"/>
          <w:sz w:val="20"/>
          <w:u w:val="single"/>
        </w:rPr>
        <w:t>FINRA Matters</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2.52.1.      </w:t>
      </w:r>
      <w:r>
        <w:rPr>
          <w:rFonts w:ascii="Times New Roman" w:hAnsi="Times New Roman"/>
          <w:b/>
          <w:color w:val="000000"/>
          <w:sz w:val="20"/>
          <w:u w:val="single"/>
        </w:rPr>
        <w:t>No Broker’s Fees</w:t>
      </w:r>
      <w:r>
        <w:rPr>
          <w:rFonts w:ascii="Times New Roman" w:hAnsi="Times New Roman"/>
          <w:color w:val="000000"/>
          <w:sz w:val="20"/>
        </w:rPr>
        <w:t>. Except as disclosed in the Registration Statement, the Pricing Disclosure Package and the Final Prospectus Supplement, 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Securities.</w:t>
      </w:r>
    </w:p>
    <w:p>
      <w:pPr>
        <w:pStyle w:val="TextBody"/>
        <w:bidi w:val="0"/>
        <w:jc w:val="both"/>
        <w:rPr>
          <w:rFonts w:ascii="Times New Roman" w:hAnsi="Times New Roman"/>
          <w:sz w:val="20"/>
        </w:rPr>
      </w:pPr>
      <w:r>
        <w:rPr>
          <w:rFonts w:ascii="Times New Roman" w:hAnsi="Times New Roman"/>
          <w:color w:val="000000"/>
          <w:sz w:val="20"/>
        </w:rPr>
        <w:t>2.52.2.      </w:t>
      </w:r>
      <w:r>
        <w:rPr>
          <w:rFonts w:ascii="Times New Roman" w:hAnsi="Times New Roman"/>
          <w:b/>
          <w:color w:val="000000"/>
          <w:sz w:val="20"/>
          <w:u w:val="single"/>
        </w:rPr>
        <w:t>Payments Within Six (6) Months</w:t>
      </w:r>
      <w:r>
        <w:rPr>
          <w:rFonts w:ascii="Times New Roman" w:hAnsi="Times New Roman"/>
          <w:color w:val="000000"/>
          <w:sz w:val="20"/>
        </w:rPr>
        <w:t>. Except as described in the Registration Statement, the Pricing Disclosure Package and the Final Prospectus Supplement,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six (6) months prior to the initial filing of the Registration Statement, other than the payment to the Underwriter as provided hereunder in connection with the Offering.</w:t>
      </w:r>
    </w:p>
    <w:p>
      <w:pPr>
        <w:pStyle w:val="TextBody"/>
        <w:bidi w:val="0"/>
        <w:jc w:val="both"/>
        <w:rPr>
          <w:rFonts w:ascii="Times New Roman" w:hAnsi="Times New Roman"/>
          <w:sz w:val="20"/>
        </w:rPr>
      </w:pPr>
      <w:r>
        <w:rPr>
          <w:rFonts w:ascii="Times New Roman" w:hAnsi="Times New Roman"/>
          <w:color w:val="000000"/>
          <w:sz w:val="20"/>
        </w:rPr>
        <w:t>2.52.3.      </w:t>
      </w:r>
      <w:r>
        <w:rPr>
          <w:rFonts w:ascii="Times New Roman" w:hAnsi="Times New Roman"/>
          <w:b/>
          <w:color w:val="000000"/>
          <w:sz w:val="20"/>
          <w:u w:val="single"/>
        </w:rPr>
        <w:t>Use of Proceeds</w:t>
      </w:r>
      <w:r>
        <w:rPr>
          <w:rFonts w:ascii="Times New Roman" w:hAnsi="Times New Roman"/>
          <w:color w:val="000000"/>
          <w:sz w:val="20"/>
        </w:rPr>
        <w:t>. None of the net proceeds of the Offering will be paid by the Company to any participating FINRA member or its affiliates, except as specifically authorized herein.</w:t>
      </w:r>
    </w:p>
    <w:p>
      <w:pPr>
        <w:pStyle w:val="TextBody"/>
        <w:bidi w:val="0"/>
        <w:jc w:val="both"/>
        <w:rPr>
          <w:rFonts w:ascii="Times New Roman" w:hAnsi="Times New Roman"/>
          <w:sz w:val="20"/>
        </w:rPr>
      </w:pPr>
      <w:r>
        <w:rPr>
          <w:rFonts w:ascii="Times New Roman" w:hAnsi="Times New Roman"/>
          <w:color w:val="000000"/>
          <w:sz w:val="20"/>
        </w:rPr>
        <w:t xml:space="preserve">2.52.4.       </w:t>
      </w:r>
      <w:r>
        <w:rPr>
          <w:rFonts w:ascii="Times New Roman" w:hAnsi="Times New Roman"/>
          <w:b/>
          <w:color w:val="000000"/>
          <w:sz w:val="20"/>
          <w:u w:val="single"/>
        </w:rPr>
        <w:t>FINRA Affiliation</w:t>
      </w:r>
      <w:r>
        <w:rPr>
          <w:rFonts w:ascii="Times New Roman" w:hAnsi="Times New Roman"/>
          <w:color w:val="000000"/>
          <w:sz w:val="20"/>
        </w:rPr>
        <w:t xml:space="preserve">. There is no (i) officer or director of the Company, (ii) to the Company’s knowledge, any beneficial owner of 10% or more of any class of the Company’s securities or (iii) to the Company’s knowledge, any beneficial owner of the Company’s unregistered equity securities which were acquired during the 180-Calendar Day period immediately preceding the filing of the Registration Statement that is an affiliate or associated person of a FINRA member participating in the Offering (as determined in accordance with the rules and regulations of FINRA).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2.52.5. </w:t>
      </w:r>
      <w:r>
        <w:rPr>
          <w:rFonts w:ascii="Times New Roman" w:hAnsi="Times New Roman"/>
          <w:b/>
          <w:color w:val="000000"/>
          <w:sz w:val="20"/>
          <w:u w:val="single"/>
        </w:rPr>
        <w:t>Information</w:t>
      </w:r>
      <w:r>
        <w:rPr>
          <w:rFonts w:ascii="Times New Roman" w:hAnsi="Times New Roman"/>
          <w:color w:val="000000"/>
          <w:sz w:val="20"/>
        </w:rPr>
        <w:t>. All information provided by the Company in its FINRA questionnaire to Underwriter Counsel specifically for use by Underwriter Counsel in connection with its Public Offering System filings (and related disclosure) with FINRA is true, correct and complete in all material respects.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2.52.6. </w:t>
      </w:r>
      <w:r>
        <w:rPr>
          <w:rFonts w:ascii="Times New Roman" w:hAnsi="Times New Roman"/>
          <w:b/>
          <w:color w:val="000000"/>
          <w:sz w:val="20"/>
        </w:rPr>
        <w:t>[Reserved]</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2.52.7. </w:t>
      </w:r>
      <w:r>
        <w:rPr>
          <w:rFonts w:ascii="Times New Roman" w:hAnsi="Times New Roman"/>
          <w:b/>
          <w:color w:val="000000"/>
          <w:sz w:val="20"/>
          <w:u w:val="single"/>
        </w:rPr>
        <w:t>Enforceability of Judgments</w:t>
      </w:r>
      <w:r>
        <w:rPr>
          <w:rFonts w:ascii="Times New Roman" w:hAnsi="Times New Roman"/>
          <w:color w:val="000000"/>
          <w:sz w:val="20"/>
        </w:rPr>
        <w:t>. The disclosure in the Registration Statement, the Pricing Disclosure Package and the Final Prospectus Supplement under the caption “Enforceability of Civil Liabilities” fairly summarizes such matters in all material respects.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u w:val="single"/>
        </w:rPr>
        <w:t>Representations and Warranties of the Underwriter</w:t>
      </w:r>
      <w:r>
        <w:rPr>
          <w:rFonts w:ascii="Times New Roman" w:hAnsi="Times New Roman"/>
          <w:color w:val="000000"/>
          <w:sz w:val="20"/>
        </w:rPr>
        <w:t>. The Underwriter represents and warrants to, and agrees with,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3.1.         </w:t>
      </w:r>
      <w:r>
        <w:rPr>
          <w:rFonts w:ascii="Times New Roman" w:hAnsi="Times New Roman"/>
          <w:b/>
          <w:color w:val="000000"/>
          <w:sz w:val="20"/>
          <w:u w:val="single"/>
        </w:rPr>
        <w:t>No Testing-the-Waters Communications</w:t>
      </w:r>
      <w:r>
        <w:rPr>
          <w:rFonts w:ascii="Times New Roman" w:hAnsi="Times New Roman"/>
          <w:color w:val="000000"/>
          <w:sz w:val="20"/>
        </w:rPr>
        <w:t>. The Underwriter has not (i) alone engaged in any Testing-the-Waters Communication and (ii) authorized anyone to engage in Testing-the-Waters Communications. The Underwriter has not distributed, or authorized anyone else to distribute, any Written Testing-the-Waters Communications.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4. </w:t>
      </w:r>
      <w:r>
        <w:rPr>
          <w:rFonts w:ascii="Times New Roman" w:hAnsi="Times New Roman"/>
          <w:b/>
          <w:color w:val="000000"/>
          <w:sz w:val="20"/>
          <w:u w:val="single"/>
        </w:rPr>
        <w:t>Purchase and Resale</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4.1.         </w:t>
      </w:r>
      <w:r>
        <w:rPr>
          <w:rFonts w:ascii="Times New Roman" w:hAnsi="Times New Roman"/>
          <w:b/>
          <w:color w:val="000000"/>
          <w:sz w:val="20"/>
          <w:u w:val="single"/>
        </w:rPr>
        <w:t>Agreements to Sell and Purchase</w:t>
      </w:r>
      <w:r>
        <w:rPr>
          <w:rFonts w:ascii="Times New Roman" w:hAnsi="Times New Roman"/>
          <w:color w:val="000000"/>
          <w:sz w:val="20"/>
        </w:rPr>
        <w:t>. On the basis of the representations, warranties and covenants herein and subject to the conditions herein and any adjustments made in accordance with Section 4.3 hereof,</w:t>
      </w:r>
    </w:p>
    <w:p>
      <w:pPr>
        <w:pStyle w:val="TextBody"/>
        <w:bidi w:val="0"/>
        <w:jc w:val="both"/>
        <w:rPr>
          <w:rFonts w:ascii="Times New Roman" w:hAnsi="Times New Roman"/>
          <w:color w:val="000000"/>
          <w:sz w:val="20"/>
        </w:rPr>
      </w:pPr>
      <w:r>
        <w:rPr>
          <w:rFonts w:ascii="Times New Roman" w:hAnsi="Times New Roman"/>
          <w:color w:val="000000"/>
          <w:sz w:val="20"/>
        </w:rPr>
        <w:t>4.1.1. The Company agrees to issue and sell the Closing Shares and Option Shares to the Underwriter; and</w:t>
      </w:r>
    </w:p>
    <w:p>
      <w:pPr>
        <w:pStyle w:val="TextBody"/>
        <w:bidi w:val="0"/>
        <w:jc w:val="both"/>
        <w:rPr>
          <w:rFonts w:ascii="Times New Roman" w:hAnsi="Times New Roman"/>
          <w:color w:val="000000"/>
          <w:sz w:val="20"/>
        </w:rPr>
      </w:pPr>
      <w:r>
        <w:rPr>
          <w:rFonts w:ascii="Times New Roman" w:hAnsi="Times New Roman"/>
          <w:color w:val="000000"/>
          <w:sz w:val="20"/>
        </w:rPr>
        <w:t>4.1.2.        The Underwriter agrees to purchase from the Company the number of Closing Shares set forth opposite the Underwriter’s name in Schedule 4.1.2 hereto, subject to such adjustments as the Underwriter in its sole discretion shall make to eliminate any sales or purchases of fractional Shares.</w:t>
      </w:r>
    </w:p>
    <w:p>
      <w:pPr>
        <w:pStyle w:val="TextBody"/>
        <w:bidi w:val="0"/>
        <w:jc w:val="both"/>
        <w:rPr>
          <w:rFonts w:ascii="Times New Roman" w:hAnsi="Times New Roman"/>
          <w:sz w:val="20"/>
        </w:rPr>
      </w:pPr>
      <w:r>
        <w:rPr>
          <w:rFonts w:ascii="Times New Roman" w:hAnsi="Times New Roman"/>
          <w:color w:val="000000"/>
          <w:sz w:val="20"/>
        </w:rPr>
        <w:t>4.1.3. The Closing Shares are to be offered initially to the public at the offering price set forth on the cover page of the Final Prospectus Supplement (the “</w:t>
      </w:r>
      <w:r>
        <w:rPr>
          <w:rFonts w:ascii="Times New Roman" w:hAnsi="Times New Roman"/>
          <w:b/>
          <w:color w:val="000000"/>
          <w:sz w:val="20"/>
          <w:u w:val="single"/>
        </w:rPr>
        <w:t>Public Offering Price</w:t>
      </w:r>
      <w:r>
        <w:rPr>
          <w:rFonts w:ascii="Times New Roman" w:hAnsi="Times New Roman"/>
          <w:color w:val="000000"/>
          <w:sz w:val="20"/>
        </w:rPr>
        <w:t>”). The purchase price per Closing Share to be paid by the Underwriter to the Company shall be $2.5575 per Closing Share, which represents the Public Offering Price less an underwriting discount of 7.0%.</w:t>
      </w:r>
    </w:p>
    <w:p>
      <w:pPr>
        <w:pStyle w:val="TextBody"/>
        <w:bidi w:val="0"/>
        <w:jc w:val="both"/>
        <w:rPr>
          <w:rFonts w:ascii="Times New Roman" w:hAnsi="Times New Roman"/>
          <w:sz w:val="20"/>
        </w:rPr>
      </w:pPr>
      <w:r>
        <w:rPr>
          <w:rFonts w:ascii="Times New Roman" w:hAnsi="Times New Roman"/>
          <w:color w:val="000000"/>
          <w:sz w:val="20"/>
        </w:rPr>
        <w:t>4.1.4. Payment for the Closing Shares (the “</w:t>
      </w:r>
      <w:r>
        <w:rPr>
          <w:rFonts w:ascii="Times New Roman" w:hAnsi="Times New Roman"/>
          <w:b/>
          <w:color w:val="000000"/>
          <w:sz w:val="20"/>
          <w:u w:val="single"/>
        </w:rPr>
        <w:t>Closing Shares Payment</w:t>
      </w:r>
      <w:r>
        <w:rPr>
          <w:rFonts w:ascii="Times New Roman" w:hAnsi="Times New Roman"/>
          <w:color w:val="000000"/>
          <w:sz w:val="20"/>
        </w:rPr>
        <w:t>”) shall be made by wire transfer in immediately available funds to the accounts specified by the Company to the Underwriter at the offices of Underwriter Counsel at 10:00 a.m., ET, on July 14, 2026, or at such other place on the same or such other date and time, not later than the fifth (5th) Business Day thereafter, as the Underwriter and the Company may agree upon in writing (the “</w:t>
      </w:r>
      <w:r>
        <w:rPr>
          <w:rFonts w:ascii="Times New Roman" w:hAnsi="Times New Roman"/>
          <w:b/>
          <w:color w:val="000000"/>
          <w:sz w:val="20"/>
          <w:u w:val="single"/>
        </w:rPr>
        <w:t>Closing Date</w:t>
      </w:r>
      <w:r>
        <w:rPr>
          <w:rFonts w:ascii="Times New Roman" w:hAnsi="Times New Roman"/>
          <w:color w:val="000000"/>
          <w:sz w:val="20"/>
        </w:rPr>
        <w:t>”). The Closing Shares Payment shall be made against delivery of the Closing Shares to the Underwriter with any transfer taxes, stamp duties and other similar taxes payable in connection with the sale of the Closing Shares duly paid by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4.2.         </w:t>
      </w:r>
      <w:r>
        <w:rPr>
          <w:rFonts w:ascii="Times New Roman" w:hAnsi="Times New Roman"/>
          <w:b/>
          <w:color w:val="000000"/>
          <w:sz w:val="20"/>
          <w:u w:val="single"/>
        </w:rPr>
        <w:t>Over-Allotment Option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4.2.1. On the basis of the representations, warranties and covenants herein and subject to the conditions herein, the Underwriter is hereby granted an option (the “</w:t>
      </w:r>
      <w:r>
        <w:rPr>
          <w:rFonts w:ascii="Times New Roman" w:hAnsi="Times New Roman"/>
          <w:b/>
          <w:color w:val="000000"/>
          <w:sz w:val="20"/>
          <w:u w:val="single"/>
        </w:rPr>
        <w:t>Over-Allotment Option</w:t>
      </w:r>
      <w:r>
        <w:rPr>
          <w:rFonts w:ascii="Times New Roman" w:hAnsi="Times New Roman"/>
          <w:color w:val="000000"/>
          <w:sz w:val="20"/>
        </w:rPr>
        <w:t>”) to purchase, in the aggregate, up to 36,364 Option Shares, representing 15.0% of the aggregate number of Closing Shares [and Warrant Shares] sold in the offering. The purchase price to be paid per Option Share shall be equal to the price per Closing Share set forth in Section 4.1 hereof (the “</w:t>
      </w:r>
      <w:r>
        <w:rPr>
          <w:rFonts w:ascii="Times New Roman" w:hAnsi="Times New Roman"/>
          <w:b/>
          <w:color w:val="000000"/>
          <w:sz w:val="20"/>
          <w:u w:val="single"/>
        </w:rPr>
        <w:t>Over-Allotment Option Purchase Price</w:t>
      </w:r>
      <w:r>
        <w:rPr>
          <w:rFonts w:ascii="Times New Roman" w:hAnsi="Times New Roman"/>
          <w:color w:val="000000"/>
          <w:sz w:val="20"/>
        </w:rPr>
        <w:t>”). The offering and sale of the Securities is herein referred to as the “</w:t>
      </w:r>
      <w:r>
        <w:rPr>
          <w:rFonts w:ascii="Times New Roman" w:hAnsi="Times New Roman"/>
          <w:b/>
          <w:color w:val="000000"/>
          <w:sz w:val="20"/>
          <w:u w:val="single"/>
        </w:rPr>
        <w:t>Offering</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4.2.2. Upon an exercise of the Over-Allotment Option and subject to the terms and conditions herein, the Company agrees to issue and sell the Option Shares to the Underwriter;</w:t>
      </w:r>
    </w:p>
    <w:p>
      <w:pPr>
        <w:pStyle w:val="TextBody"/>
        <w:bidi w:val="0"/>
        <w:jc w:val="both"/>
        <w:rPr>
          <w:rFonts w:ascii="Times New Roman" w:hAnsi="Times New Roman"/>
          <w:color w:val="000000"/>
          <w:sz w:val="20"/>
        </w:rPr>
      </w:pPr>
      <w:r>
        <w:rPr>
          <w:rFonts w:ascii="Times New Roman" w:hAnsi="Times New Roman"/>
          <w:color w:val="000000"/>
          <w:sz w:val="20"/>
        </w:rPr>
        <w:t xml:space="preserve">4.2.3.       The Underwriter may exercise the Over-Allotment Option at any time in whole, or from time to time in part, on or before the forty-fifth (45th) Calendar Day following the closing of the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Offering, by written notice from the Underwriter to the Company (the “</w:t>
      </w:r>
      <w:r>
        <w:rPr>
          <w:rFonts w:ascii="Times New Roman" w:hAnsi="Times New Roman"/>
          <w:b/>
          <w:color w:val="000000"/>
          <w:sz w:val="20"/>
          <w:u w:val="single"/>
        </w:rPr>
        <w:t>Over-Allotment Exercise Notice</w:t>
      </w:r>
      <w:r>
        <w:rPr>
          <w:rFonts w:ascii="Times New Roman" w:hAnsi="Times New Roman"/>
          <w:color w:val="000000"/>
          <w:sz w:val="20"/>
        </w:rPr>
        <w:t>”). The Underwriter must give the Over-Allotment Exercise Notice to the Company at least one (1) Business Day prior to the Closing Date or the applicable Additional Closing Date, as the case may be. The Underwriter may cancel any exercise of the Over-Allotment Option at any time prior to the Closing Date or the applicable Additional Closing Date, as the case may be, by giving written notice of such cancellation to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4.2.4. The Over-Allotment Exercise Notice shall set forth each of the following: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4.2.4.1 the aggregate number of Option Shares as to which the Over-Allotment Option is being exercised.</w:t>
      </w:r>
    </w:p>
    <w:p>
      <w:pPr>
        <w:pStyle w:val="TextBody"/>
        <w:bidi w:val="0"/>
        <w:jc w:val="both"/>
        <w:rPr>
          <w:rFonts w:ascii="Times New Roman" w:hAnsi="Times New Roman"/>
          <w:color w:val="000000"/>
          <w:sz w:val="20"/>
        </w:rPr>
      </w:pPr>
      <w:r>
        <w:rPr>
          <w:rFonts w:ascii="Times New Roman" w:hAnsi="Times New Roman"/>
          <w:color w:val="000000"/>
          <w:sz w:val="20"/>
        </w:rPr>
        <w:t>4.2.4.2        the Over-Allotment Option Purchase Price.</w:t>
      </w:r>
    </w:p>
    <w:p>
      <w:pPr>
        <w:pStyle w:val="TextBody"/>
        <w:bidi w:val="0"/>
        <w:jc w:val="both"/>
        <w:rPr>
          <w:rFonts w:ascii="Times New Roman" w:hAnsi="Times New Roman"/>
          <w:color w:val="000000"/>
          <w:sz w:val="20"/>
        </w:rPr>
      </w:pPr>
      <w:r>
        <w:rPr>
          <w:rFonts w:ascii="Times New Roman" w:hAnsi="Times New Roman"/>
          <w:color w:val="000000"/>
          <w:sz w:val="20"/>
        </w:rPr>
        <w:t>4.2.4.3 the names and denominations in which the Option Shares are to be registered.</w:t>
      </w:r>
    </w:p>
    <w:p>
      <w:pPr>
        <w:pStyle w:val="TextBody"/>
        <w:bidi w:val="0"/>
        <w:jc w:val="both"/>
        <w:rPr>
          <w:rFonts w:ascii="Times New Roman" w:hAnsi="Times New Roman"/>
          <w:color w:val="000000"/>
          <w:sz w:val="20"/>
        </w:rPr>
      </w:pPr>
      <w:r>
        <w:rPr>
          <w:rFonts w:ascii="Times New Roman" w:hAnsi="Times New Roman"/>
          <w:color w:val="000000"/>
          <w:sz w:val="20"/>
        </w:rPr>
        <w:t>4.2.4.4        the applicable Additional Closing Date, which may be the same date and time as the Closing Date but shall not be earlier than the Closing Date nor later than the tenth (10th) full Business Day after the date of the Over-Allotment Exercise Notice.</w:t>
      </w:r>
    </w:p>
    <w:p>
      <w:pPr>
        <w:pStyle w:val="TextBody"/>
        <w:bidi w:val="0"/>
        <w:jc w:val="both"/>
        <w:rPr>
          <w:rFonts w:ascii="Times New Roman" w:hAnsi="Times New Roman"/>
          <w:sz w:val="20"/>
        </w:rPr>
      </w:pPr>
      <w:r>
        <w:rPr>
          <w:rFonts w:ascii="Times New Roman" w:hAnsi="Times New Roman"/>
          <w:color w:val="000000"/>
          <w:sz w:val="20"/>
        </w:rPr>
        <w:t>4.2.5. Payment for the Option Shares (the “</w:t>
      </w:r>
      <w:r>
        <w:rPr>
          <w:rFonts w:ascii="Times New Roman" w:hAnsi="Times New Roman"/>
          <w:b/>
          <w:color w:val="000000"/>
          <w:sz w:val="20"/>
          <w:u w:val="single"/>
        </w:rPr>
        <w:t>Option Shares Payment</w:t>
      </w:r>
      <w:r>
        <w:rPr>
          <w:rFonts w:ascii="Times New Roman" w:hAnsi="Times New Roman"/>
          <w:color w:val="000000"/>
          <w:sz w:val="20"/>
        </w:rPr>
        <w:t>”) shall be made by wire transfer in immediately available funds to the accounts specified by the Company to the Underwriter at the offices of Underwriter Counsel at 10:00 a.m. ET on the date specified in the corresponding Over-Allotment Exercise Notice, or at such other place on the same or such other date and time, not later than the fifth (5th) Business Day thereafter, as the Underwriter and the Company may agree upon in writing (an “</w:t>
      </w:r>
      <w:r>
        <w:rPr>
          <w:rFonts w:ascii="Times New Roman" w:hAnsi="Times New Roman"/>
          <w:b/>
          <w:color w:val="000000"/>
          <w:sz w:val="20"/>
          <w:u w:val="single"/>
        </w:rPr>
        <w:t>Additional Closing Date</w:t>
      </w:r>
      <w:r>
        <w:rPr>
          <w:rFonts w:ascii="Times New Roman" w:hAnsi="Times New Roman"/>
          <w:color w:val="000000"/>
          <w:sz w:val="20"/>
        </w:rPr>
        <w:t>”). The Option Shares Payment shall be made against delivery to the Underwriter of the Option Shares to be purchased on any Additional Closing Date, with any transfer taxes, stamp duties and other similar taxes payable in connection with the sale of the Option Shares duly paid by the Company. Delivery of the Option Shares shall be made through the facilities of DTC unless the Underwriter shall otherwise instruct.</w:t>
      </w:r>
    </w:p>
    <w:p>
      <w:pPr>
        <w:pStyle w:val="TextBody"/>
        <w:bidi w:val="0"/>
        <w:jc w:val="both"/>
        <w:rPr>
          <w:rFonts w:ascii="Times New Roman" w:hAnsi="Times New Roman"/>
          <w:sz w:val="20"/>
        </w:rPr>
      </w:pPr>
      <w:r>
        <w:rPr>
          <w:rFonts w:ascii="Times New Roman" w:hAnsi="Times New Roman"/>
          <w:color w:val="000000"/>
          <w:sz w:val="20"/>
        </w:rPr>
        <w:t>4.3.        </w:t>
      </w:r>
      <w:r>
        <w:rPr>
          <w:rFonts w:ascii="Times New Roman" w:hAnsi="Times New Roman"/>
          <w:b/>
          <w:color w:val="000000"/>
          <w:sz w:val="20"/>
          <w:u w:val="single"/>
        </w:rPr>
        <w:t>Public Offering</w:t>
      </w:r>
      <w:r>
        <w:rPr>
          <w:rFonts w:ascii="Times New Roman" w:hAnsi="Times New Roman"/>
          <w:color w:val="000000"/>
          <w:sz w:val="20"/>
        </w:rPr>
        <w:t>. The Company understands that the Underwriter intends to make a public offering of the Securities as soon after the effectiveness of this Agreement as in the judgment of the Underwriter is advisable, and initially to offer the Securities on the terms set forth in the Final Prospectus Supplement. The Company acknowledges and agrees that the Underwriter may offer and sell Securities to or through any Affiliate of the Underwriter.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5. </w:t>
      </w:r>
      <w:r>
        <w:rPr>
          <w:rFonts w:ascii="Times New Roman" w:hAnsi="Times New Roman"/>
          <w:b/>
          <w:color w:val="000000"/>
          <w:sz w:val="20"/>
          <w:u w:val="single"/>
        </w:rPr>
        <w:t>Covenants of the Company</w:t>
      </w:r>
      <w:r>
        <w:rPr>
          <w:rFonts w:ascii="Times New Roman" w:hAnsi="Times New Roman"/>
          <w:color w:val="000000"/>
          <w:sz w:val="20"/>
        </w:rPr>
        <w:t>. The Company hereby covenants and agrees with the Underwriter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5.1. </w:t>
      </w:r>
      <w:r>
        <w:rPr>
          <w:rFonts w:ascii="Times New Roman" w:hAnsi="Times New Roman"/>
          <w:b/>
          <w:color w:val="000000"/>
          <w:sz w:val="20"/>
          <w:u w:val="single"/>
        </w:rPr>
        <w:t>Filings with the Commission</w:t>
      </w:r>
      <w:r>
        <w:rPr>
          <w:rFonts w:ascii="Times New Roman" w:hAnsi="Times New Roman"/>
          <w:color w:val="000000"/>
          <w:sz w:val="20"/>
        </w:rPr>
        <w:t>. The Company will: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5.1.1.        prepare and file the Final Prospectus Supplement (in a form approved by the Underwriter and containing the Rule 430A Information) with the Commission in accordance with and within the time periods specified by Rules 424(b) and 430A under the Securities Act.</w:t>
      </w:r>
    </w:p>
    <w:p>
      <w:pPr>
        <w:pStyle w:val="TextBody"/>
        <w:bidi w:val="0"/>
        <w:jc w:val="both"/>
        <w:rPr>
          <w:rFonts w:ascii="Times New Roman" w:hAnsi="Times New Roman"/>
          <w:color w:val="000000"/>
          <w:sz w:val="20"/>
        </w:rPr>
      </w:pPr>
      <w:r>
        <w:rPr>
          <w:rFonts w:ascii="Times New Roman" w:hAnsi="Times New Roman"/>
          <w:color w:val="000000"/>
          <w:sz w:val="20"/>
        </w:rPr>
        <w:t>5.1.2.        file any Issuer Free Writing Prospectus with the Commission to the extent required by Rule 433 under the Securities Act.</w:t>
      </w:r>
    </w:p>
    <w:p>
      <w:pPr>
        <w:pStyle w:val="TextBody"/>
        <w:bidi w:val="0"/>
        <w:jc w:val="both"/>
        <w:rPr>
          <w:rFonts w:ascii="Times New Roman" w:hAnsi="Times New Roman"/>
          <w:color w:val="000000"/>
          <w:sz w:val="20"/>
        </w:rPr>
      </w:pPr>
      <w:r>
        <w:rPr>
          <w:rFonts w:ascii="Times New Roman" w:hAnsi="Times New Roman"/>
          <w:color w:val="000000"/>
          <w:sz w:val="20"/>
        </w:rPr>
        <w:t>5.1.3.       file with the Commission such reports as may be required by Rule 463 under the Securities Act.</w:t>
      </w:r>
    </w:p>
    <w:p>
      <w:pPr>
        <w:pStyle w:val="TextBody"/>
        <w:bidi w:val="0"/>
        <w:jc w:val="both"/>
        <w:rPr>
          <w:rFonts w:ascii="Times New Roman" w:hAnsi="Times New Roman"/>
          <w:sz w:val="20"/>
        </w:rPr>
      </w:pPr>
      <w:r>
        <w:rPr>
          <w:rFonts w:ascii="Times New Roman" w:hAnsi="Times New Roman"/>
          <w:color w:val="000000"/>
          <w:sz w:val="20"/>
        </w:rPr>
        <w:t xml:space="preserve">5.2. </w:t>
      </w:r>
      <w:r>
        <w:rPr>
          <w:rFonts w:ascii="Times New Roman" w:hAnsi="Times New Roman"/>
          <w:b/>
          <w:color w:val="000000"/>
          <w:sz w:val="20"/>
          <w:u w:val="single"/>
        </w:rPr>
        <w:t>Notice to the Underwriter</w:t>
      </w:r>
      <w:r>
        <w:rPr>
          <w:rFonts w:ascii="Times New Roman" w:hAnsi="Times New Roman"/>
          <w:color w:val="000000"/>
          <w:sz w:val="20"/>
        </w:rPr>
        <w:t>. The Company will advise the Underwriter promptly, and confirm such advice in writing: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5.2.1. when the Registration Statement has become effective.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5.2.2. when the Final Prospectus Supplement has been filed with the Commission.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5.2.3.       when any amendment to the Registration Statement has been filed or becomes effective.</w:t>
      </w:r>
    </w:p>
    <w:p>
      <w:pPr>
        <w:pStyle w:val="TextBody"/>
        <w:bidi w:val="0"/>
        <w:jc w:val="both"/>
        <w:rPr>
          <w:rFonts w:ascii="Times New Roman" w:hAnsi="Times New Roman"/>
          <w:color w:val="000000"/>
          <w:sz w:val="20"/>
        </w:rPr>
      </w:pPr>
      <w:r>
        <w:rPr>
          <w:rFonts w:ascii="Times New Roman" w:hAnsi="Times New Roman"/>
          <w:color w:val="000000"/>
          <w:sz w:val="20"/>
        </w:rPr>
        <w:t>5.2.4.        when any Rule 462(b) Registration Statement has been filed with the Commission.</w:t>
      </w:r>
    </w:p>
    <w:p>
      <w:pPr>
        <w:pStyle w:val="TextBody"/>
        <w:bidi w:val="0"/>
        <w:jc w:val="both"/>
        <w:rPr>
          <w:rFonts w:ascii="Times New Roman" w:hAnsi="Times New Roman"/>
          <w:color w:val="000000"/>
          <w:sz w:val="20"/>
        </w:rPr>
      </w:pPr>
      <w:r>
        <w:rPr>
          <w:rFonts w:ascii="Times New Roman" w:hAnsi="Times New Roman"/>
          <w:color w:val="000000"/>
          <w:sz w:val="20"/>
        </w:rPr>
        <w:t>5.2.5.        when any supplement to the Final Prospectus Supplement, any Issuer Free Writing Prospectus, any Written Testing-the-Waters Communication or any amendment to the Final Prospectus Supplement has been filed or distributed.</w:t>
      </w:r>
    </w:p>
    <w:p>
      <w:pPr>
        <w:pStyle w:val="TextBody"/>
        <w:bidi w:val="0"/>
        <w:jc w:val="both"/>
        <w:rPr>
          <w:rFonts w:ascii="Times New Roman" w:hAnsi="Times New Roman"/>
          <w:color w:val="000000"/>
          <w:sz w:val="20"/>
        </w:rPr>
      </w:pPr>
      <w:r>
        <w:rPr>
          <w:rFonts w:ascii="Times New Roman" w:hAnsi="Times New Roman"/>
          <w:color w:val="000000"/>
          <w:sz w:val="20"/>
        </w:rPr>
        <w:t>5.2.6.        of (x) any request by the Commission for any amendment to the Registration Statement or any amendment or supplement to the Final Prospectus Supplement, (y) the receipt of any comments from the Commission relating to the Registration Statement or (z) any other request by the Commission for any additional information, including, but not limited to, any request for information concerning any Testing-the-Waters Communication.</w:t>
      </w:r>
    </w:p>
    <w:p>
      <w:pPr>
        <w:pStyle w:val="TextBody"/>
        <w:bidi w:val="0"/>
        <w:jc w:val="both"/>
        <w:rPr>
          <w:rFonts w:ascii="Times New Roman" w:hAnsi="Times New Roman"/>
          <w:color w:val="000000"/>
          <w:sz w:val="20"/>
        </w:rPr>
      </w:pPr>
      <w:r>
        <w:rPr>
          <w:rFonts w:ascii="Times New Roman" w:hAnsi="Times New Roman"/>
          <w:color w:val="000000"/>
          <w:sz w:val="20"/>
        </w:rPr>
        <w:t>5.2.7.       of (x) the issuance by the Commission of any order suspending the effectiveness of the Registration Statement or preventing or suspending the use of the Registration Statement, the Pricing Disclosure Package, the Final Prospectus Supplement, any Preliminary Prospectus Supplement, any Issuer Free Writing Prospectus or any Written Testing-the-Waters Communication or (y) the initiation or, to the knowledge of the Company, threatening of any proceeding for that purpose or pursuant to Section 8A of the Securities Act.</w:t>
      </w:r>
    </w:p>
    <w:p>
      <w:pPr>
        <w:pStyle w:val="TextBody"/>
        <w:bidi w:val="0"/>
        <w:jc w:val="both"/>
        <w:rPr>
          <w:rFonts w:ascii="Times New Roman" w:hAnsi="Times New Roman"/>
          <w:color w:val="000000"/>
          <w:sz w:val="20"/>
        </w:rPr>
      </w:pPr>
      <w:r>
        <w:rPr>
          <w:rFonts w:ascii="Times New Roman" w:hAnsi="Times New Roman"/>
          <w:color w:val="000000"/>
          <w:sz w:val="20"/>
        </w:rPr>
        <w:t>5.2.8.       of the occurrence of any event or development within the Prospectus Delivery Period as a result of which, the Final Prospectus Supplement,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Final Prospectus Supplement, the Pricing Disclosure Package, any such Issuer Free Writing Prospectus or any such Written Testing-the-Waters Communication is delivered to a purchaser, not misleading.</w:t>
      </w:r>
    </w:p>
    <w:p>
      <w:pPr>
        <w:pStyle w:val="TextBody"/>
        <w:bidi w:val="0"/>
        <w:jc w:val="both"/>
        <w:rPr>
          <w:rFonts w:ascii="Times New Roman" w:hAnsi="Times New Roman"/>
          <w:color w:val="000000"/>
          <w:sz w:val="20"/>
        </w:rPr>
      </w:pPr>
      <w:r>
        <w:rPr>
          <w:rFonts w:ascii="Times New Roman" w:hAnsi="Times New Roman"/>
          <w:color w:val="000000"/>
          <w:sz w:val="20"/>
        </w:rPr>
        <w:t>5.2.9.        of the issuance by any governmental or regulatory authority or any order preventing or suspending the use of any of the Registration Statement, the Pricing Disclosure Package, the Final Prospectus Supplement, any Preliminary Prospectus Supplement, any Issuer Free Writing Prospectus or any Testing-the-Waters Communication or the initiation or threatening of any proceeding for that purpose.</w:t>
      </w:r>
    </w:p>
    <w:p>
      <w:pPr>
        <w:pStyle w:val="TextBody"/>
        <w:bidi w:val="0"/>
        <w:jc w:val="both"/>
        <w:rPr>
          <w:rFonts w:ascii="Times New Roman" w:hAnsi="Times New Roman"/>
          <w:color w:val="000000"/>
          <w:sz w:val="20"/>
        </w:rPr>
      </w:pPr>
      <w:r>
        <w:rPr>
          <w:rFonts w:ascii="Times New Roman" w:hAnsi="Times New Roman"/>
          <w:color w:val="000000"/>
          <w:sz w:val="20"/>
        </w:rPr>
        <w:t>5.2.10.       of the receipt by the Company of any notice with respect to any suspension of the qualification of the Securities for offer and sale in any jurisdiction or the initiation or, to the knowledge of the Company, threatening of any proceeding for such purpose.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5.3. </w:t>
      </w:r>
      <w:r>
        <w:rPr>
          <w:rFonts w:ascii="Times New Roman" w:hAnsi="Times New Roman"/>
          <w:b/>
          <w:color w:val="000000"/>
          <w:sz w:val="20"/>
          <w:u w:val="single"/>
        </w:rPr>
        <w:t>Ongoing Compliance</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5.3.1. If during the Prospectus Delivery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5.3.1.1       any event or development shall occur or condition shall exist as a result of which the Final Prospectus Supplement as then amended or supplemented would include any untrue statement of a material fact or omit to state any material fact necessary in order to make the statements therein, in the light of the circumstances existing when the Final Prospectus Supplement is delivered to a purchaser, not misleading, the Company will, as soon as reasonably possible, notify the Underwriter thereof and forthwith prepare and, subject to Section 5.4 hereof, file with the Commission and furnish, at its own expense, to the Underwriter and to such dealers as the Underwriter may designate such amendments or supplements to the Final Prospectus Supplement as may be necessary so that the statements in the Final Prospectus Supplement as so amended or supplemented will not, in the light of the circumstances existing when the Final Prospectus Supplement is delivered to a purchaser, be misleading; or</w:t>
      </w:r>
    </w:p>
    <w:p>
      <w:pPr>
        <w:pStyle w:val="TextBody"/>
        <w:bidi w:val="0"/>
        <w:jc w:val="both"/>
        <w:rPr>
          <w:rFonts w:ascii="Times New Roman" w:hAnsi="Times New Roman"/>
          <w:color w:val="000000"/>
          <w:sz w:val="20"/>
        </w:rPr>
      </w:pPr>
      <w:r>
        <w:rPr>
          <w:rFonts w:ascii="Times New Roman" w:hAnsi="Times New Roman"/>
          <w:color w:val="000000"/>
          <w:sz w:val="20"/>
        </w:rPr>
        <w:t xml:space="preserve">5.3.1.2 it is necessary to amend or supplement the Final Prospectus Supplement to comply with applicable law, the Company will, as soon as reasonably possible, notify the Underwriter thereof and forthwith prepare and, subject to Section 5.4 hereof, file with the Commission and furnish, at its own expense, to the Underwriter and to such dealers as the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Underwriter may designate such amendments or supplements to the Final Prospectus Supplement as may be necessary so that the Final Prospectus Supplement will comply with applicable law; and</w:t>
      </w:r>
    </w:p>
    <w:p>
      <w:pPr>
        <w:pStyle w:val="TextBody"/>
        <w:bidi w:val="0"/>
        <w:jc w:val="both"/>
        <w:rPr>
          <w:rFonts w:ascii="Times New Roman" w:hAnsi="Times New Roman"/>
          <w:color w:val="000000"/>
          <w:sz w:val="20"/>
        </w:rPr>
      </w:pPr>
      <w:r>
        <w:rPr>
          <w:rFonts w:ascii="Times New Roman" w:hAnsi="Times New Roman"/>
          <w:color w:val="000000"/>
          <w:sz w:val="20"/>
        </w:rPr>
        <w:t>5.3.2.        If at any time prior to the Closing Date or any Additional Closing Date, as the case may be:</w:t>
      </w:r>
    </w:p>
    <w:p>
      <w:pPr>
        <w:pStyle w:val="TextBody"/>
        <w:bidi w:val="0"/>
        <w:jc w:val="both"/>
        <w:rPr>
          <w:rFonts w:ascii="Times New Roman" w:hAnsi="Times New Roman"/>
          <w:color w:val="000000"/>
          <w:sz w:val="20"/>
        </w:rPr>
      </w:pPr>
      <w:r>
        <w:rPr>
          <w:rFonts w:ascii="Times New Roman" w:hAnsi="Times New Roman"/>
          <w:color w:val="000000"/>
          <w:sz w:val="20"/>
        </w:rPr>
        <w:t>5.3.2.1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the Company will immediately notify the Underwriter thereof and forthwith prepare and, subject to Section 5.4 hereof, file with the Commission (to the extent required) and furnish, at its own expense, to the Underwriter and to such dealers as the Underwriter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w:t>
      </w:r>
    </w:p>
    <w:p>
      <w:pPr>
        <w:pStyle w:val="TextBody"/>
        <w:bidi w:val="0"/>
        <w:jc w:val="both"/>
        <w:rPr>
          <w:rFonts w:ascii="Times New Roman" w:hAnsi="Times New Roman"/>
          <w:color w:val="000000"/>
          <w:sz w:val="20"/>
        </w:rPr>
      </w:pPr>
      <w:r>
        <w:rPr>
          <w:rFonts w:ascii="Times New Roman" w:hAnsi="Times New Roman"/>
          <w:color w:val="000000"/>
          <w:sz w:val="20"/>
        </w:rPr>
        <w:t>5.3.2.2        it is necessary to amend or supplement the Pricing Disclosure Package to comply with applicable law, the Company will immediately notify the Underwriter thereof and forthwith prepare and, subject to Section 5.4 hereof, file with the Commission (to the extent required) and furnish, at its own expense, to the Underwriter and to such dealers as the Underwriter may designate such amendments or supplements to the Pricing Disclosure Package as may be necessary so that the Pricing Disclosure Package will comply with applicable law.</w:t>
      </w:r>
    </w:p>
    <w:p>
      <w:pPr>
        <w:pStyle w:val="TextBody"/>
        <w:bidi w:val="0"/>
        <w:jc w:val="both"/>
        <w:rPr>
          <w:rFonts w:ascii="Times New Roman" w:hAnsi="Times New Roman"/>
          <w:sz w:val="20"/>
        </w:rPr>
      </w:pPr>
      <w:r>
        <w:rPr>
          <w:rFonts w:ascii="Times New Roman" w:hAnsi="Times New Roman"/>
          <w:color w:val="000000"/>
          <w:sz w:val="20"/>
        </w:rPr>
        <w:t>5.4.          </w:t>
      </w:r>
      <w:r>
        <w:rPr>
          <w:rFonts w:ascii="Times New Roman" w:hAnsi="Times New Roman"/>
          <w:b/>
          <w:color w:val="000000"/>
          <w:sz w:val="20"/>
          <w:u w:val="single"/>
        </w:rPr>
        <w:t>Amendments, Supplements and Issuer Free Writing Prospectuses</w:t>
      </w:r>
      <w:r>
        <w:rPr>
          <w:rFonts w:ascii="Times New Roman" w:hAnsi="Times New Roman"/>
          <w:color w:val="000000"/>
          <w:sz w:val="20"/>
        </w:rPr>
        <w:t>. Before (i) using, authorizing, approving, referring to, distributing or filing any Issuer Free Writing Prospectus, (ii) filing (x) any Rule 462(b) Registration Statement or (y) any amendment or supplement to the Registration Statement or the Final Prospectus Supplement, or (iii) distributing any amendment or supplement to the Pricing Disclosure Package or the Final Prospectus Supplement, the Company will furnish to the Underwriter and counsel for the Underwriter a copy of the proposed Issuer Free Writing Prospectus, Rule 462(b) Registration Statement or other amendment or supplement for review and will not use, authorize, refer to, distribute or file any such Issuer Free Writing Prospectus or Rule 462(b) Registration Statement, or file or distribute any such proposed amendment or supplement (A) to which the Underwriter objects in a timely manner and (B) which is not in compliance with the Securities Act. The Company will, pursuant to reasonable procedures developed in good faith, retain copies of each Issuer Free Writing Prospectus that is not filed with the Commission in accordance with Rule 433 under the Securities Act.</w:t>
      </w:r>
    </w:p>
    <w:p>
      <w:pPr>
        <w:pStyle w:val="TextBody"/>
        <w:bidi w:val="0"/>
        <w:jc w:val="both"/>
        <w:rPr>
          <w:rFonts w:ascii="Times New Roman" w:hAnsi="Times New Roman"/>
          <w:sz w:val="20"/>
        </w:rPr>
      </w:pPr>
      <w:r>
        <w:rPr>
          <w:rFonts w:ascii="Times New Roman" w:hAnsi="Times New Roman"/>
          <w:color w:val="000000"/>
          <w:sz w:val="20"/>
        </w:rPr>
        <w:t>5.5.          </w:t>
      </w:r>
      <w:r>
        <w:rPr>
          <w:rFonts w:ascii="Times New Roman" w:hAnsi="Times New Roman"/>
          <w:b/>
          <w:color w:val="000000"/>
          <w:sz w:val="20"/>
          <w:u w:val="single"/>
        </w:rPr>
        <w:t>Delivery of Copies</w:t>
      </w:r>
      <w:r>
        <w:rPr>
          <w:rFonts w:ascii="Times New Roman" w:hAnsi="Times New Roman"/>
          <w:color w:val="000000"/>
          <w:sz w:val="20"/>
        </w:rPr>
        <w:t>. The Company will, upon request of the Underwriter, deliver, without charge, (i) to the Underwriter, three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consents) and (B) during the Prospectus Delivery Period, as many copies of the Final Prospectus Supplement (including all amendments and supplements thereto and each Issuer Free Writing Prospectus) as the Underwriter may reasonably request.</w:t>
      </w:r>
    </w:p>
    <w:p>
      <w:pPr>
        <w:pStyle w:val="TextBody"/>
        <w:bidi w:val="0"/>
        <w:jc w:val="both"/>
        <w:rPr>
          <w:rFonts w:ascii="Times New Roman" w:hAnsi="Times New Roman"/>
          <w:sz w:val="20"/>
        </w:rPr>
      </w:pPr>
      <w:r>
        <w:rPr>
          <w:rFonts w:ascii="Times New Roman" w:hAnsi="Times New Roman"/>
          <w:color w:val="000000"/>
          <w:sz w:val="20"/>
        </w:rPr>
        <w:t>5.6.          </w:t>
      </w:r>
      <w:r>
        <w:rPr>
          <w:rFonts w:ascii="Times New Roman" w:hAnsi="Times New Roman"/>
          <w:b/>
          <w:color w:val="000000"/>
          <w:sz w:val="20"/>
          <w:u w:val="single"/>
        </w:rPr>
        <w:t>Blue Sky Compliance</w:t>
      </w:r>
      <w:r>
        <w:rPr>
          <w:rFonts w:ascii="Times New Roman" w:hAnsi="Times New Roman"/>
          <w:color w:val="000000"/>
          <w:sz w:val="20"/>
        </w:rPr>
        <w:t xml:space="preserve">. The Company will use its best efforts, with the Underwriter’s cooperation, if necessary, to qualify or register (or to obtain exemptions from qualifying or registering) the Securities for offer and sale under the securities or Blue Sky laws of such jurisdictions as the Underwriter shall reasonably request and will use its reasonable best efforts, with the Underwriter’s cooperation, if necessary, to continue such qualifications, registrations and exemptions in effect so long as required for the distribution of the Securities; </w:t>
      </w:r>
      <w:r>
        <w:rPr>
          <w:rFonts w:ascii="Times New Roman" w:hAnsi="Times New Roman"/>
          <w:color w:val="000000"/>
          <w:sz w:val="20"/>
          <w:u w:val="single"/>
        </w:rPr>
        <w:t>provided</w:t>
      </w:r>
      <w:r>
        <w:rPr>
          <w:rFonts w:ascii="Times New Roman" w:hAnsi="Times New Roman"/>
          <w:color w:val="000000"/>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jc w:val="both"/>
        <w:rPr>
          <w:rFonts w:ascii="Times New Roman" w:hAnsi="Times New Roman"/>
          <w:sz w:val="20"/>
        </w:rPr>
      </w:pPr>
      <w:r>
        <w:rPr>
          <w:rFonts w:ascii="Times New Roman" w:hAnsi="Times New Roman"/>
          <w:color w:val="000000"/>
          <w:sz w:val="20"/>
        </w:rPr>
        <w:t>5.7.          </w:t>
      </w:r>
      <w:r>
        <w:rPr>
          <w:rFonts w:ascii="Times New Roman" w:hAnsi="Times New Roman"/>
          <w:b/>
          <w:color w:val="000000"/>
          <w:sz w:val="20"/>
          <w:u w:val="single"/>
        </w:rPr>
        <w:t>Earning Statement</w:t>
      </w:r>
      <w:r>
        <w:rPr>
          <w:rFonts w:ascii="Times New Roman" w:hAnsi="Times New Roman"/>
          <w:color w:val="000000"/>
          <w:sz w:val="20"/>
        </w:rPr>
        <w:t xml:space="preserve">. The Company will make generally available to its security holders and the Underwriter as soon as practicable an earning statement that satisfies the provisions of Section 11(a) of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Securities Act and Rule 158 under the Securities Act covering a period of at least 12 months beginning after the “effective date” (as defined in Rule 158 under the Securities Act) of the Registration Statement; </w:t>
      </w:r>
      <w:r>
        <w:rPr>
          <w:rFonts w:ascii="Times New Roman" w:hAnsi="Times New Roman"/>
          <w:color w:val="000000"/>
          <w:sz w:val="20"/>
          <w:u w:val="single"/>
        </w:rPr>
        <w:t>provided</w:t>
      </w:r>
      <w:r>
        <w:rPr>
          <w:rFonts w:ascii="Times New Roman" w:hAnsi="Times New Roman"/>
          <w:color w:val="000000"/>
          <w:sz w:val="20"/>
        </w:rPr>
        <w:t xml:space="preserve"> that the Company will be deemed to have furnished such statement to its security holders and the Underwriter to the extent it is filed on the Commission’s Electronic Data Gathering, Analysis and Retrieval system (“</w:t>
      </w:r>
      <w:r>
        <w:rPr>
          <w:rFonts w:ascii="Times New Roman" w:hAnsi="Times New Roman"/>
          <w:b/>
          <w:color w:val="000000"/>
          <w:sz w:val="20"/>
          <w:u w:val="single"/>
        </w:rPr>
        <w:t>EDGAR</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 xml:space="preserve">5.8. </w:t>
      </w:r>
      <w:r>
        <w:rPr>
          <w:rFonts w:ascii="Times New Roman" w:hAnsi="Times New Roman"/>
          <w:b/>
          <w:color w:val="000000"/>
          <w:sz w:val="20"/>
          <w:u w:val="single"/>
        </w:rPr>
        <w:t>Reserved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5.9. </w:t>
      </w:r>
      <w:r>
        <w:rPr>
          <w:rFonts w:ascii="Times New Roman" w:hAnsi="Times New Roman"/>
          <w:b/>
          <w:color w:val="000000"/>
          <w:sz w:val="20"/>
          <w:u w:val="single"/>
        </w:rPr>
        <w:t>Use of Proceeds</w:t>
      </w:r>
      <w:r>
        <w:rPr>
          <w:rFonts w:ascii="Times New Roman" w:hAnsi="Times New Roman"/>
          <w:color w:val="000000"/>
          <w:sz w:val="20"/>
        </w:rPr>
        <w:t>. The Company shall apply the net proceeds from the sale of the Closing Shares and the Option Shares in the manner described under the caption “Use of Proceeds” in the Registration Statement, the Pricing Disclosure Package and the Final Prospectus Supplement.</w:t>
      </w:r>
    </w:p>
    <w:p>
      <w:pPr>
        <w:pStyle w:val="TextBody"/>
        <w:bidi w:val="0"/>
        <w:jc w:val="both"/>
        <w:rPr>
          <w:rFonts w:ascii="Times New Roman" w:hAnsi="Times New Roman"/>
          <w:sz w:val="20"/>
        </w:rPr>
      </w:pPr>
      <w:r>
        <w:rPr>
          <w:rFonts w:ascii="Times New Roman" w:hAnsi="Times New Roman"/>
          <w:color w:val="000000"/>
          <w:sz w:val="20"/>
        </w:rPr>
        <w:t xml:space="preserve">5.10. </w:t>
      </w:r>
      <w:r>
        <w:rPr>
          <w:rFonts w:ascii="Times New Roman" w:hAnsi="Times New Roman"/>
          <w:b/>
          <w:color w:val="000000"/>
          <w:sz w:val="20"/>
          <w:u w:val="single"/>
        </w:rPr>
        <w:t>Clear Market</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5.10.1.        For a period of twenty (20) days after the Release Date (the “</w:t>
      </w:r>
      <w:r>
        <w:rPr>
          <w:rFonts w:ascii="Times New Roman" w:hAnsi="Times New Roman"/>
          <w:b/>
          <w:color w:val="000000"/>
          <w:sz w:val="20"/>
          <w:u w:val="single"/>
        </w:rPr>
        <w:t>Standstill Period</w:t>
      </w:r>
      <w:r>
        <w:rPr>
          <w:rFonts w:ascii="Times New Roman" w:hAnsi="Times New Roman"/>
          <w:color w:val="000000"/>
          <w:sz w:val="20"/>
        </w:rPr>
        <w:t>”), the Company will not (a) offer, pledge, sell, issue, contract to sell, sell any option or contract to purchase, purchase any option or contract to sell, grant any option, right or warrant to purchase, or otherwise transfer or dispose of, directly or indirectly, any equity of the Company or any securities convertible into or exercisable or exchangeable for equity of the Company; (b) file or caused to be filed any registration statement with the Commission relating to the offering of any equity of the Company or any securities convertible into or exercisable or exchangeable for equity of the Company; or (c) enter into any agreement or announce the intention to effect any of the actions described in subsections (a) or (b) hereof, without the prior written consent of the Underwriter.</w:t>
      </w:r>
    </w:p>
    <w:p>
      <w:pPr>
        <w:pStyle w:val="TextBody"/>
        <w:bidi w:val="0"/>
        <w:jc w:val="both"/>
        <w:rPr>
          <w:rFonts w:ascii="Times New Roman" w:hAnsi="Times New Roman"/>
          <w:color w:val="000000"/>
          <w:sz w:val="20"/>
        </w:rPr>
      </w:pPr>
      <w:r>
        <w:rPr>
          <w:rFonts w:ascii="Times New Roman" w:hAnsi="Times New Roman"/>
          <w:color w:val="000000"/>
          <w:sz w:val="20"/>
        </w:rPr>
        <w:t>5.10.2. The restrictions contained in Section 5.10.1 hereof shall not apply to: (A) the Securities, (B) any shares of Common Stock issued under Company Common Stock Incentive Plans or warrants issued by the Company, in each case, described as outstanding in the Registration Statement, the Pricing Disclosure Package and the Final Prospectus; (C) securities issued pursuant to agreements, options, restricted share units or convertible securities existing as of the date hereof and as described in the Registration Statement, the Pricing Disclosure Package and the Final Prospectus, provided the terms are not modified, and provided that such agreements, options, restricted share units or convertible securities will not be amended during the Standstill Period; and (D)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the Offering referred herein.</w:t>
      </w:r>
    </w:p>
    <w:p>
      <w:pPr>
        <w:pStyle w:val="TextBody"/>
        <w:bidi w:val="0"/>
        <w:jc w:val="both"/>
        <w:rPr>
          <w:rFonts w:ascii="Times New Roman" w:hAnsi="Times New Roman"/>
          <w:sz w:val="20"/>
        </w:rPr>
      </w:pPr>
      <w:r>
        <w:rPr>
          <w:rFonts w:ascii="Times New Roman" w:hAnsi="Times New Roman"/>
          <w:color w:val="000000"/>
          <w:sz w:val="20"/>
        </w:rPr>
        <w:t xml:space="preserve">5.10.3.        If the Underwriter, in its sole discretion, agrees to release or waive the restrictions set forth in any Lock-Up Agreement as described in Section 8.9 and provides the Company with notice of the impending release or waiver substantially in the form of </w:t>
      </w:r>
      <w:r>
        <w:rPr>
          <w:rFonts w:ascii="Times New Roman" w:hAnsi="Times New Roman"/>
          <w:b/>
          <w:color w:val="000000"/>
          <w:sz w:val="20"/>
          <w:u w:val="single"/>
        </w:rPr>
        <w:t>Exhibit 5.10.3.1</w:t>
      </w:r>
      <w:r>
        <w:rPr>
          <w:rFonts w:ascii="Times New Roman" w:hAnsi="Times New Roman"/>
          <w:color w:val="000000"/>
          <w:sz w:val="20"/>
        </w:rPr>
        <w:t xml:space="preserve"> hereto at least three (3) Business Days before the effective date of the release or waiver, then the Company agrees to announce the impending release or waiver by a press release substantially in the form of </w:t>
      </w:r>
      <w:r>
        <w:rPr>
          <w:rFonts w:ascii="Times New Roman" w:hAnsi="Times New Roman"/>
          <w:b/>
          <w:color w:val="000000"/>
          <w:sz w:val="20"/>
          <w:u w:val="single"/>
        </w:rPr>
        <w:t>Exhibit 5.10.3.2</w:t>
      </w:r>
      <w:r>
        <w:rPr>
          <w:rFonts w:ascii="Times New Roman" w:hAnsi="Times New Roman"/>
          <w:color w:val="000000"/>
          <w:sz w:val="20"/>
        </w:rPr>
        <w:t xml:space="preserve"> hereto through a major news service at least two (2) Business Days before the effective date of the release or waiver.</w:t>
      </w:r>
    </w:p>
    <w:p>
      <w:pPr>
        <w:pStyle w:val="TextBody"/>
        <w:bidi w:val="0"/>
        <w:jc w:val="both"/>
        <w:rPr>
          <w:rFonts w:ascii="Times New Roman" w:hAnsi="Times New Roman"/>
          <w:sz w:val="20"/>
        </w:rPr>
      </w:pPr>
      <w:r>
        <w:rPr>
          <w:rFonts w:ascii="Times New Roman" w:hAnsi="Times New Roman"/>
          <w:color w:val="000000"/>
          <w:sz w:val="20"/>
        </w:rPr>
        <w:t>5.11.        </w:t>
      </w:r>
      <w:r>
        <w:rPr>
          <w:rFonts w:ascii="Times New Roman" w:hAnsi="Times New Roman"/>
          <w:b/>
          <w:color w:val="000000"/>
          <w:sz w:val="20"/>
          <w:u w:val="single"/>
        </w:rPr>
        <w:t>No Stabilization or Manipulation</w:t>
      </w:r>
      <w:r>
        <w:rPr>
          <w:rFonts w:ascii="Times New Roman" w:hAnsi="Times New Roman"/>
          <w:color w:val="000000"/>
          <w:sz w:val="20"/>
        </w:rPr>
        <w:t>. None of the Company, its Affiliates or any person acting on its or any of their behalf (other than the Underwriter, as to which no covenant is given) will take, directly or indirectly, any action designed to or that constitutes or that could reasonably be expected to cause or result in the stabilization or manipulation of the price of any securities of the Company. The Company acknowledges that the Underwriter may engage in passive market making transactions in the Common Stock on the Exchange in accordance with Regulation M.</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5.12.        </w:t>
      </w:r>
      <w:r>
        <w:rPr>
          <w:rFonts w:ascii="Times New Roman" w:hAnsi="Times New Roman"/>
          <w:b/>
          <w:color w:val="000000"/>
          <w:sz w:val="20"/>
          <w:u w:val="single"/>
        </w:rPr>
        <w:t>Investment Company Act</w:t>
      </w:r>
      <w:r>
        <w:rPr>
          <w:rFonts w:ascii="Times New Roman" w:hAnsi="Times New Roman"/>
          <w:color w:val="000000"/>
          <w:sz w:val="20"/>
        </w:rPr>
        <w:t>. The Company shall not invest, or otherwise use the proceeds received by the Company from the sale of the Securities in such a manner as would require the Company or any of its subsidiaries to register as an “investment company” (as defined in the Investment Company Act) under the Investment Company Act.</w:t>
      </w:r>
    </w:p>
    <w:p>
      <w:pPr>
        <w:pStyle w:val="TextBody"/>
        <w:bidi w:val="0"/>
        <w:jc w:val="both"/>
        <w:rPr>
          <w:rFonts w:ascii="Times New Roman" w:hAnsi="Times New Roman"/>
          <w:sz w:val="20"/>
        </w:rPr>
      </w:pPr>
      <w:r>
        <w:rPr>
          <w:rFonts w:ascii="Times New Roman" w:hAnsi="Times New Roman"/>
          <w:color w:val="000000"/>
          <w:sz w:val="20"/>
        </w:rPr>
        <w:t>5.13.        </w:t>
      </w:r>
      <w:r>
        <w:rPr>
          <w:rFonts w:ascii="Times New Roman" w:hAnsi="Times New Roman"/>
          <w:b/>
          <w:color w:val="000000"/>
          <w:sz w:val="20"/>
          <w:u w:val="single"/>
        </w:rPr>
        <w:t>Transfer Agent</w:t>
      </w:r>
      <w:r>
        <w:rPr>
          <w:rFonts w:ascii="Times New Roman" w:hAnsi="Times New Roman"/>
          <w:color w:val="000000"/>
          <w:sz w:val="20"/>
        </w:rPr>
        <w:t>. For the period of two years from the date of this Agreement, the Company shall engage and maintain, at its expense, a registrar and transfer agent for the Common Stock.</w:t>
      </w:r>
    </w:p>
    <w:p>
      <w:pPr>
        <w:pStyle w:val="TextBody"/>
        <w:bidi w:val="0"/>
        <w:jc w:val="both"/>
        <w:rPr>
          <w:rFonts w:ascii="Times New Roman" w:hAnsi="Times New Roman"/>
          <w:sz w:val="20"/>
        </w:rPr>
      </w:pPr>
      <w:r>
        <w:rPr>
          <w:rFonts w:ascii="Times New Roman" w:hAnsi="Times New Roman"/>
          <w:color w:val="000000"/>
          <w:sz w:val="20"/>
        </w:rPr>
        <w:t>5.14.        </w:t>
      </w:r>
      <w:r>
        <w:rPr>
          <w:rFonts w:ascii="Times New Roman" w:hAnsi="Times New Roman"/>
          <w:b/>
          <w:color w:val="000000"/>
          <w:sz w:val="20"/>
          <w:u w:val="single"/>
        </w:rPr>
        <w:t>Reports</w:t>
      </w:r>
      <w:r>
        <w:rPr>
          <w:rFonts w:ascii="Times New Roman" w:hAnsi="Times New Roman"/>
          <w:color w:val="000000"/>
          <w:sz w:val="20"/>
        </w:rPr>
        <w:t xml:space="preserve">. For the period of two years from the date of this Agreement, the Company will furnish to the Underwriter, as soon as they are available, copies of all reports or other communications (financial or other) furnished to holders of the Common Stock, and copies of any reports and financial statements furnished to or filed with the Commission or any national securities exchange or automatic quotation system; </w:t>
      </w:r>
      <w:r>
        <w:rPr>
          <w:rFonts w:ascii="Times New Roman" w:hAnsi="Times New Roman"/>
          <w:color w:val="000000"/>
          <w:sz w:val="20"/>
          <w:u w:val="single"/>
        </w:rPr>
        <w:t>provided</w:t>
      </w:r>
      <w:r>
        <w:rPr>
          <w:rFonts w:ascii="Times New Roman" w:hAnsi="Times New Roman"/>
          <w:color w:val="000000"/>
          <w:sz w:val="20"/>
        </w:rPr>
        <w:t xml:space="preserve"> that the Company will be deemed to have furnished such reports and financial statements to the Underwriter to the extent they are filed on the Commission’s Electronic Data Gathering, Analysis and Retrieval system.</w:t>
      </w:r>
    </w:p>
    <w:p>
      <w:pPr>
        <w:pStyle w:val="TextBody"/>
        <w:bidi w:val="0"/>
        <w:jc w:val="both"/>
        <w:rPr>
          <w:rFonts w:ascii="Times New Roman" w:hAnsi="Times New Roman"/>
          <w:sz w:val="20"/>
        </w:rPr>
      </w:pPr>
      <w:r>
        <w:rPr>
          <w:rFonts w:ascii="Times New Roman" w:hAnsi="Times New Roman"/>
          <w:color w:val="000000"/>
          <w:sz w:val="20"/>
        </w:rPr>
        <w:t>5.15.        </w:t>
      </w:r>
      <w:r>
        <w:rPr>
          <w:rFonts w:ascii="Times New Roman" w:hAnsi="Times New Roman"/>
          <w:b/>
          <w:color w:val="000000"/>
          <w:sz w:val="20"/>
          <w:u w:val="single"/>
        </w:rPr>
        <w:t>Reserved.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5.16. </w:t>
      </w:r>
      <w:r>
        <w:rPr>
          <w:rFonts w:ascii="Times New Roman" w:hAnsi="Times New Roman"/>
          <w:b/>
          <w:color w:val="000000"/>
          <w:sz w:val="20"/>
          <w:u w:val="single"/>
        </w:rPr>
        <w:t>Reserved.</w:t>
      </w:r>
    </w:p>
    <w:p>
      <w:pPr>
        <w:pStyle w:val="TextBody"/>
        <w:bidi w:val="0"/>
        <w:jc w:val="both"/>
        <w:rPr>
          <w:rFonts w:ascii="Times New Roman" w:hAnsi="Times New Roman"/>
          <w:sz w:val="20"/>
        </w:rPr>
      </w:pPr>
      <w:r>
        <w:rPr>
          <w:rFonts w:ascii="Times New Roman" w:hAnsi="Times New Roman"/>
          <w:color w:val="000000"/>
          <w:sz w:val="20"/>
        </w:rPr>
        <w:t xml:space="preserve">6. </w:t>
      </w:r>
      <w:r>
        <w:rPr>
          <w:rFonts w:ascii="Times New Roman" w:hAnsi="Times New Roman"/>
          <w:b/>
          <w:color w:val="000000"/>
          <w:sz w:val="20"/>
          <w:u w:val="single"/>
        </w:rPr>
        <w:t>Covenants of the Underwriter</w:t>
      </w:r>
      <w:r>
        <w:rPr>
          <w:rFonts w:ascii="Times New Roman" w:hAnsi="Times New Roman"/>
          <w:color w:val="000000"/>
          <w:sz w:val="20"/>
        </w:rPr>
        <w:t>. The Underwriter hereby covenants and agrees with the Company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6.1.          </w:t>
      </w:r>
      <w:r>
        <w:rPr>
          <w:rFonts w:ascii="Times New Roman" w:hAnsi="Times New Roman"/>
          <w:b/>
          <w:color w:val="000000"/>
          <w:sz w:val="20"/>
          <w:u w:val="single"/>
        </w:rPr>
        <w:t>Underwriter Free Writing Prospectus</w:t>
      </w:r>
      <w:r>
        <w:rPr>
          <w:rFonts w:ascii="Times New Roman" w:hAnsi="Times New Roman"/>
          <w:color w:val="000000"/>
          <w:sz w:val="20"/>
        </w:rPr>
        <w:t>. The Underwriter has not used, authorized the use of, referred to or participated in the planning for use of, and will not use, authorize the use of, refer to or participate in the planning for use of, any Free Writing Prospectus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filed or required to be filed pursuant to Rule 433(d) under the Securities Act (“</w:t>
      </w:r>
      <w:r>
        <w:rPr>
          <w:rFonts w:ascii="Times New Roman" w:hAnsi="Times New Roman"/>
          <w:b/>
          <w:color w:val="000000"/>
          <w:sz w:val="20"/>
          <w:u w:val="single"/>
        </w:rPr>
        <w:t>Issuer Information</w:t>
      </w:r>
      <w:r>
        <w:rPr>
          <w:rFonts w:ascii="Times New Roman" w:hAnsi="Times New Roman"/>
          <w:color w:val="000000"/>
          <w:sz w:val="20"/>
        </w:rPr>
        <w:t>”) that was not included in the Preliminary Prospectus Supplement or a previously filed Issuer Free Writing Prospectus, (ii) any Issuer Free Writing Prospectus listed in Schedule 2.5.4 hereto or prepared pursuant to Section 2.5.4 or Section 5.4 hereof (including any electronic road show), or (iii) any Free Writing Prospectus prepared by the Underwriter and approved by the Company in advance in writing.</w:t>
      </w:r>
    </w:p>
    <w:p>
      <w:pPr>
        <w:pStyle w:val="TextBody"/>
        <w:bidi w:val="0"/>
        <w:jc w:val="both"/>
        <w:rPr>
          <w:rFonts w:ascii="Times New Roman" w:hAnsi="Times New Roman"/>
          <w:sz w:val="20"/>
        </w:rPr>
      </w:pPr>
      <w:r>
        <w:rPr>
          <w:rFonts w:ascii="Times New Roman" w:hAnsi="Times New Roman"/>
          <w:color w:val="000000"/>
          <w:sz w:val="20"/>
        </w:rPr>
        <w:t>6.2.          </w:t>
      </w:r>
      <w:r>
        <w:rPr>
          <w:rFonts w:ascii="Times New Roman" w:hAnsi="Times New Roman"/>
          <w:b/>
          <w:color w:val="000000"/>
          <w:sz w:val="20"/>
          <w:u w:val="single"/>
        </w:rPr>
        <w:t>Section 8A Proceedings</w:t>
      </w:r>
      <w:r>
        <w:rPr>
          <w:rFonts w:ascii="Times New Roman" w:hAnsi="Times New Roman"/>
          <w:color w:val="000000"/>
          <w:sz w:val="20"/>
        </w:rPr>
        <w:t>. The Underwriter is not subject to any pending proceeding under Section 8A of the Securities Act with respect to the offering of the Securities and will promptly notify the Company if any such proceeding against it is initiated during the Prospectus Delivery Period.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7. </w:t>
      </w:r>
      <w:r>
        <w:rPr>
          <w:rFonts w:ascii="Times New Roman" w:hAnsi="Times New Roman"/>
          <w:b/>
          <w:color w:val="000000"/>
          <w:sz w:val="20"/>
          <w:u w:val="single"/>
        </w:rPr>
        <w:t>Payment of Expenses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7.1. </w:t>
      </w:r>
      <w:r>
        <w:rPr>
          <w:rFonts w:ascii="Times New Roman" w:hAnsi="Times New Roman"/>
          <w:b/>
          <w:color w:val="000000"/>
          <w:sz w:val="20"/>
          <w:u w:val="single"/>
        </w:rPr>
        <w:t>Company Expenses</w:t>
      </w:r>
      <w:r>
        <w:rPr>
          <w:rFonts w:ascii="Times New Roman" w:hAnsi="Times New Roman"/>
          <w:color w:val="000000"/>
          <w:sz w:val="20"/>
        </w:rPr>
        <w:t>. The Company hereby agrees to pay on the Closing Date all expenses incident to the performance of the obligations of the Company under this Agreement including, but not limited to: (a) all filing fees and expenses relating to the registration of the Securities with the Commission; (b) all FINRA Public Offering filing fees; (c) all fees and expenses relating to the listing of the Company’s equity or equity-linked securities on an Exchange; (d) all fees, expenses and disbursements relating to the registration or qualification of the Securities under the “blue sky” securities laws of such states and other jurisdictions as the Underwriter may reasonably designate (including, without limitation, all filing and registration fees, and the reasonable fees and disbursements of the Company’s “blue sky” counsel, which will be the Underwriter’s counsel) unless such filings are not required in connection with the Company’s proposed Exchange listing; (e) any fees for counsel to lead investors in the Offering; (f) all fees, expenses and disbursements relating to the registration, qualification or exemption of the Securities under the securities laws of such foreign jurisdictions as the Underwriter may reasonably designate; (g) the costs of all mailing and printing of the Offering documents; (h) transfer and/or stamp taxes, if any, payable upon the transfer of Securities from the Company to the Underwriter; (i) the fees and expenses of the Company’s accountants; and (j) reasonable legal fees and disbursements for the Underwriter’s counsel, not to exceed $50,000 in aggregate. The Underwriter may deduct from the net proceeds of the Offering payable to the Company on the Closing Date the expenses set forth herein to be paid by the Company to the Underwriter. Except as provided for in this Agreement, the Underwriter shall bear the costs and expenses incurred by them in connection with the sale of the Securities and the transactions contemplated thereby.</w:t>
      </w:r>
    </w:p>
    <w:p>
      <w:pPr>
        <w:pStyle w:val="TextBody"/>
        <w:bidi w:val="0"/>
        <w:jc w:val="both"/>
        <w:rPr>
          <w:rFonts w:ascii="Times New Roman" w:hAnsi="Times New Roman"/>
          <w:sz w:val="20"/>
        </w:rPr>
      </w:pPr>
      <w:r>
        <w:rPr>
          <w:rFonts w:ascii="Times New Roman" w:hAnsi="Times New Roman"/>
          <w:color w:val="000000"/>
          <w:sz w:val="20"/>
        </w:rPr>
        <w:t>7.2.          </w:t>
      </w:r>
      <w:r>
        <w:rPr>
          <w:rFonts w:ascii="Times New Roman" w:hAnsi="Times New Roman"/>
          <w:b/>
          <w:color w:val="000000"/>
          <w:sz w:val="20"/>
          <w:u w:val="single"/>
        </w:rPr>
        <w:t>Underwriter Expenses</w:t>
      </w:r>
      <w:r>
        <w:rPr>
          <w:rFonts w:ascii="Times New Roman" w:hAnsi="Times New Roman"/>
          <w:color w:val="000000"/>
          <w:sz w:val="20"/>
        </w:rPr>
        <w:t>. Except to the extent otherwise provided in this Section 7 or Section 9 hereof, the Underwriter will pay all of its own costs and expenses, including the fees and expenses of their counsel, any stock transfer taxes on resale of any of the Securities held by them, and any advertising expenses connected with any offers they may make.</w:t>
      </w:r>
    </w:p>
    <w:p>
      <w:pPr>
        <w:pStyle w:val="TextBody"/>
        <w:bidi w:val="0"/>
        <w:jc w:val="both"/>
        <w:rPr>
          <w:rFonts w:ascii="Times New Roman" w:hAnsi="Times New Roman"/>
          <w:sz w:val="20"/>
        </w:rPr>
      </w:pPr>
      <w:r>
        <w:rPr>
          <w:rFonts w:ascii="Times New Roman" w:hAnsi="Times New Roman"/>
          <w:color w:val="000000"/>
          <w:sz w:val="20"/>
        </w:rPr>
        <w:t>7.3.          </w:t>
      </w:r>
      <w:r>
        <w:rPr>
          <w:rFonts w:ascii="Times New Roman" w:hAnsi="Times New Roman"/>
          <w:b/>
          <w:color w:val="000000"/>
          <w:sz w:val="20"/>
          <w:u w:val="single"/>
        </w:rPr>
        <w:t>Company Reimbursement</w:t>
      </w:r>
      <w:r>
        <w:rPr>
          <w:rFonts w:ascii="Times New Roman" w:hAnsi="Times New Roman"/>
          <w:color w:val="000000"/>
          <w:sz w:val="20"/>
        </w:rPr>
        <w:t>. The provisions of this Section 7 shall not affect any agreement that the Company may make for the sharing of such costs and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8. </w:t>
      </w:r>
      <w:r>
        <w:rPr>
          <w:rFonts w:ascii="Times New Roman" w:hAnsi="Times New Roman"/>
          <w:b/>
          <w:color w:val="000000"/>
          <w:sz w:val="20"/>
          <w:u w:val="single"/>
        </w:rPr>
        <w:t>Conditions of the Obligations of the Underwriter</w:t>
      </w:r>
      <w:r>
        <w:rPr>
          <w:rFonts w:ascii="Times New Roman" w:hAnsi="Times New Roman"/>
          <w:color w:val="000000"/>
          <w:sz w:val="20"/>
        </w:rPr>
        <w:t>. The obligations of the Underwriter to purchase the Closing Shares as provided herein on the Closing Date or the Option Shares as provided herein on any Additional Closing Date, as the case may be, shall be subject to the timely performance by the Company of its covenants and other obligations hereunder, and to each of the following additional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8.1. </w:t>
      </w:r>
      <w:r>
        <w:rPr>
          <w:rFonts w:ascii="Times New Roman" w:hAnsi="Times New Roman"/>
          <w:b/>
          <w:color w:val="000000"/>
          <w:sz w:val="20"/>
          <w:u w:val="single"/>
        </w:rPr>
        <w:t>Registration Compliance; No Stop Order</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8.1.1.        The Registration Statement and any post-effective amendment thereto shall have become effective, no stop order suspending the effectiveness of the Registration Statement or any post-effective amendment thereto shall be in effect, and no proceeding for such purpose or pursuant to Section 8A of the Securities Act shall be pending before or threatened by the Commission.</w:t>
      </w:r>
    </w:p>
    <w:p>
      <w:pPr>
        <w:pStyle w:val="TextBody"/>
        <w:bidi w:val="0"/>
        <w:jc w:val="both"/>
        <w:rPr>
          <w:rFonts w:ascii="Times New Roman" w:hAnsi="Times New Roman"/>
          <w:color w:val="000000"/>
          <w:sz w:val="20"/>
        </w:rPr>
      </w:pPr>
      <w:r>
        <w:rPr>
          <w:rFonts w:ascii="Times New Roman" w:hAnsi="Times New Roman"/>
          <w:color w:val="000000"/>
          <w:sz w:val="20"/>
        </w:rPr>
        <w:t>8.1.2.        The Company shall have filed the Final Prospectus Supplement and each Issuer Free Writing Prospectus with the Commission in accordance with and within the time periods prescribed by Section 5.1 hereof.</w:t>
      </w:r>
    </w:p>
    <w:p>
      <w:pPr>
        <w:pStyle w:val="TextBody"/>
        <w:bidi w:val="0"/>
        <w:jc w:val="both"/>
        <w:rPr>
          <w:rFonts w:ascii="Times New Roman" w:hAnsi="Times New Roman"/>
          <w:color w:val="000000"/>
          <w:sz w:val="20"/>
        </w:rPr>
      </w:pPr>
      <w:r>
        <w:rPr>
          <w:rFonts w:ascii="Times New Roman" w:hAnsi="Times New Roman"/>
          <w:color w:val="000000"/>
          <w:sz w:val="20"/>
        </w:rPr>
        <w:t>8.1.3.        The Company shall have (A) disclosed to the Underwriter all requests by the Commission for additional information relating to the offer and sale of the Securities and</w:t>
      </w:r>
    </w:p>
    <w:p>
      <w:pPr>
        <w:pStyle w:val="TextBody"/>
        <w:bidi w:val="0"/>
        <w:jc w:val="both"/>
        <w:rPr>
          <w:rFonts w:ascii="Times New Roman" w:hAnsi="Times New Roman"/>
          <w:color w:val="000000"/>
          <w:sz w:val="20"/>
        </w:rPr>
      </w:pPr>
      <w:r>
        <w:rPr>
          <w:rFonts w:ascii="Times New Roman" w:hAnsi="Times New Roman"/>
          <w:color w:val="000000"/>
          <w:sz w:val="20"/>
        </w:rPr>
        <w:t>(B) complied with such requests to the reasonable satisfaction of the Underwriter.</w:t>
      </w:r>
    </w:p>
    <w:p>
      <w:pPr>
        <w:pStyle w:val="TextBody"/>
        <w:bidi w:val="0"/>
        <w:jc w:val="both"/>
        <w:rPr>
          <w:rFonts w:ascii="Times New Roman" w:hAnsi="Times New Roman"/>
          <w:sz w:val="20"/>
        </w:rPr>
      </w:pPr>
      <w:r>
        <w:rPr>
          <w:rFonts w:ascii="Times New Roman" w:hAnsi="Times New Roman"/>
          <w:color w:val="000000"/>
          <w:sz w:val="20"/>
        </w:rPr>
        <w:t>8.2.          </w:t>
      </w:r>
      <w:r>
        <w:rPr>
          <w:rFonts w:ascii="Times New Roman" w:hAnsi="Times New Roman"/>
          <w:b/>
          <w:color w:val="000000"/>
          <w:sz w:val="20"/>
          <w:u w:val="single"/>
        </w:rPr>
        <w:t>Representations and Warranties</w:t>
      </w:r>
      <w:r>
        <w:rPr>
          <w:rFonts w:ascii="Times New Roman" w:hAnsi="Times New Roman"/>
          <w:color w:val="000000"/>
          <w:sz w:val="20"/>
        </w:rPr>
        <w:t>. The representations and warranties of the Company contained herein shall be true and correct on the date hereof and on and as of the Closing Date or any Additional Closing Date, as the case may be, and the statements of the Company and its officers made in any certificates delivered pursuant to this Agreement shall be true and correct on and as of the Closing Date or any Additional Closing Date, as the case may be.</w:t>
      </w:r>
    </w:p>
    <w:p>
      <w:pPr>
        <w:pStyle w:val="TextBody"/>
        <w:bidi w:val="0"/>
        <w:jc w:val="both"/>
        <w:rPr>
          <w:rFonts w:ascii="Times New Roman" w:hAnsi="Times New Roman"/>
          <w:sz w:val="20"/>
        </w:rPr>
      </w:pPr>
      <w:r>
        <w:rPr>
          <w:rFonts w:ascii="Times New Roman" w:hAnsi="Times New Roman"/>
          <w:color w:val="000000"/>
          <w:sz w:val="20"/>
        </w:rPr>
        <w:t xml:space="preserve">8.3. </w:t>
      </w:r>
      <w:r>
        <w:rPr>
          <w:rFonts w:ascii="Times New Roman" w:hAnsi="Times New Roman"/>
          <w:b/>
          <w:color w:val="000000"/>
          <w:sz w:val="20"/>
          <w:u w:val="single"/>
        </w:rPr>
        <w:t>Auditor Comfort Letters</w:t>
      </w:r>
      <w:r>
        <w:rPr>
          <w:rFonts w:ascii="Times New Roman" w:hAnsi="Times New Roman"/>
          <w:color w:val="000000"/>
          <w:sz w:val="20"/>
        </w:rPr>
        <w:t xml:space="preserve">. On the Closing Date or any Additional Closing Date, as the case may be, Bush &amp; Associates CPA LLC and Marcum LLP, shall have furnished to the Underwriter, at the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request of the Company, a letter, dated the Closing Date or such Additional Closing Date, as the case may be, and addressed to the Underwriter, in form and substance reasonably satisfactory to the Underwriter,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Final Prospectus Supplement; </w:t>
      </w:r>
      <w:r>
        <w:rPr>
          <w:rFonts w:ascii="Times New Roman" w:hAnsi="Times New Roman"/>
          <w:color w:val="000000"/>
          <w:sz w:val="20"/>
          <w:u w:val="single"/>
        </w:rPr>
        <w:t>provided</w:t>
      </w:r>
      <w:r>
        <w:rPr>
          <w:rFonts w:ascii="Times New Roman" w:hAnsi="Times New Roman"/>
          <w:color w:val="000000"/>
          <w:sz w:val="20"/>
        </w:rPr>
        <w:t xml:space="preserve"> that such letter shall use a “cut-off” date no more than two (2) Business Days prior to the Closing Date or such Additional Closing Date, as the case may be.</w:t>
      </w:r>
    </w:p>
    <w:p>
      <w:pPr>
        <w:pStyle w:val="TextBody"/>
        <w:bidi w:val="0"/>
        <w:jc w:val="both"/>
        <w:rPr>
          <w:rFonts w:ascii="Times New Roman" w:hAnsi="Times New Roman"/>
          <w:sz w:val="20"/>
        </w:rPr>
      </w:pPr>
      <w:r>
        <w:rPr>
          <w:rFonts w:ascii="Times New Roman" w:hAnsi="Times New Roman"/>
          <w:color w:val="000000"/>
          <w:sz w:val="20"/>
        </w:rPr>
        <w:t>8.4.          </w:t>
      </w:r>
      <w:r>
        <w:rPr>
          <w:rFonts w:ascii="Times New Roman" w:hAnsi="Times New Roman"/>
          <w:b/>
          <w:color w:val="000000"/>
          <w:sz w:val="20"/>
          <w:u w:val="single"/>
        </w:rPr>
        <w:t>No Material Adverse Change</w:t>
      </w:r>
      <w:r>
        <w:rPr>
          <w:rFonts w:ascii="Times New Roman" w:hAnsi="Times New Roman"/>
          <w:color w:val="000000"/>
          <w:sz w:val="20"/>
        </w:rPr>
        <w:t>. No event or condition of a type described in Section 2.12 hereof shall have occurred or shall exist, which event or condition is not described in each of the Pricing Disclosure Package and the Final Prospectus Supplement (in each case, exclusive of any amendment or supplement thereto), the effect of which in the judgment of the Underwriter makes it impracticable or inadvisable to proceed with the offering, sale or delivery of the Securities on the Closing Date or any Additional Closing Date, as the case may be, in the manner and on the terms contemplated by this Agreement, the Pricing Disclosure Package and the Final Prospectus Supplement (in each case, exclusive of any amendment or supplement thereto).</w:t>
      </w:r>
    </w:p>
    <w:p>
      <w:pPr>
        <w:pStyle w:val="TextBody"/>
        <w:bidi w:val="0"/>
        <w:jc w:val="both"/>
        <w:rPr>
          <w:rFonts w:ascii="Times New Roman" w:hAnsi="Times New Roman"/>
          <w:sz w:val="20"/>
        </w:rPr>
      </w:pPr>
      <w:r>
        <w:rPr>
          <w:rFonts w:ascii="Times New Roman" w:hAnsi="Times New Roman"/>
          <w:color w:val="000000"/>
          <w:sz w:val="20"/>
        </w:rPr>
        <w:t>8.5.         </w:t>
      </w:r>
      <w:r>
        <w:rPr>
          <w:rFonts w:ascii="Times New Roman" w:hAnsi="Times New Roman"/>
          <w:b/>
          <w:color w:val="000000"/>
          <w:sz w:val="20"/>
          <w:u w:val="single"/>
        </w:rPr>
        <w:t>Opinion and Negative Assurance Letter of Counsel to the Company</w:t>
      </w:r>
      <w:r>
        <w:rPr>
          <w:rFonts w:ascii="Times New Roman" w:hAnsi="Times New Roman"/>
          <w:color w:val="000000"/>
          <w:sz w:val="20"/>
        </w:rPr>
        <w:t>. Company Counsel shall each have furnished to the Underwriter, at the request of the Company, its (i) written opinion, addressed to the Underwriter and dated the Closing Date or any Additional Closing Date, as the case may be, and (ii) negative assurance letter, addressed to the Underwriter and dated the Closing Date or any Additional Closing Date, as the case may be, in each case, in a form reasonably satisfactory to the Underwriter.</w:t>
      </w:r>
    </w:p>
    <w:p>
      <w:pPr>
        <w:pStyle w:val="TextBody"/>
        <w:bidi w:val="0"/>
        <w:jc w:val="both"/>
        <w:rPr>
          <w:rFonts w:ascii="Times New Roman" w:hAnsi="Times New Roman"/>
          <w:sz w:val="20"/>
        </w:rPr>
      </w:pPr>
      <w:r>
        <w:rPr>
          <w:rFonts w:ascii="Times New Roman" w:hAnsi="Times New Roman"/>
          <w:color w:val="000000"/>
          <w:sz w:val="20"/>
        </w:rPr>
        <w:t xml:space="preserve">8.6. </w:t>
      </w:r>
      <w:r>
        <w:rPr>
          <w:rFonts w:ascii="Times New Roman" w:hAnsi="Times New Roman"/>
          <w:b/>
          <w:color w:val="000000"/>
          <w:sz w:val="20"/>
          <w:u w:val="single"/>
        </w:rPr>
        <w:t>Officer’s Certificate</w:t>
      </w:r>
      <w:r>
        <w:rPr>
          <w:rFonts w:ascii="Times New Roman" w:hAnsi="Times New Roman"/>
          <w:color w:val="000000"/>
          <w:sz w:val="20"/>
        </w:rPr>
        <w:t>. The Underwriter shall have received, as of each of the date of this Agreement, the Closing Date and any Additional Closing Date, as the case may be, a certificate from the Company’s CFO in form and substance reasonably satisfactory to the Underwriter, containing statements and information confirming that the financial statements and certain financial information contained in the Registration Statement is consistent with the Company’s records and does not contain any material misstatements or omissions and shall have received as of the Closing Date or any Additional Closing Date, as the case may be, a certificate of an executive officer of the Company who has specific knowledge of the Company’s financial matters and is satisfactory to the Underwriter, (i) confirming that such officer has carefully reviewed the Registration Statement, the Pricing Disclosure Package, the Final Prospectus Supplement, each Issuer Free Writing Prospectus and each Written Testing-the-Waters Communication and, to the knowledge of such officer, the representations set forth in Sections 2.1.2, 2.2, 2.3.1, 2.4.1, 2.5.1, 2.6 and 2.8, hereof are true and correct on and as of the Closing Date or any Additional Closing Date, as the case may be; (ii) to the effect set forth in clause (i) of Section 2.11 and Section 8.1 hereof; and (iii) confirming that all of the other representations and warranties of the Company in this Agreement are true and correct on and as of the Closing Date or any Additional Closing Date, as the case may be, and that the Company has complied with all agreements and covenants and satisfied all other conditions on its part to be performed or satisfied hereunder at or prior to the Closing Date or any Additional Closing Date, as the case may be.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8.7. </w:t>
      </w:r>
      <w:r>
        <w:rPr>
          <w:rFonts w:ascii="Times New Roman" w:hAnsi="Times New Roman"/>
          <w:b/>
          <w:color w:val="000000"/>
          <w:sz w:val="20"/>
          <w:u w:val="single"/>
        </w:rPr>
        <w:t>Secretary’s Certificate</w:t>
      </w:r>
      <w:r>
        <w:rPr>
          <w:rFonts w:ascii="Times New Roman" w:hAnsi="Times New Roman"/>
          <w:color w:val="000000"/>
          <w:sz w:val="20"/>
        </w:rPr>
        <w:t>. The Underwriter shall have received, as of each of the date of this Agreement, the Closing Date and any Additional Closing Date, as the case may be, a certificate of the Company signed by the Secretary of the Company, dated the Closing Date or any Additional Closing Date, as the case may be, certifying on behalf of the Company and not in an individual capacity: (i) that each of the charter, by-laws or similar organizational documents of the Company is true and complete, has not been modified and is in full force and effect; (ii) that the resolutions of the Company’s Board of Directors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8.8 </w:t>
      </w:r>
      <w:r>
        <w:rPr>
          <w:rFonts w:ascii="Times New Roman" w:hAnsi="Times New Roman"/>
          <w:b/>
          <w:color w:val="000000"/>
          <w:sz w:val="20"/>
          <w:u w:val="single"/>
        </w:rPr>
        <w:t>CFO Certificate</w:t>
      </w:r>
      <w:r>
        <w:rPr>
          <w:rFonts w:ascii="Times New Roman" w:hAnsi="Times New Roman"/>
          <w:color w:val="000000"/>
          <w:sz w:val="20"/>
        </w:rPr>
        <w:t>. The Underwriter shall have received, as of the date of this Agreement, a certificate of the Chief Financial Officer of the Company, dated as of the date of this Agreement, in form and substance satisfactory to the Underwriter.</w:t>
      </w:r>
    </w:p>
    <w:p>
      <w:pPr>
        <w:pStyle w:val="TextBody"/>
        <w:bidi w:val="0"/>
        <w:jc w:val="both"/>
        <w:rPr>
          <w:rFonts w:ascii="Times New Roman" w:hAnsi="Times New Roman"/>
          <w:sz w:val="20"/>
        </w:rPr>
      </w:pPr>
      <w:r>
        <w:rPr>
          <w:rFonts w:ascii="Times New Roman" w:hAnsi="Times New Roman"/>
          <w:color w:val="000000"/>
          <w:sz w:val="20"/>
        </w:rPr>
        <w:t>8.9.          </w:t>
      </w:r>
      <w:r>
        <w:rPr>
          <w:rFonts w:ascii="Times New Roman" w:hAnsi="Times New Roman"/>
          <w:b/>
          <w:color w:val="000000"/>
          <w:sz w:val="20"/>
          <w:u w:val="single"/>
        </w:rPr>
        <w:t>No Legal Impediment to Issuance and Sale</w:t>
      </w:r>
      <w:r>
        <w:rPr>
          <w:rFonts w:ascii="Times New Roman" w:hAnsi="Times New Roman"/>
          <w:color w:val="000000"/>
          <w:sz w:val="20"/>
        </w:rPr>
        <w:t xml:space="preserve">. No action shall have been taken and no statute, rule, regulation or order shall have been enacted, adopted or issued by any federal, state or foreign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governmental or regulatory authority that would, as of the Closing Date or any Additional Closing Date, as the case may be, prevent the issuance, sale or delivery of the Securities by the Company; and no injunction or order of any federal, state or foreign court shall have been issued that would, as of the Closing Date or any Additional Closing Date, as the case may be, prevent the issuance, sale or delivery of the Securities.</w:t>
      </w:r>
    </w:p>
    <w:p>
      <w:pPr>
        <w:pStyle w:val="TextBody"/>
        <w:bidi w:val="0"/>
        <w:jc w:val="both"/>
        <w:rPr>
          <w:rFonts w:ascii="Times New Roman" w:hAnsi="Times New Roman"/>
          <w:sz w:val="20"/>
        </w:rPr>
      </w:pPr>
      <w:r>
        <w:rPr>
          <w:rFonts w:ascii="Times New Roman" w:hAnsi="Times New Roman"/>
          <w:color w:val="000000"/>
          <w:sz w:val="20"/>
        </w:rPr>
        <w:t>8.10.          </w:t>
      </w:r>
      <w:r>
        <w:rPr>
          <w:rFonts w:ascii="Times New Roman" w:hAnsi="Times New Roman"/>
          <w:b/>
          <w:color w:val="000000"/>
          <w:sz w:val="20"/>
          <w:u w:val="single"/>
        </w:rPr>
        <w:t>Good Standing</w:t>
      </w:r>
      <w:r>
        <w:rPr>
          <w:rFonts w:ascii="Times New Roman" w:hAnsi="Times New Roman"/>
          <w:color w:val="000000"/>
          <w:sz w:val="20"/>
        </w:rPr>
        <w:t>. The Underwriter shall have received on and as of the Closing Date and any Additional Closing Date, as the case may be, satisfactory evidence of the good standing of the Company in its jurisdiction of incorporation, in writing from the appropriate governmental authorities of such jurisdiction.</w:t>
      </w:r>
    </w:p>
    <w:p>
      <w:pPr>
        <w:pStyle w:val="TextBody"/>
        <w:bidi w:val="0"/>
        <w:jc w:val="both"/>
        <w:rPr>
          <w:rFonts w:ascii="Times New Roman" w:hAnsi="Times New Roman"/>
          <w:sz w:val="20"/>
        </w:rPr>
      </w:pPr>
      <w:r>
        <w:rPr>
          <w:rFonts w:ascii="Times New Roman" w:hAnsi="Times New Roman"/>
          <w:color w:val="000000"/>
          <w:sz w:val="20"/>
        </w:rPr>
        <w:t xml:space="preserve">8.11. </w:t>
      </w:r>
      <w:r>
        <w:rPr>
          <w:rFonts w:ascii="Times New Roman" w:hAnsi="Times New Roman"/>
          <w:b/>
          <w:color w:val="000000"/>
          <w:sz w:val="20"/>
          <w:u w:val="single"/>
        </w:rPr>
        <w:t>Lock-Up Agreements</w:t>
      </w:r>
      <w:r>
        <w:rPr>
          <w:rFonts w:ascii="Times New Roman" w:hAnsi="Times New Roman"/>
          <w:color w:val="000000"/>
          <w:sz w:val="20"/>
        </w:rPr>
        <w:t xml:space="preserve">. The Lock-Up Agreements substantially in the form of </w:t>
      </w:r>
      <w:r>
        <w:rPr>
          <w:rFonts w:ascii="Times New Roman" w:hAnsi="Times New Roman"/>
          <w:b/>
          <w:color w:val="000000"/>
          <w:sz w:val="20"/>
          <w:u w:val="single"/>
        </w:rPr>
        <w:t>Exhibit 8.11</w:t>
      </w:r>
      <w:r>
        <w:rPr>
          <w:rFonts w:ascii="Times New Roman" w:hAnsi="Times New Roman"/>
          <w:color w:val="000000"/>
          <w:sz w:val="20"/>
        </w:rPr>
        <w:t xml:space="preserve"> hereto executed by the directors, executive officers and stockholders of the Company holding at least ten percent (10%) of the outstanding Common Stock, relating to sales and certain other dispositions of Common Stock or certain other securities, delivered to the Underwriter on or before the date hereof, shall be in full force and effect on the Closing Date or any Additional Closing Date, as the case may be.</w:t>
      </w:r>
    </w:p>
    <w:p>
      <w:pPr>
        <w:pStyle w:val="TextBody"/>
        <w:bidi w:val="0"/>
        <w:jc w:val="both"/>
        <w:rPr>
          <w:rFonts w:ascii="Times New Roman" w:hAnsi="Times New Roman"/>
          <w:sz w:val="20"/>
        </w:rPr>
      </w:pPr>
      <w:r>
        <w:rPr>
          <w:rFonts w:ascii="Times New Roman" w:hAnsi="Times New Roman"/>
          <w:color w:val="000000"/>
          <w:sz w:val="20"/>
        </w:rPr>
        <w:t>8.12.        </w:t>
      </w:r>
      <w:r>
        <w:rPr>
          <w:rFonts w:ascii="Times New Roman" w:hAnsi="Times New Roman"/>
          <w:b/>
          <w:color w:val="000000"/>
          <w:sz w:val="20"/>
          <w:u w:val="single"/>
        </w:rPr>
        <w:t>Exchange Listing</w:t>
      </w:r>
      <w:r>
        <w:rPr>
          <w:rFonts w:ascii="Times New Roman" w:hAnsi="Times New Roman"/>
          <w:color w:val="000000"/>
          <w:sz w:val="20"/>
        </w:rPr>
        <w:t>. On the Closing Date or any Additional Closing Date, as the case may be, the Shares shall have been approved for listing on the Exchange, subject to notice of issuance.</w:t>
      </w:r>
    </w:p>
    <w:p>
      <w:pPr>
        <w:pStyle w:val="TextBody"/>
        <w:bidi w:val="0"/>
        <w:jc w:val="both"/>
        <w:rPr>
          <w:rFonts w:ascii="Times New Roman" w:hAnsi="Times New Roman"/>
          <w:sz w:val="20"/>
        </w:rPr>
      </w:pPr>
      <w:r>
        <w:rPr>
          <w:rFonts w:ascii="Times New Roman" w:hAnsi="Times New Roman"/>
          <w:color w:val="000000"/>
          <w:sz w:val="20"/>
        </w:rPr>
        <w:t>8.13.        </w:t>
      </w:r>
      <w:r>
        <w:rPr>
          <w:rFonts w:ascii="Times New Roman" w:hAnsi="Times New Roman"/>
          <w:b/>
          <w:color w:val="000000"/>
          <w:sz w:val="20"/>
          <w:u w:val="single"/>
        </w:rPr>
        <w:t>[Reserved]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8.14. </w:t>
      </w:r>
      <w:r>
        <w:rPr>
          <w:rFonts w:ascii="Times New Roman" w:hAnsi="Times New Roman"/>
          <w:b/>
          <w:color w:val="000000"/>
          <w:sz w:val="20"/>
          <w:u w:val="single"/>
        </w:rPr>
        <w:t>Additional Documents</w:t>
      </w:r>
      <w:r>
        <w:rPr>
          <w:rFonts w:ascii="Times New Roman" w:hAnsi="Times New Roman"/>
          <w:color w:val="000000"/>
          <w:sz w:val="20"/>
        </w:rPr>
        <w:t>. On or prior to the Closing Date or any Additional Closing Date, as the case may be, the Underwriter and its counsel shall have received such information, certificates and other additional documents from the Company as they may reasonably require for the purpose of enabling them to pass upon the issuance and sale of the Securities as contemplated herein or in order to evidence the accuracy of any of the representations and warranties, or the satisfaction of any of the covenants, closing conditions or other obligations, contained in this Agreement.</w:t>
      </w:r>
    </w:p>
    <w:p>
      <w:pPr>
        <w:pStyle w:val="TextBody"/>
        <w:bidi w:val="0"/>
        <w:jc w:val="both"/>
        <w:rPr>
          <w:rFonts w:ascii="Times New Roman" w:hAnsi="Times New Roman"/>
          <w:color w:val="000000"/>
          <w:sz w:val="20"/>
        </w:rPr>
      </w:pPr>
      <w:r>
        <w:rPr>
          <w:rFonts w:ascii="Times New Roman" w:hAnsi="Times New Roman"/>
          <w:color w:val="000000"/>
          <w:sz w:val="20"/>
        </w:rPr>
        <w:t>All opinions, letters, certificates and other documents delivered pursuant to this Agreement will be deemed to be in compliance with the provisions hereof only if they are reasonably satisfactory in form and substance to counsel for the Underwriter.</w:t>
      </w:r>
    </w:p>
    <w:p>
      <w:pPr>
        <w:pStyle w:val="TextBody"/>
        <w:bidi w:val="0"/>
        <w:jc w:val="both"/>
        <w:rPr>
          <w:rFonts w:ascii="Times New Roman" w:hAnsi="Times New Roman"/>
          <w:color w:val="000000"/>
          <w:sz w:val="20"/>
        </w:rPr>
      </w:pPr>
      <w:r>
        <w:rPr>
          <w:rFonts w:ascii="Times New Roman" w:hAnsi="Times New Roman"/>
          <w:color w:val="000000"/>
          <w:sz w:val="20"/>
        </w:rPr>
        <w:t>If any condition specified in this Section 8 is not satisfied when and as required to be satisfied, this Agreement and all obligations of the Underwriter hereunder may be terminated by the Underwriter by notice to the Company at any time on or prior to the Closing Date or any Additional Closing Date, as the case may be, which termination shall be without liability on the part of any party to any other party, except that the Company shall continue to be liable for the payment of expenses under Section 7 and Section 12 hereof and except that the provisions of Section 9 and Section 10 hereof shall at all times be effective and shall survive any such termination.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9. </w:t>
      </w:r>
      <w:r>
        <w:rPr>
          <w:rFonts w:ascii="Times New Roman" w:hAnsi="Times New Roman"/>
          <w:b/>
          <w:color w:val="000000"/>
          <w:sz w:val="20"/>
          <w:u w:val="single"/>
        </w:rPr>
        <w:t>Indemnification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9.1. </w:t>
      </w:r>
      <w:r>
        <w:rPr>
          <w:rFonts w:ascii="Times New Roman" w:hAnsi="Times New Roman"/>
          <w:b/>
          <w:color w:val="000000"/>
          <w:sz w:val="20"/>
          <w:u w:val="single"/>
        </w:rPr>
        <w:t>Indemnification of the Underwriter by the Company</w:t>
      </w:r>
      <w:r>
        <w:rPr>
          <w:rFonts w:ascii="Times New Roman" w:hAnsi="Times New Roman"/>
          <w:color w:val="000000"/>
          <w:sz w:val="20"/>
        </w:rPr>
        <w:t xml:space="preserve">. The Company agrees to indemnify and hold harmless the Underwriter, its Affiliates, directors, officers, employees and agents and each person, if any, who controls the Underwriter within the meaning of Section 15 of the Securities Act or Section 20 of the Exchange Act from and against any and all losses, claims, damages and liabilities (including, without limitation, all reasonable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the omission or alleged omission therefrom of a material fact required to be stated therein or necessary in order to make the statements therein not misleading, or (ii) any untrue statement or alleged untrue statement of a material fact contained in any Pricing Disclosure Package (including any Pricing Disclosure Package that has subsequently been amended), the Final Prospectus Supplement (or any amendment or supplement thereto), any Preliminary Prospectus Supplement, any Issuer Information, any Issuer Free Writing Prospectus, any Written Testing-the-Waters Communication or any Road Show, or the omission or alleged omission therefrom of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conformity with the Underwriter Information. The indemnity agreement set forth in this Section 9.1 shall be in addition to any liabilities that the Company may otherwise have.</w:t>
      </w:r>
    </w:p>
    <w:p>
      <w:pPr>
        <w:pStyle w:val="TextBody"/>
        <w:bidi w:val="0"/>
        <w:jc w:val="both"/>
        <w:rPr>
          <w:rFonts w:ascii="Times New Roman" w:hAnsi="Times New Roman"/>
          <w:sz w:val="20"/>
        </w:rPr>
      </w:pPr>
      <w:r>
        <w:rPr>
          <w:rFonts w:ascii="Times New Roman" w:hAnsi="Times New Roman"/>
          <w:color w:val="000000"/>
          <w:sz w:val="20"/>
        </w:rPr>
        <w:t xml:space="preserve">9.2. </w:t>
      </w:r>
      <w:r>
        <w:rPr>
          <w:rFonts w:ascii="Times New Roman" w:hAnsi="Times New Roman"/>
          <w:b/>
          <w:color w:val="000000"/>
          <w:sz w:val="20"/>
          <w:u w:val="single"/>
        </w:rPr>
        <w:t>Indemnification of the Company by the Underwriter</w:t>
      </w:r>
      <w:r>
        <w:rPr>
          <w:rFonts w:ascii="Times New Roman" w:hAnsi="Times New Roman"/>
          <w:color w:val="000000"/>
          <w:sz w:val="20"/>
        </w:rPr>
        <w:t>. The Underwriter agrees to indemnify and hold harmless the Company, its directors, each officer who signed the Registration Statement and each person, if any, who controls the Company within the meaning of Section 15 of the Securities Act or Section 20 of the Exchange Act from and against any and all losses, claims, damages and liabilities (including, without limitation, all reasonable legal fees and other expenses incurred in connection with any suit, action or proceeding or any claim asserted, as such fees and expenses are incurred), joint or several, to the same extent as the indemnity set forth in Section 9.1 hereof; provided, however, that the Underwriter shall be liable only to the extent that any untrue statement or omission or alleged untrue statement or omission was made in the Registration Statement (or any amendment or supplement thereto), any Pricing Disclosure Package (including any Pricing Disclosure Package that has subsequently been amended), the Final Prospectus Supplement (or any amendment or supplement thereto), any Preliminary Prospectus Supplement, any Issuer Information, any Issuer Free Writing Prospectus, any Written Testing-the-Waters Communication or any Road Show in reliance upon, and in conformity with, the Underwriter Information relating to the Underwriter. The indemnity agreement set forth in this Section 9 shall be in addition to any liabilities that the Underwriter may otherwise have.</w:t>
      </w:r>
    </w:p>
    <w:p>
      <w:pPr>
        <w:pStyle w:val="TextBody"/>
        <w:bidi w:val="0"/>
        <w:jc w:val="both"/>
        <w:rPr>
          <w:rFonts w:ascii="Times New Roman" w:hAnsi="Times New Roman"/>
          <w:sz w:val="20"/>
        </w:rPr>
      </w:pPr>
      <w:r>
        <w:rPr>
          <w:rFonts w:ascii="Times New Roman" w:hAnsi="Times New Roman"/>
          <w:color w:val="000000"/>
          <w:sz w:val="20"/>
        </w:rPr>
        <w:t>9.3.          </w:t>
      </w:r>
      <w:r>
        <w:rPr>
          <w:rFonts w:ascii="Times New Roman" w:hAnsi="Times New Roman"/>
          <w:b/>
          <w:color w:val="000000"/>
          <w:sz w:val="20"/>
          <w:u w:val="single"/>
        </w:rPr>
        <w:t>Notifications and Other Indemnification Procedures</w:t>
      </w:r>
      <w:r>
        <w:rPr>
          <w:rFonts w:ascii="Times New Roman" w:hAnsi="Times New Roman"/>
          <w:color w:val="000000"/>
          <w:sz w:val="20"/>
        </w:rPr>
        <w:t>. If any suit, action, proceeding (including any governmental or regulatory investigation), claim or demand shall be brought or asserted against any person in respect of which indemnification may be sought pursuant to any of the preceding subsections of this Section 9, such person (the “</w:t>
      </w:r>
      <w:r>
        <w:rPr>
          <w:rFonts w:ascii="Times New Roman" w:hAnsi="Times New Roman"/>
          <w:b/>
          <w:color w:val="000000"/>
          <w:sz w:val="20"/>
          <w:u w:val="single"/>
        </w:rPr>
        <w:t>Indemnified Person</w:t>
      </w:r>
      <w:r>
        <w:rPr>
          <w:rFonts w:ascii="Times New Roman" w:hAnsi="Times New Roman"/>
          <w:color w:val="000000"/>
          <w:sz w:val="20"/>
        </w:rPr>
        <w:t>”) shall promptly notify the person against whom such indemnification may be sought (the “</w:t>
      </w:r>
      <w:r>
        <w:rPr>
          <w:rFonts w:ascii="Times New Roman" w:hAnsi="Times New Roman"/>
          <w:b/>
          <w:color w:val="000000"/>
          <w:sz w:val="20"/>
          <w:u w:val="single"/>
        </w:rPr>
        <w:t>Indemnifying Person</w:t>
      </w:r>
      <w:r>
        <w:rPr>
          <w:rFonts w:ascii="Times New Roman" w:hAnsi="Times New Roman"/>
          <w:color w:val="000000"/>
          <w:sz w:val="20"/>
        </w:rPr>
        <w:t xml:space="preserve">”) in writing; </w:t>
      </w:r>
      <w:r>
        <w:rPr>
          <w:rFonts w:ascii="Times New Roman" w:hAnsi="Times New Roman"/>
          <w:color w:val="000000"/>
          <w:sz w:val="20"/>
          <w:u w:val="single"/>
        </w:rPr>
        <w:t xml:space="preserve">provided </w:t>
      </w:r>
      <w:r>
        <w:rPr>
          <w:rFonts w:ascii="Times New Roman" w:hAnsi="Times New Roman"/>
          <w:color w:val="000000"/>
          <w:sz w:val="20"/>
        </w:rPr>
        <w:t xml:space="preserve">that the failure to notify the Indemnifying Person shall not relieve it from any liability that it may have under any of the preceding subsections of this Section 9 except to the extent that it has been materially prejudiced by such failure; and </w:t>
      </w:r>
      <w:r>
        <w:rPr>
          <w:rFonts w:ascii="Times New Roman" w:hAnsi="Times New Roman"/>
          <w:color w:val="000000"/>
          <w:sz w:val="20"/>
          <w:u w:val="single"/>
        </w:rPr>
        <w:t>provided</w:t>
      </w:r>
      <w:r>
        <w:rPr>
          <w:rFonts w:ascii="Times New Roman" w:hAnsi="Times New Roman"/>
          <w:color w:val="000000"/>
          <w:sz w:val="20"/>
        </w:rPr>
        <w:t>, further, that the failure to notify the Indemnifying Person shall not relieve it from any liability that it may have to an Indemnified Person otherwise than under any of the preceding subsections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(i) the Underwriter, its Affiliates, directors, officers, employees and agents and each person, if any, who controls the Underwriter within the meaning of Section 15 of the Securities Act or Section 20 of the Exchange Act shall be designated in writing by the Underwriter; and (ii) the Company, its directors, its officers who signed the Registration Statement and each person, if any, who controls the Company within the meaning of Section 15 of the Securities Act or Section 20 of the Exchange Act shall be designated in writing by the Company.</w:t>
      </w:r>
    </w:p>
    <w:p>
      <w:pPr>
        <w:pStyle w:val="TextBody"/>
        <w:bidi w:val="0"/>
        <w:jc w:val="both"/>
        <w:rPr>
          <w:rFonts w:ascii="Times New Roman" w:hAnsi="Times New Roman"/>
          <w:sz w:val="20"/>
        </w:rPr>
      </w:pPr>
      <w:r>
        <w:rPr>
          <w:rFonts w:ascii="Times New Roman" w:hAnsi="Times New Roman"/>
          <w:color w:val="000000"/>
          <w:sz w:val="20"/>
        </w:rPr>
        <w:t>9.4.        </w:t>
      </w:r>
      <w:r>
        <w:rPr>
          <w:rFonts w:ascii="Times New Roman" w:hAnsi="Times New Roman"/>
          <w:b/>
          <w:color w:val="000000"/>
          <w:sz w:val="20"/>
          <w:u w:val="single"/>
        </w:rPr>
        <w:t>Settlements</w:t>
      </w:r>
      <w:r>
        <w:rPr>
          <w:rFonts w:ascii="Times New Roman" w:hAnsi="Times New Roman"/>
          <w:color w:val="000000"/>
          <w:sz w:val="20"/>
        </w:rPr>
        <w:t xml:space="preserve">. The Indemnifying Person under this Section 9 shall not be liable for any settlement of any proceeding effected without its written consent, which consent may not be unreasonably withheld, but if settled with such consent or if there be a final judgment for the plaintiff, the Indemnifying Person agrees to indemnify the Indemnified Person from and against any loss, claim, damage, liability or expense by reason of such settlement or judgment. Notwithstanding the foregoing sentence, if at any time an Indemnified Person shall have requested an Indemnifying Person to reimburse the Indemnified Person for any reasonably incurred and documented fees and expenses of counsel as contemplated by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Section 9, the Indemnifying Person agrees that it shall be liable for any settlement of any proceeding effected without its written consent if (i) such settlement is entered into more than forty-five (45) Calendar Days after receipt by such Indemnifying Person of the aforesaid request, (ii) such Indemnifying Person shall not have reimbursed the Indemnified Person in accordance with such request, or shall not have disputed in good faith the Indemnified Person’s entitlement to such reimbursement, prior to the date of such settlement and (iii) such Indemnified Person shall have given the Indemnifying Person at least forty-five (45) Calendar Days’ prior notice of its intention to settle. No Indemnifying Person shall, without the prior written consent of the Indemnified Person effect any settlement, compromise or consent to the entry of judgment in any pending or threatened action, suit or proceeding in respect of which any Indemnified Person is or could have been a party and indemnity was or could have been sought hereunder by such Indemnified Person, unless such settlement, compromise or consent (x) includes an unconditional release of such Indemnified Person, in form and substance reasonably satisfactory to such Indemnified Person, from and against all liability on claims that are the subject matter of such action, suit or proceeding and (y) does not include any statements as to or any findings of fault, culpability or failure to act by or on behalf of any Indemnified Person.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10. </w:t>
      </w:r>
      <w:r>
        <w:rPr>
          <w:rFonts w:ascii="Times New Roman" w:hAnsi="Times New Roman"/>
          <w:b/>
          <w:color w:val="000000"/>
          <w:sz w:val="20"/>
          <w:u w:val="single"/>
        </w:rPr>
        <w:t>Contribution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10.1.        To the extent the indemnification provided for in Section 9 hereof is unavailable to or insufficient to hold harmless an Indemnified Person in respect of any losses, claims, damages, liabilities or expenses referred to therein, then each Indemnifying Person, in lieu of indemnifying such Indemnified Person thereunder, shall contribute to the aggregate amount paid or payable by such Indemnified Person, as incurred, as a result of any losses, claims, damages, liabilities or expenses referred to therein (i) in such proportion as is appropriate to reflect the relative benefits received by the Company, on the one hand, and the Underwriter, on the other hand, from the offering of the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 on the other hand, in connection with the statements or omissions that resulted in such losses, claims, damages, liabilities or expenses, as well as any other relevant equitable considerations. The relative benefits received by the Company, on the one hand, and the Underwriter,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discounts and commissions received by the Underwriter, on the other hand, in each case as set forth in the table on the cover of the Final Prospectus Supplement bear to the aggregate initial offering price of the Securities. The relative fault of the Company, on the one hand, and the Underwriter, on the other hand, shall be determined by reference to, among other things, whether the untrue or alleged untrue statement of a material fact or omission or alleged omission to state a material fact relates to information supplied by the Company, on the one hand, or the Underwriter, on the other hand, and the parties’ relative intent, knowledge, access to information and opportunity to correct or prevent such statement or omission.</w:t>
      </w:r>
    </w:p>
    <w:p>
      <w:pPr>
        <w:pStyle w:val="TextBody"/>
        <w:bidi w:val="0"/>
        <w:jc w:val="both"/>
        <w:rPr>
          <w:rFonts w:ascii="Times New Roman" w:hAnsi="Times New Roman"/>
          <w:sz w:val="20"/>
        </w:rPr>
      </w:pPr>
      <w:r>
        <w:rPr>
          <w:rFonts w:ascii="Times New Roman" w:hAnsi="Times New Roman"/>
          <w:color w:val="000000"/>
          <w:sz w:val="20"/>
        </w:rPr>
        <w:t xml:space="preserve">10.2.        The amount paid or payable by a party as a result of the losses, claims, damages, liabilities and expenses referred to above shall be deemed to include, subject to the limitations set forth in Section 9 hereof, all reasonable legal or other fees or expenses incurred by such party in connection with investigating or defending any action or claim. The provisions set forth in Section 9 hereof with respect to notice of commencement of any action shall apply if a claim for contribution is to be made under this Section 10; </w:t>
      </w:r>
      <w:r>
        <w:rPr>
          <w:rFonts w:ascii="Times New Roman" w:hAnsi="Times New Roman"/>
          <w:color w:val="000000"/>
          <w:sz w:val="20"/>
          <w:u w:val="single"/>
        </w:rPr>
        <w:t>provided</w:t>
      </w:r>
      <w:r>
        <w:rPr>
          <w:rFonts w:ascii="Times New Roman" w:hAnsi="Times New Roman"/>
          <w:color w:val="000000"/>
          <w:sz w:val="20"/>
        </w:rPr>
        <w:t>, however, that no additional notice shall be required with respect to any action for which notice has been given under Section 9 hereof for purposes of indemnification.</w:t>
      </w:r>
    </w:p>
    <w:p>
      <w:pPr>
        <w:pStyle w:val="TextBody"/>
        <w:bidi w:val="0"/>
        <w:jc w:val="both"/>
        <w:rPr>
          <w:rFonts w:ascii="Times New Roman" w:hAnsi="Times New Roman"/>
          <w:color w:val="000000"/>
          <w:sz w:val="20"/>
        </w:rPr>
      </w:pPr>
      <w:r>
        <w:rPr>
          <w:rFonts w:ascii="Times New Roman" w:hAnsi="Times New Roman"/>
          <w:color w:val="000000"/>
          <w:sz w:val="20"/>
        </w:rPr>
        <w:t>10.3.        The Company and the Underwriter agree that it would not be just and equitable if contribution pursuant to this Section 10 was determined by pro rata allocation or by any other method of allocation which does not take account of the equitable considerations referred to in this Section 10.</w:t>
      </w:r>
    </w:p>
    <w:p>
      <w:pPr>
        <w:pStyle w:val="TextBody"/>
        <w:bidi w:val="0"/>
        <w:jc w:val="both"/>
        <w:rPr>
          <w:rFonts w:ascii="Times New Roman" w:hAnsi="Times New Roman"/>
          <w:color w:val="000000"/>
          <w:sz w:val="20"/>
        </w:rPr>
      </w:pPr>
      <w:r>
        <w:rPr>
          <w:rFonts w:ascii="Times New Roman" w:hAnsi="Times New Roman"/>
          <w:color w:val="000000"/>
          <w:sz w:val="20"/>
        </w:rPr>
        <w:t xml:space="preserve">10.4.        Notwithstanding the provisions of this Section 10, the Underwriter shall not be required to contribute any amount in excess of the amount by which the total discounts and commissions received by the Underwriter in connection with the Securities distributed by it exceeds the amount of any damages the Underwriter has otherwise paid or become liable to pay by reason of any untrue or alleged untrue statement or omission or alleged omission. No person guilty of fraudulent misrepresentation (within the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meaning of Section 11 of the Securities Act) shall be entitled to contribution from any person who was not guilty of such fraudulent misrepresentation.</w:t>
      </w:r>
    </w:p>
    <w:p>
      <w:pPr>
        <w:pStyle w:val="TextBody"/>
        <w:bidi w:val="0"/>
        <w:jc w:val="both"/>
        <w:rPr>
          <w:rFonts w:ascii="Times New Roman" w:hAnsi="Times New Roman"/>
          <w:color w:val="000000"/>
          <w:sz w:val="20"/>
        </w:rPr>
      </w:pPr>
      <w:r>
        <w:rPr>
          <w:rFonts w:ascii="Times New Roman" w:hAnsi="Times New Roman"/>
          <w:color w:val="000000"/>
          <w:sz w:val="20"/>
        </w:rPr>
        <w:t>10.5.        For purposes of this Section 10, each director, officer, employee and agent of the Underwriter and each person, if any, who controls the Underwriter within the meaning of Section 15 of the Securities Act or Section 20 of the Exchange Act shall have the same rights to contribution as the Underwriter, and each director and officer of the Company who signed the Registration Statement, and each person, if any, who controls the Company with the meaning of Section 15 of the Securities Act or Section 20 of the Exchange Act, shall have the same rights to contribution as the Company.</w:t>
      </w:r>
    </w:p>
    <w:p>
      <w:pPr>
        <w:pStyle w:val="TextBody"/>
        <w:bidi w:val="0"/>
        <w:jc w:val="both"/>
        <w:rPr>
          <w:rFonts w:ascii="Times New Roman" w:hAnsi="Times New Roman"/>
          <w:color w:val="000000"/>
          <w:sz w:val="20"/>
        </w:rPr>
      </w:pPr>
      <w:r>
        <w:rPr>
          <w:rFonts w:ascii="Times New Roman" w:hAnsi="Times New Roman"/>
          <w:color w:val="000000"/>
          <w:sz w:val="20"/>
        </w:rPr>
        <w:t>10.6.        The remedies provided for in Section 9 and Section 10 hereof are not exclusive and shall not limit any rights or remedies which may otherwise be available to any Indemnified Person at law or in equity.</w:t>
      </w:r>
    </w:p>
    <w:p>
      <w:pPr>
        <w:pStyle w:val="TextBody"/>
        <w:bidi w:val="0"/>
        <w:jc w:val="both"/>
        <w:rPr>
          <w:rFonts w:ascii="Times New Roman" w:hAnsi="Times New Roman"/>
          <w:sz w:val="20"/>
        </w:rPr>
      </w:pPr>
      <w:r>
        <w:rPr>
          <w:rFonts w:ascii="Times New Roman" w:hAnsi="Times New Roman"/>
          <w:color w:val="000000"/>
          <w:sz w:val="20"/>
        </w:rPr>
        <w:t xml:space="preserve">11. </w:t>
      </w:r>
      <w:r>
        <w:rPr>
          <w:rFonts w:ascii="Times New Roman" w:hAnsi="Times New Roman"/>
          <w:b/>
          <w:color w:val="000000"/>
          <w:sz w:val="20"/>
          <w:u w:val="single"/>
        </w:rPr>
        <w:t>Termination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11.1.        Prior to the delivery of and payment for the Securities on the Closing Date or any Additional Closing Date, as the case may be, this Agreement may be terminated by the Underwriter in the absolute discretion of the Underwriter by notice given to the Company if after the execution and delivery of this Agreement: (i) trading or quotation of any securities issued or guaranteed by the Company shall have been suspended or materially limited on any securities exchange, quotation system or in the over-the-counter market; (ii) trading in securities generally on any of the New York Stock Exchange, the Nasdaq Stock Exchange or the over-the-counter market shall have been suspended or materially limited; (iii) a general banking moratorium on commercial banking activities shall have been declared by federal or New York state authorities; (iv) there shall have occurred a material disruption in commercial banking or securities settlement, payment or clearance services in the United States; (v) there shall have occurred any outbreak or escalation of national or international hostilities or any crisis or calamity, or any change in the United States or international financial markets, or any substantial change or development involving a prospective substantial change in general economic, financial or political conditions in the United States or internationally, as in the judgment of the Underwriter is material and adverse and makes it impracticable or inadvisable to proceed with the offering, sale or delivery of the Securities on the Closing Date or any Additional Closing Date, as the case may be, in the manner and on the terms described in the Pricing Disclosure Package or to enforce contracts for the sale of securities; or (vi) the Company or any of its subsidiaries shall have sustained a loss by strike, fire, flood, earthquake, accident or other calamity of such character as in the judgment of the Underwriter may interfere materially with the conduct of the business and operations of the Company and its subsidiaries, considered as one entity, regardless of whether or not such loss shall have been insured.</w:t>
      </w:r>
    </w:p>
    <w:p>
      <w:pPr>
        <w:pStyle w:val="TextBody"/>
        <w:bidi w:val="0"/>
        <w:jc w:val="both"/>
        <w:rPr>
          <w:rFonts w:ascii="Times New Roman" w:hAnsi="Times New Roman"/>
          <w:color w:val="000000"/>
          <w:sz w:val="20"/>
        </w:rPr>
      </w:pPr>
      <w:r>
        <w:rPr>
          <w:rFonts w:ascii="Times New Roman" w:hAnsi="Times New Roman"/>
          <w:color w:val="000000"/>
          <w:sz w:val="20"/>
        </w:rPr>
        <w:t>11.2. Any termination pursuant to this Section 11 shall be without liability on the part of: x) the Company to the Underwriter, except that the Company shall continue to be liable for the payment of expenses under Section 7; (y) the Underwriter to the Company; or (z) any party hereto to any other party except that the provisions of Section 9, Section 10 and this Section 11 hereof shall at all times be effective and shall survive any such termination.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12. </w:t>
      </w:r>
      <w:r>
        <w:rPr>
          <w:rFonts w:ascii="Times New Roman" w:hAnsi="Times New Roman"/>
          <w:b/>
          <w:color w:val="000000"/>
          <w:sz w:val="20"/>
          <w:u w:val="single"/>
        </w:rPr>
        <w:t>Reimbursement of the Underwriter’s Expenses</w:t>
      </w:r>
      <w:r>
        <w:rPr>
          <w:rFonts w:ascii="Times New Roman" w:hAnsi="Times New Roman"/>
          <w:color w:val="000000"/>
          <w:sz w:val="20"/>
        </w:rPr>
        <w:t>. If (a) the Company fails to deliver the Securities to the Underwriter for any reason at the Closing Date or any Additional Closing Date, as the case may be, in accordance with this Agreement or (b) the Underwriter declines to purchase the Securities for any reason permitted under this Agreement, then the Company agrees to reimburse the Underwriter for all reasonable out-of-pocket costs and expenses (including the reasonable and documented fees and expenses of counsel to the Underwriter) incurred by the Underwriter in connection with this Agreement and the applicable offering contemplated hereby.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13. </w:t>
      </w:r>
      <w:r>
        <w:rPr>
          <w:rFonts w:ascii="Times New Roman" w:hAnsi="Times New Roman"/>
          <w:b/>
          <w:color w:val="000000"/>
          <w:sz w:val="20"/>
          <w:u w:val="single"/>
        </w:rPr>
        <w:t>Representations and Indemnities to Survive Delivery</w:t>
      </w:r>
      <w:r>
        <w:rPr>
          <w:rFonts w:ascii="Times New Roman" w:hAnsi="Times New Roman"/>
          <w:color w:val="000000"/>
          <w:sz w:val="20"/>
        </w:rPr>
        <w:t>. The respective indemnities, rights of contribution, agreements, representations, warranties and other statements of the Company and the Underwriter set forth in or made pursuant to this Agreement or made by or on behalf of the Company or the Underwriter pursuant to this Agreement or any certificate delivered pursuant hereto shall remain in full force and effect, regardless of any investigation made by or on behalf of the Underwriter, the Company or any of their respective officers or directors or any controlling person, as the case may be, and shall survive delivery of and payment for the Securities sold hereunder and any termination of this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14. </w:t>
      </w:r>
      <w:r>
        <w:rPr>
          <w:rFonts w:ascii="Times New Roman" w:hAnsi="Times New Roman"/>
          <w:b/>
          <w:color w:val="000000"/>
          <w:sz w:val="20"/>
          <w:u w:val="single"/>
        </w:rPr>
        <w:t>Notices</w:t>
      </w:r>
      <w:r>
        <w:rPr>
          <w:rFonts w:ascii="Times New Roman" w:hAnsi="Times New Roman"/>
          <w:color w:val="000000"/>
          <w:sz w:val="20"/>
        </w:rPr>
        <w:t>. All notices, requests, consents, claims, demands, waivers and other communications under this Agreement shall be in writing and shall be deemed to have been duly given (i) when delivered by hand (with written confirmation of receipt), (ii) when received by the addressee if sent by a nationally recognized overnight courier (receipt requested), (iii) on the date sent by facsimile (with confirmation of transmission) or email of a PDF document if sent during normal business hours of the recipient, and on the next Business Day if sent after normal business hours of the recipient, or (iv) on the third (3rd) Calendar Day after the date mailed, by certified or registered mail (in each case, return receipt requested, postage pre-paid). Such communications must be sent to the respective parties at the following addresses (or at such other address for a party as shall be specified in a notice given in accordance with this Section 14):</w:t>
      </w:r>
    </w:p>
    <w:p>
      <w:pPr>
        <w:pStyle w:val="TextBody"/>
        <w:bidi w:val="0"/>
        <w:jc w:val="both"/>
        <w:rPr/>
      </w:pPr>
      <w:r>
        <w:rPr/>
        <w:t> </w:t>
      </w:r>
    </w:p>
    <w:tbl>
      <w:tblPr>
        <w:tblW w:w="7290" w:type="dxa"/>
        <w:jc w:val="left"/>
        <w:tblInd w:w="0" w:type="dxa"/>
        <w:tblLayout w:type="fixed"/>
        <w:tblCellMar>
          <w:top w:w="28" w:type="dxa"/>
          <w:left w:w="28" w:type="dxa"/>
          <w:bottom w:w="28" w:type="dxa"/>
          <w:right w:w="28" w:type="dxa"/>
        </w:tblCellMar>
      </w:tblPr>
      <w:tblGrid>
        <w:gridCol w:w="1816"/>
        <w:gridCol w:w="3622"/>
        <w:gridCol w:w="414"/>
        <w:gridCol w:w="1438"/>
      </w:tblGrid>
      <w:tr>
        <w:trPr/>
        <w:tc>
          <w:tcPr>
            <w:tcW w:w="1816"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to the Underwriter:</w:t>
            </w:r>
          </w:p>
        </w:tc>
        <w:tc>
          <w:tcPr>
            <w:tcW w:w="547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Aegis Capital Corp.</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1345 Avenue of the Americas, 27th Floor New York, NY 10105</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w:t>
            </w:r>
          </w:p>
        </w:tc>
        <w:tc>
          <w:tcPr>
            <w:tcW w:w="18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Attention:</w:t>
            </w:r>
          </w:p>
        </w:tc>
        <w:tc>
          <w:tcPr>
            <w:tcW w:w="18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543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with a copy to:</w:t>
            </w:r>
          </w:p>
        </w:tc>
        <w:tc>
          <w:tcPr>
            <w:tcW w:w="547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Baker &amp; Hostetler LLP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1900 Ave of the Stars Ste 2700, Los Angeles, CA 90067</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Email: </w:t>
            </w:r>
          </w:p>
        </w:tc>
        <w:tc>
          <w:tcPr>
            <w:tcW w:w="18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Attention:</w:t>
            </w:r>
          </w:p>
        </w:tc>
        <w:tc>
          <w:tcPr>
            <w:tcW w:w="18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543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to the Company:</w:t>
            </w:r>
          </w:p>
        </w:tc>
        <w:tc>
          <w:tcPr>
            <w:tcW w:w="547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Banzai International,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435 Eriksen Ave,Suite 250,Bainbridge Island, Washington 98110</w:t>
            </w:r>
          </w:p>
          <w:p>
            <w:pPr>
              <w:pStyle w:val="TableContents"/>
              <w:bidi w:val="0"/>
              <w:spacing w:before="0" w:after="283"/>
              <w:jc w:val="both"/>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both"/>
              <w:rPr/>
            </w:pPr>
            <w:r>
              <w:rPr/>
              <w:t> </w:t>
            </w:r>
          </w:p>
        </w:tc>
        <w:tc>
          <w:tcPr>
            <w:tcW w:w="403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w:t>
            </w:r>
          </w:p>
        </w:tc>
        <w:tc>
          <w:tcPr>
            <w:tcW w:w="14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Attention:</w:t>
            </w:r>
          </w:p>
        </w:tc>
        <w:tc>
          <w:tcPr>
            <w:tcW w:w="14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543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66" w:type="dxa"/>
        <w:jc w:val="left"/>
        <w:tblInd w:w="0" w:type="dxa"/>
        <w:tblLayout w:type="fixed"/>
        <w:tblCellMar>
          <w:top w:w="28" w:type="dxa"/>
          <w:left w:w="28" w:type="dxa"/>
          <w:bottom w:w="28" w:type="dxa"/>
          <w:right w:w="28" w:type="dxa"/>
        </w:tblCellMar>
      </w:tblPr>
      <w:tblGrid>
        <w:gridCol w:w="1201"/>
        <w:gridCol w:w="3021"/>
        <w:gridCol w:w="1344"/>
      </w:tblGrid>
      <w:tr>
        <w:trPr/>
        <w:tc>
          <w:tcPr>
            <w:tcW w:w="1201"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with copy to:</w:t>
            </w:r>
          </w:p>
        </w:tc>
        <w:tc>
          <w:tcPr>
            <w:tcW w:w="4365"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Hunter Taubman Fischer &amp; Li LLC</w:t>
            </w:r>
          </w:p>
        </w:tc>
      </w:tr>
      <w:tr>
        <w:trPr/>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950 Third Avenue, 19th Floor New York, NY 10022</w:t>
            </w:r>
          </w:p>
        </w:tc>
      </w:tr>
      <w:tr>
        <w:trPr/>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w:t>
            </w:r>
          </w:p>
        </w:tc>
        <w:tc>
          <w:tcPr>
            <w:tcW w:w="13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Attention:</w:t>
            </w:r>
          </w:p>
        </w:tc>
        <w:tc>
          <w:tcPr>
            <w:tcW w:w="13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party hereto may change the address or facsimile number for receipt of communications by giving written notice to the others in accordance with this Section 14.</w:t>
      </w:r>
    </w:p>
    <w:p>
      <w:pPr>
        <w:pStyle w:val="TextBody"/>
        <w:bidi w:val="0"/>
        <w:jc w:val="both"/>
        <w:rPr>
          <w:rFonts w:ascii="Times New Roman" w:hAnsi="Times New Roman"/>
          <w:sz w:val="20"/>
        </w:rPr>
      </w:pPr>
      <w:r>
        <w:rPr>
          <w:rFonts w:ascii="Times New Roman" w:hAnsi="Times New Roman"/>
          <w:color w:val="000000"/>
          <w:sz w:val="20"/>
        </w:rPr>
        <w:t xml:space="preserve">15. </w:t>
      </w:r>
      <w:r>
        <w:rPr>
          <w:rFonts w:ascii="Times New Roman" w:hAnsi="Times New Roman"/>
          <w:b/>
          <w:color w:val="000000"/>
          <w:sz w:val="20"/>
          <w:u w:val="single"/>
        </w:rPr>
        <w:t>Successors</w:t>
      </w:r>
      <w:r>
        <w:rPr>
          <w:rFonts w:ascii="Times New Roman" w:hAnsi="Times New Roman"/>
          <w:color w:val="000000"/>
          <w:sz w:val="20"/>
        </w:rPr>
        <w:t>. This Agreement shall inure solely to the benefit of and be binding upon the Underwriter, the Company and the other indemnified parties referred to in Section 9 and Section 10 hereof, and in each case their respective successors. Nothing in this Agreement is intended, or shall be construed, to give any other person or entity any legal or equitable right, benefit, remedy or claim under, or in respect of or by virtue of, this Agreement or any provision contained herein. The term “successors,” as used herein, shall not include any purchaser of the Securities from the Underwriter merely by reason of such purchase.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16. </w:t>
      </w:r>
      <w:r>
        <w:rPr>
          <w:rFonts w:ascii="Times New Roman" w:hAnsi="Times New Roman"/>
          <w:b/>
          <w:color w:val="000000"/>
          <w:sz w:val="20"/>
          <w:u w:val="single"/>
        </w:rPr>
        <w:t>Partial Unenforceability</w:t>
      </w:r>
      <w:r>
        <w:rPr>
          <w:rFonts w:ascii="Times New Roman" w:hAnsi="Times New Roman"/>
          <w:color w:val="000000"/>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17. </w:t>
      </w:r>
      <w:r>
        <w:rPr>
          <w:rFonts w:ascii="Times New Roman" w:hAnsi="Times New Roman"/>
          <w:b/>
          <w:color w:val="000000"/>
          <w:sz w:val="20"/>
          <w:u w:val="single"/>
        </w:rPr>
        <w:t>Governing Law</w:t>
      </w:r>
      <w:r>
        <w:rPr>
          <w:rFonts w:ascii="Times New Roman" w:hAnsi="Times New Roman"/>
          <w:color w:val="000000"/>
          <w:sz w:val="20"/>
        </w:rPr>
        <w:t>. This Agreement and any claim, controversy or dispute arising under or related to this Agreement, whether sounding in contract, tort or statute, shall be governed by and construed in accordance with the internal laws of the State of New York applicable to agreements made and to be performed in such state (including its statute of limitations), without giving effect to the conflict of laws provisions thereof to the extent such principles or rules would require or permit the application of the laws of any jurisdiction other than those of the State of New York. The Company has irrevocably appointed Corporation Service Company, 251 Little Falls Drive, Wilmington, DE 19808, as its agent to receive service of process or other legal summons for purposes of any such suit, action or proceeding that may be instituted in any state or federal court in the Borough of Manhattan in the City of New York, United States of America.</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18. </w:t>
      </w:r>
      <w:r>
        <w:rPr>
          <w:rFonts w:ascii="Times New Roman" w:hAnsi="Times New Roman"/>
          <w:b/>
          <w:color w:val="000000"/>
          <w:sz w:val="20"/>
          <w:u w:val="single"/>
        </w:rPr>
        <w:t>Consent to Jurisdiction</w:t>
      </w:r>
      <w:r>
        <w:rPr>
          <w:rFonts w:ascii="Times New Roman" w:hAnsi="Times New Roman"/>
          <w:color w:val="000000"/>
          <w:sz w:val="20"/>
        </w:rPr>
        <w:t>. No legal suit, action or proceeding arising out of or relating to this Agreement or the transactions contemplated hereby (each, a “</w:t>
      </w:r>
      <w:r>
        <w:rPr>
          <w:rFonts w:ascii="Times New Roman" w:hAnsi="Times New Roman"/>
          <w:b/>
          <w:color w:val="000000"/>
          <w:sz w:val="20"/>
          <w:u w:val="single"/>
        </w:rPr>
        <w:t>Related Proceeding</w:t>
      </w:r>
      <w:r>
        <w:rPr>
          <w:rFonts w:ascii="Times New Roman" w:hAnsi="Times New Roman"/>
          <w:color w:val="000000"/>
          <w:sz w:val="20"/>
        </w:rPr>
        <w:t>”) may be commenced, prosecuted or continued in any court other than the courts of the State of New York located in the City and County of New York or in the United States District Court for the Southern District of New York, which courts (collectively, the “</w:t>
      </w:r>
      <w:r>
        <w:rPr>
          <w:rFonts w:ascii="Times New Roman" w:hAnsi="Times New Roman"/>
          <w:b/>
          <w:color w:val="000000"/>
          <w:sz w:val="20"/>
          <w:u w:val="single"/>
        </w:rPr>
        <w:t>Specified Courts</w:t>
      </w:r>
      <w:r>
        <w:rPr>
          <w:rFonts w:ascii="Times New Roman" w:hAnsi="Times New Roman"/>
          <w:color w:val="000000"/>
          <w:sz w:val="20"/>
        </w:rPr>
        <w:t>”) shall have jurisdiction over the adjudication of any Related Proceeding, and the parties to this Agreement hereby irrevocably consent to the exclusive jurisdiction the Specified Courts and personal service of process with respect thereto. The parties to this Agreement hereby irrevocably waive any objection to the laying of venue of any Related Proceeding in the Specified Courts and irrevocably waive and agree not to plead or claim in any Specified Court that any Related Proceeding brought in any Specified Court has been brought in an inconvenient forum.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19. </w:t>
      </w:r>
      <w:r>
        <w:rPr>
          <w:rFonts w:ascii="Times New Roman" w:hAnsi="Times New Roman"/>
          <w:b/>
          <w:color w:val="000000"/>
          <w:sz w:val="20"/>
          <w:u w:val="single"/>
        </w:rPr>
        <w:t>Equitable Remedies</w:t>
      </w:r>
      <w:r>
        <w:rPr>
          <w:rFonts w:ascii="Times New Roman" w:hAnsi="Times New Roman"/>
          <w:color w:val="000000"/>
          <w:sz w:val="20"/>
        </w:rPr>
        <w:t>. Each party to this Agreement acknowledges and agrees that (a) a breach or threatened breach by the Company of any of its obligations under Section 5.10 or Section 5.16 would give rise to irreparable harm to the Underwriter for which monetary damages would not be an adequate remedy and (b) if a breach or a threatened breach by the Company of any such obligations occurs, the Underwriter will, in addition to any and all other rights and remedies that may be available to such party at law, at equity, or otherwise in respect of such breach, be entitled to equitable relief, including a temporary restraining order, an injunction, specific performance of the terms of Section 5.10 or 5.16 and any other relief that may be available from a court of competent jurisdiction, without any requirement to (i) post a bond or other security, or (ii) prove actual damages or that monetary damages will not afford an adequate remedy. Each party to this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19.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20. </w:t>
      </w:r>
      <w:r>
        <w:rPr>
          <w:rFonts w:ascii="Times New Roman" w:hAnsi="Times New Roman"/>
          <w:b/>
          <w:color w:val="000000"/>
          <w:sz w:val="20"/>
          <w:u w:val="single"/>
        </w:rPr>
        <w:t>Waiver of Jury Trial</w:t>
      </w:r>
      <w:r>
        <w:rPr>
          <w:rFonts w:ascii="Times New Roman" w:hAnsi="Times New Roman"/>
          <w:color w:val="000000"/>
          <w:sz w:val="20"/>
        </w:rPr>
        <w:t>. The parties to this Agreement hereby irrevocably waive, to the fullest extent permitted by applicable law, any and all right to trial by jury in any Related Proceeding.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21. </w:t>
      </w:r>
      <w:r>
        <w:rPr>
          <w:rFonts w:ascii="Times New Roman" w:hAnsi="Times New Roman"/>
          <w:b/>
          <w:color w:val="000000"/>
          <w:sz w:val="20"/>
          <w:u w:val="single"/>
        </w:rPr>
        <w:t>No Fiduciary Relationship</w:t>
      </w:r>
      <w:r>
        <w:rPr>
          <w:rFonts w:ascii="Times New Roman" w:hAnsi="Times New Roman"/>
          <w:color w:val="000000"/>
          <w:sz w:val="20"/>
        </w:rPr>
        <w:t>. The Company acknowledges and agrees that: (i) the purchase and sale of the Securities pursuant to this Agreement, including the determination of the offering price of the Securities and any related discounts and commissions, is an arm’s-length commercial transaction between the Company, on the one hand, and the Underwriter, on the other hand; (ii) in connection with each transaction contemplated hereby and the process leading to such transaction the Underwriter is and has been acting solely as a principal and is not the agent or fiduciary of the Company or its Affiliates, shareholders, members, partners, creditors or employees or any other party; (iii) the Underwriter has not assumed and will not assume an advisory or fiduciary responsibility in favor of the Company with respect to any of the transactions contemplated hereby or the process leading thereto (irrespective of whether the Underwriter has advised or is currently advising the Company on other matters) or any other obligation to the Company except the obligations expressly set forth in this Agreement; (iv) the Underwriter and its respective Affiliates may be engaged in a broad range of transactions that involve interests that differ from those of the Company, and the Underwriter has no obligation to disclose any of such interests by virtue of any fiduciary or advisory relationship; and (v) the Underwriter has not provided any legal, accounting, regulatory or tax advice in any jurisdiction with respect to the offering contemplated hereby, and the Company has consulted its own legal, accounting, regulatory and tax advisors to the extent they deemed appropriate. The Company waives and releases, to the full extent permitted by applicable law, any claims it may have against the Underwriter arising from an alleged breach of fiduciary duty in connection with the offering of the Securities or any matters leading up to the offering of the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22. </w:t>
      </w:r>
      <w:r>
        <w:rPr>
          <w:rFonts w:ascii="Times New Roman" w:hAnsi="Times New Roman"/>
          <w:b/>
          <w:color w:val="000000"/>
          <w:sz w:val="20"/>
          <w:u w:val="single"/>
        </w:rPr>
        <w:t>Compliance with the USA Patriot Act</w:t>
      </w:r>
      <w:r>
        <w:rPr>
          <w:rFonts w:ascii="Times New Roman" w:hAnsi="Times New Roman"/>
          <w:color w:val="000000"/>
          <w:sz w:val="20"/>
        </w:rPr>
        <w:t>. In accordance with the requirements of the USA Patriot Act (Title III of Pub. L. 107-56 (signed into law October 26, 2001)), the Underwriter is required to obtain, verify and record information that identifies its clients, including the Company, which information may include the name and address of its clients, as well as other information that will allow the Underwriter to properly identify its clients.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23. </w:t>
      </w:r>
      <w:r>
        <w:rPr>
          <w:rFonts w:ascii="Times New Roman" w:hAnsi="Times New Roman"/>
          <w:b/>
          <w:color w:val="000000"/>
          <w:sz w:val="20"/>
          <w:u w:val="single"/>
        </w:rPr>
        <w:t>Entire Agreement</w:t>
      </w:r>
      <w:r>
        <w:rPr>
          <w:rFonts w:ascii="Times New Roman" w:hAnsi="Times New Roman"/>
          <w:color w:val="000000"/>
          <w:sz w:val="20"/>
        </w:rPr>
        <w:t>. This Agreement, together with any contemporaneous written agreements and any prior written agreements (to the extent not superseded by this Agreement) that relate to the offering of the Securities, represents the entire agreement among the Company and the Underwriter with respect to the preparation of the Registration Statement, the Pricing Disclosure Package, the Final Prospectus Supplement, each Preliminary Prospectus Supplement, each Issuer Free Writing Prospectus, each Testing- the-Waters Communication and each Road Show, the purchase and sale of the Securities and the conduct of the offering contemplated hereby.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24. </w:t>
      </w:r>
      <w:r>
        <w:rPr>
          <w:rFonts w:ascii="Times New Roman" w:hAnsi="Times New Roman"/>
          <w:b/>
          <w:color w:val="000000"/>
          <w:sz w:val="20"/>
          <w:u w:val="single"/>
        </w:rPr>
        <w:t>Amendments or Waivers</w:t>
      </w:r>
      <w:r>
        <w:rPr>
          <w:rFonts w:ascii="Times New Roman" w:hAnsi="Times New Roman"/>
          <w:color w:val="000000"/>
          <w:sz w:val="20"/>
        </w:rPr>
        <w:t xml:space="preserve">. No amendment or waiver of any provision of this Agreement, nor any consent or approval to any departure therefrom, shall in any event be effective unless the same shall be in writing and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signed by all the parties hereto. No waiver by any party shall operate or be construed as a waiver in respect of any failure, breach or default not expressly identified by such written waiver, whether of a similar or different character, and whether occurring before or after the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of any other right, remedy, power or privilege.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25. </w:t>
      </w:r>
      <w:r>
        <w:rPr>
          <w:rFonts w:ascii="Times New Roman" w:hAnsi="Times New Roman"/>
          <w:b/>
          <w:color w:val="000000"/>
          <w:sz w:val="20"/>
          <w:u w:val="single"/>
        </w:rPr>
        <w:t>Section Headings</w:t>
      </w:r>
      <w:r>
        <w:rPr>
          <w:rFonts w:ascii="Times New Roman" w:hAnsi="Times New Roman"/>
          <w:color w:val="000000"/>
          <w:sz w:val="20"/>
        </w:rPr>
        <w:t>. The headings herein are included for convenience of reference only and are not intended to be part of, or to affect the meaning or interpretation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26. </w:t>
      </w:r>
      <w:r>
        <w:rPr>
          <w:rFonts w:ascii="Times New Roman" w:hAnsi="Times New Roman"/>
          <w:b/>
          <w:color w:val="000000"/>
          <w:sz w:val="20"/>
          <w:u w:val="single"/>
        </w:rPr>
        <w:t>Counterparts</w:t>
      </w:r>
      <w:r>
        <w:rPr>
          <w:rFonts w:ascii="Times New Roman" w:hAnsi="Times New Roman"/>
          <w:color w:val="000000"/>
          <w:sz w:val="20"/>
        </w:rPr>
        <w:t>. This Agreement may be executed in counterparts, each of which will be deemed an original, but all of which together will be deemed to be one and the same agreement. Counterparts may be delivered via facsimile, email (including PDF or any electronic signature complying with the U.S. federal ESIGN Act of 2000) or other transmission method, and any counterpart so delivered will be deemed to have been duly and validly delivered and be valid and effective for all purposes.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27. </w:t>
      </w:r>
      <w:r>
        <w:rPr>
          <w:rFonts w:ascii="Times New Roman" w:hAnsi="Times New Roman"/>
          <w:b/>
          <w:color w:val="000000"/>
          <w:sz w:val="20"/>
          <w:u w:val="single"/>
        </w:rPr>
        <w:t>Recognition of the U.S. Special Resolution Regimes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27.1.        In the event that the Underwriter, being a Covered Entity (as defined below),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(as defined below) if this Agreement, and any such interest and obligation, were governed by the laws of the United States or a state of the United States.</w:t>
      </w:r>
    </w:p>
    <w:p>
      <w:pPr>
        <w:pStyle w:val="TextBody"/>
        <w:bidi w:val="0"/>
        <w:jc w:val="both"/>
        <w:rPr>
          <w:rFonts w:ascii="Times New Roman" w:hAnsi="Times New Roman"/>
          <w:color w:val="000000"/>
          <w:sz w:val="20"/>
        </w:rPr>
      </w:pPr>
      <w:r>
        <w:rPr>
          <w:rFonts w:ascii="Times New Roman" w:hAnsi="Times New Roman"/>
          <w:color w:val="000000"/>
          <w:sz w:val="20"/>
        </w:rPr>
        <w:t>27.2.        In the event that the Underwriter, being a Covered Entity, or a BHC Act Affiliate (as defined below) of the Underwriter, becomes subject to a proceeding under a U.S. Special Resolution Regime, Default Rights (as defined below)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jc w:val="both"/>
        <w:rPr>
          <w:rFonts w:ascii="Times New Roman" w:hAnsi="Times New Roman"/>
          <w:color w:val="000000"/>
          <w:sz w:val="20"/>
        </w:rPr>
      </w:pPr>
      <w:r>
        <w:rPr>
          <w:rFonts w:ascii="Times New Roman" w:hAnsi="Times New Roman"/>
          <w:color w:val="000000"/>
          <w:sz w:val="20"/>
        </w:rPr>
        <w:t>27.3 As used in this section: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27.3.1.          “</w:t>
      </w:r>
      <w:r>
        <w:rPr>
          <w:rFonts w:ascii="Times New Roman" w:hAnsi="Times New Roman"/>
          <w:b/>
          <w:color w:val="000000"/>
          <w:sz w:val="20"/>
          <w:u w:val="single"/>
        </w:rPr>
        <w:t>BHC Act Affiliate</w:t>
      </w:r>
      <w:r>
        <w:rPr>
          <w:rFonts w:ascii="Times New Roman" w:hAnsi="Times New Roman"/>
          <w:color w:val="000000"/>
          <w:sz w:val="20"/>
        </w:rPr>
        <w:t>” has the meaning assigned to the term “affiliate” in, and shall be interpreted in accordance with, 12 U.S.C. § 1841(k).</w:t>
      </w:r>
    </w:p>
    <w:p>
      <w:pPr>
        <w:pStyle w:val="TextBody"/>
        <w:bidi w:val="0"/>
        <w:jc w:val="both"/>
        <w:rPr>
          <w:rFonts w:ascii="Times New Roman" w:hAnsi="Times New Roman"/>
          <w:sz w:val="20"/>
        </w:rPr>
      </w:pPr>
      <w:r>
        <w:rPr>
          <w:rFonts w:ascii="Times New Roman" w:hAnsi="Times New Roman"/>
          <w:color w:val="000000"/>
          <w:sz w:val="20"/>
        </w:rPr>
        <w:t>27.3.2.           “</w:t>
      </w:r>
      <w:r>
        <w:rPr>
          <w:rFonts w:ascii="Times New Roman" w:hAnsi="Times New Roman"/>
          <w:b/>
          <w:color w:val="000000"/>
          <w:sz w:val="20"/>
          <w:u w:val="single"/>
        </w:rPr>
        <w:t>Covered Entity</w:t>
      </w:r>
      <w:r>
        <w:rPr>
          <w:rFonts w:ascii="Times New Roman" w:hAnsi="Times New Roman"/>
          <w:color w:val="000000"/>
          <w:sz w:val="20"/>
        </w:rPr>
        <w:t>” means any of the following:</w:t>
      </w:r>
    </w:p>
    <w:p>
      <w:pPr>
        <w:pStyle w:val="TextBody"/>
        <w:bidi w:val="0"/>
        <w:jc w:val="both"/>
        <w:rPr>
          <w:rFonts w:ascii="Times New Roman" w:hAnsi="Times New Roman"/>
          <w:color w:val="000000"/>
          <w:sz w:val="20"/>
        </w:rPr>
      </w:pPr>
      <w:r>
        <w:rPr>
          <w:rFonts w:ascii="Times New Roman" w:hAnsi="Times New Roman"/>
          <w:color w:val="000000"/>
          <w:sz w:val="20"/>
        </w:rPr>
        <w:t>27.3.2.1        “a “covered entity” as that term is defined in, and interpreted in accordance with, 12 C.F.R. § 252.82(b);</w:t>
      </w:r>
    </w:p>
    <w:p>
      <w:pPr>
        <w:pStyle w:val="TextBody"/>
        <w:bidi w:val="0"/>
        <w:jc w:val="both"/>
        <w:rPr>
          <w:rFonts w:ascii="Times New Roman" w:hAnsi="Times New Roman"/>
          <w:color w:val="000000"/>
          <w:sz w:val="20"/>
        </w:rPr>
      </w:pPr>
      <w:r>
        <w:rPr>
          <w:rFonts w:ascii="Times New Roman" w:hAnsi="Times New Roman"/>
          <w:color w:val="000000"/>
          <w:sz w:val="20"/>
        </w:rPr>
        <w:t>27.3.2.2        “a “covered bank” as that term is defined in, and interpreted in accordance with, 12 C.F.R. § 47.3(b); or</w:t>
      </w:r>
    </w:p>
    <w:p>
      <w:pPr>
        <w:pStyle w:val="TextBody"/>
        <w:bidi w:val="0"/>
        <w:jc w:val="both"/>
        <w:rPr>
          <w:rFonts w:ascii="Times New Roman" w:hAnsi="Times New Roman"/>
          <w:color w:val="000000"/>
          <w:sz w:val="20"/>
        </w:rPr>
      </w:pPr>
      <w:r>
        <w:rPr>
          <w:rFonts w:ascii="Times New Roman" w:hAnsi="Times New Roman"/>
          <w:color w:val="000000"/>
          <w:sz w:val="20"/>
        </w:rPr>
        <w:t>27.3.2.3        “a “covered FSI” as that term is defined in, and interpreted in accordance with, 12 C.F.R. § 382.2(b).</w:t>
      </w:r>
    </w:p>
    <w:p>
      <w:pPr>
        <w:pStyle w:val="TextBody"/>
        <w:bidi w:val="0"/>
        <w:jc w:val="both"/>
        <w:rPr>
          <w:rFonts w:ascii="Times New Roman" w:hAnsi="Times New Roman"/>
          <w:sz w:val="20"/>
        </w:rPr>
      </w:pPr>
      <w:r>
        <w:rPr>
          <w:rFonts w:ascii="Times New Roman" w:hAnsi="Times New Roman"/>
          <w:color w:val="000000"/>
          <w:sz w:val="20"/>
        </w:rPr>
        <w:t>27.3.3.        “</w:t>
      </w:r>
      <w:r>
        <w:rPr>
          <w:rFonts w:ascii="Times New Roman" w:hAnsi="Times New Roman"/>
          <w:b/>
          <w:color w:val="000000"/>
          <w:sz w:val="20"/>
          <w:u w:val="single"/>
        </w:rPr>
        <w:t>Default Right</w:t>
      </w:r>
      <w:r>
        <w:rPr>
          <w:rFonts w:ascii="Times New Roman" w:hAnsi="Times New Roman"/>
          <w:color w:val="000000"/>
          <w:sz w:val="20"/>
        </w:rPr>
        <w:t>” has the meaning assigned to that term in, and shall be interpreted in accordance with, 12 C.F.R. §§ 252.81, 47.2 or 382.1, as applicable.</w:t>
      </w:r>
    </w:p>
    <w:p>
      <w:pPr>
        <w:pStyle w:val="TextBody"/>
        <w:bidi w:val="0"/>
        <w:jc w:val="both"/>
        <w:rPr>
          <w:rFonts w:ascii="Times New Roman" w:hAnsi="Times New Roman"/>
          <w:sz w:val="20"/>
        </w:rPr>
      </w:pPr>
      <w:r>
        <w:rPr>
          <w:rFonts w:ascii="Times New Roman" w:hAnsi="Times New Roman"/>
          <w:color w:val="000000"/>
          <w:sz w:val="20"/>
        </w:rPr>
        <w:t>27.3.4.        “</w:t>
      </w:r>
      <w:r>
        <w:rPr>
          <w:rFonts w:ascii="Times New Roman" w:hAnsi="Times New Roman"/>
          <w:b/>
          <w:color w:val="000000"/>
          <w:sz w:val="20"/>
          <w:u w:val="single"/>
        </w:rPr>
        <w:t>U.S. Special Resolution Regime</w:t>
      </w:r>
      <w:r>
        <w:rPr>
          <w:rFonts w:ascii="Times New Roman" w:hAnsi="Times New Roman"/>
          <w:color w:val="000000"/>
          <w:sz w:val="20"/>
        </w:rPr>
        <w:t>” means each of (i) the Federal Deposit Insurance Act and the regulations promulgated thereunder and (ii) Title II of the Dodd- Frank Wall Street Reform and Consumer Protection Act and the regulations promulgated thereunder.</w:t>
      </w:r>
    </w:p>
    <w:p>
      <w:pPr>
        <w:pStyle w:val="TextBody"/>
        <w:bidi w:val="0"/>
        <w:jc w:val="center"/>
        <w:rPr>
          <w:rFonts w:ascii="Times New Roman" w:hAnsi="Times New Roman"/>
          <w:i/>
          <w:color w:val="000000"/>
          <w:sz w:val="20"/>
        </w:rPr>
      </w:pPr>
      <w:r>
        <w:rPr>
          <w:rFonts w:ascii="Times New Roman" w:hAnsi="Times New Roman"/>
          <w:i/>
          <w:color w:val="000000"/>
          <w:sz w:val="20"/>
        </w:rPr>
        <w:t>[BNZI Underwriting Agreement Signature Page Follows]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[BNZI Underwriting Agreement Signature Page]</w:t>
      </w:r>
    </w:p>
    <w:p>
      <w:pPr>
        <w:pStyle w:val="TextBody"/>
        <w:bidi w:val="0"/>
        <w:jc w:val="both"/>
        <w:rPr>
          <w:rFonts w:ascii="Times New Roman" w:hAnsi="Times New Roman"/>
          <w:color w:val="000000"/>
          <w:sz w:val="20"/>
        </w:rPr>
      </w:pPr>
      <w:r>
        <w:rPr>
          <w:rFonts w:ascii="Times New Roman" w:hAnsi="Times New Roman"/>
          <w:color w:val="000000"/>
          <w:sz w:val="20"/>
        </w:rPr>
        <w:t>If the foregoing is in accordance with your understanding, please indicate your acceptance of this Agreement by signing in the space provided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tbl>
      <w:tblPr>
        <w:tblW w:w="3090" w:type="dxa"/>
        <w:jc w:val="left"/>
        <w:tblInd w:w="0" w:type="dxa"/>
        <w:tblLayout w:type="fixed"/>
        <w:tblCellMar>
          <w:top w:w="28" w:type="dxa"/>
          <w:left w:w="28" w:type="dxa"/>
          <w:bottom w:w="28" w:type="dxa"/>
          <w:right w:w="28" w:type="dxa"/>
        </w:tblCellMar>
      </w:tblPr>
      <w:tblGrid>
        <w:gridCol w:w="760"/>
        <w:gridCol w:w="2330"/>
      </w:tblGrid>
      <w:tr>
        <w:trPr/>
        <w:tc>
          <w:tcPr>
            <w:tcW w:w="7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30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BANZAI INTERNATIONAL, INC.</w:t>
            </w:r>
          </w:p>
        </w:tc>
      </w:tr>
      <w:tr>
        <w:trPr/>
        <w:tc>
          <w:tcPr>
            <w:tcW w:w="30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30"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Joseph Davy</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3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Joseph P. Davy</w:t>
            </w:r>
          </w:p>
        </w:tc>
      </w:tr>
      <w:tr>
        <w:trPr/>
        <w:tc>
          <w:tcPr>
            <w:tcW w:w="7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Confirmed and accepted as of the date first above written:</w:t>
      </w:r>
    </w:p>
    <w:tbl>
      <w:tblPr>
        <w:tblW w:w="2807" w:type="dxa"/>
        <w:jc w:val="left"/>
        <w:tblInd w:w="0" w:type="dxa"/>
        <w:tblLayout w:type="fixed"/>
        <w:tblCellMar>
          <w:top w:w="28" w:type="dxa"/>
          <w:left w:w="28" w:type="dxa"/>
          <w:bottom w:w="28" w:type="dxa"/>
          <w:right w:w="28" w:type="dxa"/>
        </w:tblCellMar>
      </w:tblPr>
      <w:tblGrid>
        <w:gridCol w:w="691"/>
        <w:gridCol w:w="2116"/>
      </w:tblGrid>
      <w:tr>
        <w:trPr/>
        <w:tc>
          <w:tcPr>
            <w:tcW w:w="69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280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AEGIS CAPITAL CORP.</w:t>
            </w:r>
          </w:p>
        </w:tc>
      </w:tr>
      <w:tr>
        <w:trPr/>
        <w:tc>
          <w:tcPr>
            <w:tcW w:w="2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Robert Eide</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Eide</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5.10.3.1</w:t>
      </w:r>
    </w:p>
    <w:p>
      <w:pPr>
        <w:pStyle w:val="TextBody"/>
        <w:bidi w:val="0"/>
        <w:jc w:val="center"/>
        <w:rPr>
          <w:rFonts w:ascii="Times New Roman" w:hAnsi="Times New Roman"/>
          <w:b/>
          <w:color w:val="000000"/>
          <w:sz w:val="20"/>
        </w:rPr>
      </w:pPr>
      <w:r>
        <w:rPr>
          <w:rFonts w:ascii="Times New Roman" w:hAnsi="Times New Roman"/>
          <w:b/>
          <w:color w:val="000000"/>
          <w:sz w:val="20"/>
        </w:rPr>
        <w:t>Form of Lock-Up Waiver</w:t>
      </w:r>
    </w:p>
    <w:p>
      <w:pPr>
        <w:pStyle w:val="TextBody"/>
        <w:bidi w:val="0"/>
        <w:jc w:val="both"/>
        <w:rPr>
          <w:rFonts w:ascii="Times New Roman" w:hAnsi="Times New Roman"/>
          <w:color w:val="000000"/>
          <w:sz w:val="20"/>
        </w:rPr>
      </w:pPr>
      <w:r>
        <w:rPr>
          <w:rFonts w:ascii="Times New Roman" w:hAnsi="Times New Roman"/>
          <w:color w:val="000000"/>
          <w:sz w:val="20"/>
        </w:rPr>
        <w:t>[●], 202[●]</w:t>
      </w:r>
    </w:p>
    <w:p>
      <w:pPr>
        <w:pStyle w:val="TextBody"/>
        <w:bidi w:val="0"/>
        <w:jc w:val="both"/>
        <w:rPr>
          <w:rFonts w:ascii="Times New Roman" w:hAnsi="Times New Roman"/>
          <w:color w:val="000000"/>
          <w:sz w:val="20"/>
        </w:rPr>
      </w:pPr>
      <w:r>
        <w:rPr>
          <w:rFonts w:ascii="Times New Roman" w:hAnsi="Times New Roman"/>
          <w:color w:val="000000"/>
          <w:sz w:val="20"/>
        </w:rPr>
        <w:t>[Waiver Recipient Name and Address] Re: Lock-Up Agreement Waiver Ladies and Gentlemen:</w:t>
      </w:r>
    </w:p>
    <w:p>
      <w:pPr>
        <w:pStyle w:val="TextBody"/>
        <w:bidi w:val="0"/>
        <w:jc w:val="both"/>
        <w:rPr>
          <w:rFonts w:ascii="Times New Roman" w:hAnsi="Times New Roman"/>
          <w:sz w:val="20"/>
        </w:rPr>
      </w:pPr>
      <w:r>
        <w:rPr>
          <w:rFonts w:ascii="Times New Roman" w:hAnsi="Times New Roman"/>
          <w:color w:val="000000"/>
          <w:sz w:val="20"/>
        </w:rPr>
        <w:t>[Pursuant to Section 8.11 of the Underwriting Agreement, dated [●], 2026 (the “</w:t>
      </w:r>
      <w:r>
        <w:rPr>
          <w:rFonts w:ascii="Times New Roman" w:hAnsi="Times New Roman"/>
          <w:b/>
          <w:color w:val="000000"/>
          <w:sz w:val="20"/>
          <w:u w:val="single"/>
        </w:rPr>
        <w:t>Underwriting Agreement</w:t>
      </w:r>
      <w:r>
        <w:rPr>
          <w:rFonts w:ascii="Times New Roman" w:hAnsi="Times New Roman"/>
          <w:color w:val="000000"/>
          <w:sz w:val="20"/>
        </w:rPr>
        <w:t>”), among Banzai International, Inc., a Delaware corporation (the “</w:t>
      </w:r>
      <w:r>
        <w:rPr>
          <w:rFonts w:ascii="Times New Roman" w:hAnsi="Times New Roman"/>
          <w:b/>
          <w:color w:val="000000"/>
          <w:sz w:val="20"/>
          <w:u w:val="single"/>
        </w:rPr>
        <w:t>Company</w:t>
      </w:r>
      <w:r>
        <w:rPr>
          <w:rFonts w:ascii="Times New Roman" w:hAnsi="Times New Roman"/>
          <w:color w:val="000000"/>
          <w:sz w:val="20"/>
        </w:rPr>
        <w:t>”), and Aegis Capital Corp. (the “</w:t>
      </w:r>
      <w:r>
        <w:rPr>
          <w:rFonts w:ascii="Times New Roman" w:hAnsi="Times New Roman"/>
          <w:b/>
          <w:color w:val="000000"/>
          <w:sz w:val="20"/>
          <w:u w:val="single"/>
        </w:rPr>
        <w:t>Underwriter</w:t>
      </w:r>
      <w:r>
        <w:rPr>
          <w:rFonts w:ascii="Times New Roman" w:hAnsi="Times New Roman"/>
          <w:color w:val="000000"/>
          <w:sz w:val="20"/>
        </w:rPr>
        <w:t>”), and the Lock-Up Agreement, dated [●], 2026 (the “</w:t>
      </w:r>
      <w:r>
        <w:rPr>
          <w:rFonts w:ascii="Times New Roman" w:hAnsi="Times New Roman"/>
          <w:b/>
          <w:color w:val="000000"/>
          <w:sz w:val="20"/>
          <w:u w:val="single"/>
        </w:rPr>
        <w:t>Lock-Up Agreement</w:t>
      </w:r>
      <w:r>
        <w:rPr>
          <w:rFonts w:ascii="Times New Roman" w:hAnsi="Times New Roman"/>
          <w:color w:val="000000"/>
          <w:sz w:val="20"/>
        </w:rPr>
        <w:t>”), between you and the Underwriter relating to the Company’s Class A Common Stock, par value $0.0001 per share (the “</w:t>
      </w:r>
      <w:r>
        <w:rPr>
          <w:rFonts w:ascii="Times New Roman" w:hAnsi="Times New Roman"/>
          <w:b/>
          <w:color w:val="000000"/>
          <w:sz w:val="20"/>
          <w:u w:val="single"/>
        </w:rPr>
        <w:t>Common Stock</w:t>
      </w:r>
      <w:r>
        <w:rPr>
          <w:rFonts w:ascii="Times New Roman" w:hAnsi="Times New Roman"/>
          <w:color w:val="000000"/>
          <w:sz w:val="20"/>
        </w:rPr>
        <w:t>”), the Underwriter hereby gives its consent to allow you to sell up to [●] shares of Common Stock [solely from and including [DATE] to and including [DATE]].]</w:t>
      </w:r>
    </w:p>
    <w:p>
      <w:pPr>
        <w:pStyle w:val="TextBody"/>
        <w:bidi w:val="0"/>
        <w:jc w:val="both"/>
        <w:rPr>
          <w:rFonts w:ascii="Times New Roman" w:hAnsi="Times New Roman"/>
          <w:color w:val="000000"/>
          <w:sz w:val="20"/>
        </w:rPr>
      </w:pPr>
      <w:r>
        <w:rPr>
          <w:rFonts w:ascii="Times New Roman" w:hAnsi="Times New Roman"/>
          <w:color w:val="000000"/>
          <w:sz w:val="20"/>
        </w:rPr>
        <w:t>[Pursuant to Section 5.10 of the Underwriting Agreement, the Underwriter hereby gives its consent to allow the Company to issue and sell up to [●] shares of Common Stock pursuant to an offering of the Shares to commence prior to the expiration of the Lock-Up Period as defined in the Underwriting Agreement[, provided that such offering closes on or prior to [●]].]</w:t>
      </w:r>
    </w:p>
    <w:tbl>
      <w:tblPr>
        <w:tblW w:w="2826" w:type="dxa"/>
        <w:jc w:val="left"/>
        <w:tblInd w:w="0" w:type="dxa"/>
        <w:tblLayout w:type="fixed"/>
        <w:tblCellMar>
          <w:top w:w="28" w:type="dxa"/>
          <w:left w:w="28" w:type="dxa"/>
          <w:bottom w:w="28" w:type="dxa"/>
          <w:right w:w="28" w:type="dxa"/>
        </w:tblCellMar>
      </w:tblPr>
      <w:tblGrid>
        <w:gridCol w:w="124"/>
        <w:gridCol w:w="631"/>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AEGIS CAPITAL CORP.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Eide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5.10.3.2</w:t>
      </w:r>
    </w:p>
    <w:p>
      <w:pPr>
        <w:pStyle w:val="TextBody"/>
        <w:bidi w:val="0"/>
        <w:jc w:val="center"/>
        <w:rPr>
          <w:rFonts w:ascii="Times New Roman" w:hAnsi="Times New Roman"/>
          <w:b/>
          <w:color w:val="000000"/>
          <w:sz w:val="20"/>
        </w:rPr>
      </w:pPr>
      <w:r>
        <w:rPr>
          <w:rFonts w:ascii="Times New Roman" w:hAnsi="Times New Roman"/>
          <w:b/>
          <w:color w:val="000000"/>
          <w:sz w:val="20"/>
        </w:rPr>
        <w:t>Form of Lock-Up Waiver Press Release</w:t>
      </w:r>
    </w:p>
    <w:p>
      <w:pPr>
        <w:pStyle w:val="TextBody"/>
        <w:bidi w:val="0"/>
        <w:jc w:val="both"/>
        <w:rPr>
          <w:rFonts w:ascii="Times New Roman" w:hAnsi="Times New Roman"/>
          <w:color w:val="000000"/>
          <w:sz w:val="20"/>
        </w:rPr>
      </w:pPr>
      <w:r>
        <w:rPr>
          <w:rFonts w:ascii="Times New Roman" w:hAnsi="Times New Roman"/>
          <w:color w:val="000000"/>
          <w:sz w:val="20"/>
        </w:rPr>
        <w:t xml:space="preserve">Banzai International, Inc. </w:t>
      </w:r>
    </w:p>
    <w:p>
      <w:pPr>
        <w:pStyle w:val="TextBody"/>
        <w:bidi w:val="0"/>
        <w:jc w:val="both"/>
        <w:rPr>
          <w:rFonts w:ascii="Times New Roman" w:hAnsi="Times New Roman"/>
          <w:b/>
          <w:color w:val="000000"/>
          <w:sz w:val="20"/>
        </w:rPr>
      </w:pPr>
      <w:r>
        <w:rPr>
          <w:rFonts w:ascii="Times New Roman" w:hAnsi="Times New Roman"/>
          <w:b/>
          <w:color w:val="000000"/>
          <w:sz w:val="20"/>
        </w:rPr>
        <w:t>[Date]</w:t>
      </w:r>
    </w:p>
    <w:p>
      <w:pPr>
        <w:pStyle w:val="TextBody"/>
        <w:bidi w:val="0"/>
        <w:jc w:val="both"/>
        <w:rPr>
          <w:rFonts w:ascii="Times New Roman" w:hAnsi="Times New Roman"/>
          <w:color w:val="000000"/>
          <w:sz w:val="20"/>
        </w:rPr>
      </w:pPr>
      <w:r>
        <w:rPr>
          <w:rFonts w:ascii="Times New Roman" w:hAnsi="Times New Roman"/>
          <w:color w:val="000000"/>
          <w:sz w:val="20"/>
        </w:rPr>
        <w:t>Banzai International, Inc., a Delaware corporation (the “Company”) announced today that Aegis Capital Corp., acting as the Underwriter in the Company’s recent public offering of the Company’s Class A Common Stock, is [waiving] [releasing] a lock-up restriction with respect to the Company’s Class A Common Stock held by [certain officers or directors] [an officer or director] of the Company. The [waiver] [release] will take effect on [Date], and the Class A Common Stock may be sold on or after such date.</w:t>
      </w:r>
    </w:p>
    <w:p>
      <w:pPr>
        <w:pStyle w:val="TextBody"/>
        <w:bidi w:val="0"/>
        <w:jc w:val="both"/>
        <w:rPr>
          <w:rFonts w:ascii="Times New Roman" w:hAnsi="Times New Roman"/>
          <w:b/>
          <w:color w:val="000000"/>
          <w:sz w:val="20"/>
        </w:rPr>
      </w:pPr>
      <w:r>
        <w:rPr>
          <w:rFonts w:ascii="Times New Roman" w:hAnsi="Times New Roman"/>
          <w:b/>
          <w:color w:val="000000"/>
          <w:sz w:val="20"/>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8.9</w:t>
      </w:r>
    </w:p>
    <w:p>
      <w:pPr>
        <w:pStyle w:val="TextBody"/>
        <w:bidi w:val="0"/>
        <w:jc w:val="center"/>
        <w:rPr>
          <w:rFonts w:ascii="Times New Roman" w:hAnsi="Times New Roman"/>
          <w:b/>
          <w:color w:val="000000"/>
          <w:sz w:val="20"/>
        </w:rPr>
      </w:pPr>
      <w:r>
        <w:rPr>
          <w:rFonts w:ascii="Times New Roman" w:hAnsi="Times New Roman"/>
          <w:b/>
          <w:color w:val="000000"/>
          <w:sz w:val="20"/>
        </w:rPr>
        <w:t>Form of Lock-Up Agreement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bnzi-ex5_1.htm"/>
      <w:bookmarkStart w:id="5" w:name="ksbnziex5_1"/>
      <w:bookmarkEnd w:id="4"/>
      <w:bookmarkEnd w:id="5"/>
      <w:r>
        <w:rPr>
          <w:rFonts w:ascii="Times New Roman" w:hAnsi="Times New Roman"/>
          <w:b/>
          <w:color w:val="000000"/>
          <w:sz w:val="20"/>
        </w:rPr>
        <w:t>EXHIBIT 5.1</w:t>
      </w:r>
      <w:r>
        <w:br w:type="page"/>
      </w:r>
    </w:p>
    <w:p>
      <w:pPr>
        <w:pStyle w:val="TextBody"/>
        <w:bidi w:val="0"/>
        <w:jc w:val="center"/>
        <w:rPr/>
      </w:pPr>
      <w:r>
        <w:rPr/>
        <w:t> </w:t>
      </w:r>
    </w:p>
    <w:p>
      <w:pPr>
        <w:pStyle w:val="TextBody"/>
        <w:bidi w:val="0"/>
        <w:jc w:val="center"/>
        <w:rPr/>
      </w:pPr>
      <w:r>
        <w:rPr/>
        <w:drawing>
          <wp:inline distT="0" distB="0" distL="0" distR="0">
            <wp:extent cx="3667125" cy="127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67125" cy="1276350"/>
                    </a:xfrm>
                    <a:prstGeom prst="rect">
                      <a:avLst/>
                    </a:prstGeom>
                  </pic:spPr>
                </pic:pic>
              </a:graphicData>
            </a:graphic>
          </wp:inline>
        </w:drawing>
      </w:r>
    </w:p>
    <w:p>
      <w:pPr>
        <w:pStyle w:val="TextBody"/>
        <w:bidi w:val="0"/>
        <w:jc w:val="center"/>
        <w:rPr/>
      </w:pPr>
      <w:r>
        <w:rPr/>
        <w:t> </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July 14, 2026</w:t>
      </w:r>
    </w:p>
    <w:p>
      <w:pPr>
        <w:pStyle w:val="TextBody"/>
        <w:bidi w:val="0"/>
        <w:jc w:val="both"/>
        <w:rPr>
          <w:rFonts w:ascii="Times New Roman" w:hAnsi="Times New Roman"/>
          <w:color w:val="000000"/>
          <w:sz w:val="22"/>
        </w:rPr>
      </w:pPr>
      <w:r>
        <w:rPr>
          <w:rFonts w:ascii="Times New Roman" w:hAnsi="Times New Roman"/>
          <w:color w:val="000000"/>
          <w:sz w:val="22"/>
        </w:rPr>
        <w:t>Banzai International, Inc.</w:t>
      </w:r>
    </w:p>
    <w:p>
      <w:pPr>
        <w:pStyle w:val="TextBody"/>
        <w:bidi w:val="0"/>
        <w:jc w:val="both"/>
        <w:rPr>
          <w:rFonts w:ascii="Times New Roman" w:hAnsi="Times New Roman"/>
          <w:color w:val="000000"/>
          <w:sz w:val="22"/>
        </w:rPr>
      </w:pPr>
      <w:r>
        <w:rPr>
          <w:rFonts w:ascii="Times New Roman" w:hAnsi="Times New Roman"/>
          <w:color w:val="000000"/>
          <w:sz w:val="22"/>
        </w:rPr>
        <w:t>435 Ericksen Ave, Suite 250</w:t>
      </w:r>
    </w:p>
    <w:p>
      <w:pPr>
        <w:pStyle w:val="TextBody"/>
        <w:bidi w:val="0"/>
        <w:jc w:val="both"/>
        <w:rPr>
          <w:rFonts w:ascii="Times New Roman" w:hAnsi="Times New Roman"/>
          <w:color w:val="000000"/>
          <w:sz w:val="22"/>
        </w:rPr>
      </w:pPr>
      <w:r>
        <w:rPr>
          <w:rFonts w:ascii="Times New Roman" w:hAnsi="Times New Roman"/>
          <w:color w:val="000000"/>
          <w:sz w:val="22"/>
        </w:rPr>
        <w:t>Bainbridge Island, Washington 98110</w:t>
      </w:r>
    </w:p>
    <w:p>
      <w:pPr>
        <w:pStyle w:val="TextBody"/>
        <w:bidi w:val="0"/>
        <w:jc w:val="both"/>
        <w:rPr>
          <w:rFonts w:ascii="Times New Roman" w:hAnsi="Times New Roman"/>
          <w:color w:val="000000"/>
          <w:sz w:val="22"/>
        </w:rPr>
      </w:pPr>
      <w:r>
        <w:rPr>
          <w:rFonts w:ascii="Times New Roman" w:hAnsi="Times New Roman"/>
          <w:color w:val="000000"/>
          <w:sz w:val="22"/>
        </w:rPr>
        <w:t>Ladies and Gentlemen:</w:t>
      </w:r>
    </w:p>
    <w:p>
      <w:pPr>
        <w:pStyle w:val="TextBody"/>
        <w:bidi w:val="0"/>
        <w:jc w:val="both"/>
        <w:rPr>
          <w:rFonts w:ascii="Times New Roman" w:hAnsi="Times New Roman"/>
          <w:sz w:val="20"/>
        </w:rPr>
      </w:pPr>
      <w:r>
        <w:rPr>
          <w:rFonts w:ascii="Times New Roman" w:hAnsi="Times New Roman"/>
          <w:color w:val="000000"/>
          <w:sz w:val="22"/>
        </w:rPr>
        <w:t>We have acted as United States securities counsel to Banzai International,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in connection with the offering by the Company of 327,273 shares of its common stock, par value $0.0001 per share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having an aggregate offering price of up to $0.9 million (the “</w:t>
      </w:r>
      <w:r>
        <w:rPr>
          <w:rFonts w:ascii="Times New Roman" w:hAnsi="Times New Roman"/>
          <w:b/>
          <w:color w:val="000000"/>
          <w:sz w:val="22"/>
        </w:rPr>
        <w:t>Primary Shares</w:t>
      </w:r>
      <w:r>
        <w:rPr>
          <w:rFonts w:ascii="Times New Roman" w:hAnsi="Times New Roman"/>
          <w:color w:val="000000"/>
          <w:sz w:val="20"/>
        </w:rPr>
        <w:t>”</w:t>
      </w:r>
      <w:r>
        <w:rPr>
          <w:rFonts w:ascii="Times New Roman" w:hAnsi="Times New Roman"/>
          <w:color w:val="000000"/>
          <w:sz w:val="22"/>
        </w:rPr>
        <w:t>) pursuant to the Registration Statement on Form S-3 (File No. 333-288908) (the “</w:t>
      </w:r>
      <w:r>
        <w:rPr>
          <w:rFonts w:ascii="Times New Roman" w:hAnsi="Times New Roman"/>
          <w:b/>
          <w:color w:val="000000"/>
          <w:sz w:val="22"/>
        </w:rPr>
        <w:t>Registration Statement</w:t>
      </w:r>
      <w:r>
        <w:rPr>
          <w:rFonts w:ascii="Times New Roman" w:hAnsi="Times New Roman"/>
          <w:color w:val="000000"/>
          <w:sz w:val="20"/>
        </w:rPr>
        <w:t>”</w:t>
      </w:r>
      <w:r>
        <w:rPr>
          <w:rFonts w:ascii="Times New Roman" w:hAnsi="Times New Roman"/>
          <w:color w:val="000000"/>
          <w:sz w:val="22"/>
        </w:rPr>
        <w:t>) filed with the U.S. Securities and Exchange Commission (the “</w:t>
      </w:r>
      <w:r>
        <w:rPr>
          <w:rFonts w:ascii="Times New Roman" w:hAnsi="Times New Roman"/>
          <w:b/>
          <w:color w:val="000000"/>
          <w:sz w:val="22"/>
        </w:rPr>
        <w:t>Commission</w:t>
      </w:r>
      <w:r>
        <w:rPr>
          <w:rFonts w:ascii="Times New Roman" w:hAnsi="Times New Roman"/>
          <w:color w:val="000000"/>
          <w:sz w:val="20"/>
        </w:rPr>
        <w:t>”</w:t>
      </w:r>
      <w:r>
        <w:rPr>
          <w:rFonts w:ascii="Times New Roman" w:hAnsi="Times New Roman"/>
          <w:color w:val="000000"/>
          <w:sz w:val="22"/>
        </w:rPr>
        <w:t>) under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the prospectus included in the Registration Statement (the “</w:t>
      </w:r>
      <w:r>
        <w:rPr>
          <w:rFonts w:ascii="Times New Roman" w:hAnsi="Times New Roman"/>
          <w:b/>
          <w:color w:val="000000"/>
          <w:sz w:val="22"/>
        </w:rPr>
        <w:t>Base Prospectus</w:t>
      </w:r>
      <w:r>
        <w:rPr>
          <w:rFonts w:ascii="Times New Roman" w:hAnsi="Times New Roman"/>
          <w:color w:val="000000"/>
          <w:sz w:val="20"/>
        </w:rPr>
        <w:t>”</w:t>
      </w:r>
      <w:r>
        <w:rPr>
          <w:rFonts w:ascii="Times New Roman" w:hAnsi="Times New Roman"/>
          <w:color w:val="000000"/>
          <w:sz w:val="22"/>
        </w:rPr>
        <w:t>), and the prospectus supplement dated July 13, 2026 filed with the Commission pursuant to Rule 424(b) promulgated under the Securities Act (together with the Base Prospectus, the “</w:t>
      </w:r>
      <w:r>
        <w:rPr>
          <w:rFonts w:ascii="Times New Roman" w:hAnsi="Times New Roman"/>
          <w:b/>
          <w:color w:val="000000"/>
          <w:sz w:val="22"/>
        </w:rPr>
        <w:t>Prospectus</w:t>
      </w:r>
      <w:r>
        <w:rPr>
          <w:rFonts w:ascii="Times New Roman" w:hAnsi="Times New Roman"/>
          <w:color w:val="000000"/>
          <w:sz w:val="20"/>
        </w:rPr>
        <w:t>”</w:t>
      </w:r>
      <w:r>
        <w:rPr>
          <w:rFonts w:ascii="Times New Roman" w:hAnsi="Times New Roman"/>
          <w:color w:val="000000"/>
          <w:sz w:val="22"/>
        </w:rPr>
        <w:t>). At the option of the underwriter, up to an additional 36,364 shares of the Company’s Common Stock (the “</w:t>
      </w:r>
      <w:r>
        <w:rPr>
          <w:rFonts w:ascii="Times New Roman" w:hAnsi="Times New Roman"/>
          <w:b/>
          <w:color w:val="000000"/>
          <w:sz w:val="22"/>
        </w:rPr>
        <w:t>Option Shares,</w:t>
      </w:r>
      <w:r>
        <w:rPr>
          <w:rFonts w:ascii="Times New Roman" w:hAnsi="Times New Roman"/>
          <w:color w:val="000000"/>
          <w:sz w:val="20"/>
        </w:rPr>
        <w:t xml:space="preserve">” </w:t>
      </w:r>
      <w:r>
        <w:rPr>
          <w:rFonts w:ascii="Times New Roman" w:hAnsi="Times New Roman"/>
          <w:color w:val="000000"/>
          <w:sz w:val="22"/>
        </w:rPr>
        <w:t>together with the Primary Shares, the “</w:t>
      </w:r>
      <w:r>
        <w:rPr>
          <w:rFonts w:ascii="Times New Roman" w:hAnsi="Times New Roman"/>
          <w:b/>
          <w:color w:val="000000"/>
          <w:sz w:val="22"/>
        </w:rPr>
        <w:t>Shares</w:t>
      </w:r>
      <w:r>
        <w:rPr>
          <w:rFonts w:ascii="Times New Roman" w:hAnsi="Times New Roman"/>
          <w:color w:val="000000"/>
          <w:sz w:val="20"/>
        </w:rPr>
        <w:t>”</w:t>
      </w:r>
      <w:r>
        <w:rPr>
          <w:rFonts w:ascii="Times New Roman" w:hAnsi="Times New Roman"/>
          <w:color w:val="000000"/>
          <w:sz w:val="22"/>
        </w:rPr>
        <w:t>), may be sold pursuant to the Prospectus. The Shares are to be sold by the Company under that certain Underwriting Agreement, dated July 13, 2026, between the Company and Aegis Capital Corp. (the “</w:t>
      </w:r>
      <w:r>
        <w:rPr>
          <w:rFonts w:ascii="Times New Roman" w:hAnsi="Times New Roman"/>
          <w:b/>
          <w:color w:val="000000"/>
          <w:sz w:val="22"/>
        </w:rPr>
        <w:t>Underwriting Agreement</w:t>
      </w:r>
      <w:r>
        <w:rPr>
          <w:rFonts w:ascii="Times New Roman" w:hAnsi="Times New Roman"/>
          <w:color w:val="000000"/>
          <w:sz w:val="20"/>
        </w:rPr>
        <w:t>”</w:t>
      </w:r>
      <w:r>
        <w:rPr>
          <w:rFonts w:ascii="Times New Roman" w:hAnsi="Times New Roman"/>
          <w:color w:val="000000"/>
          <w:sz w:val="22"/>
        </w:rPr>
        <w:t>), as described in the Prospectus.</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In arriving at the opinion expressed below, we have examined and relied on the following documents:</w:t>
      </w:r>
    </w:p>
    <w:tbl>
      <w:tblPr>
        <w:tblW w:w="10205" w:type="dxa"/>
        <w:jc w:val="left"/>
        <w:tblInd w:w="0" w:type="dxa"/>
        <w:tblLayout w:type="fixed"/>
        <w:tblCellMar>
          <w:top w:w="28" w:type="dxa"/>
          <w:left w:w="28" w:type="dxa"/>
          <w:bottom w:w="28" w:type="dxa"/>
          <w:right w:w="28" w:type="dxa"/>
        </w:tblCellMar>
      </w:tblPr>
      <w:tblGrid>
        <w:gridCol w:w="161"/>
        <w:gridCol w:w="364"/>
        <w:gridCol w:w="9680"/>
      </w:tblGrid>
      <w:tr>
        <w:trPr/>
        <w:tc>
          <w:tcPr>
            <w:tcW w:w="1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680"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968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Certificate of Incorporation of the Company, and all amendments to date and the current Bylaws of the Company;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968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 resolutions adopted by the board of directors of the Company;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9680"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the Registration Statement, including the prospectuses contained therein and exhibits thereto;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w:t>
            </w:r>
          </w:p>
        </w:tc>
        <w:tc>
          <w:tcPr>
            <w:tcW w:w="9680"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the Prospectus; and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w:t>
            </w:r>
          </w:p>
        </w:tc>
        <w:tc>
          <w:tcPr>
            <w:tcW w:w="9680"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the Underwriting Agreement. </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drawing>
          <wp:inline distT="0" distB="0" distL="0" distR="0">
            <wp:extent cx="3667125" cy="127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67125" cy="1276350"/>
                    </a:xfrm>
                    <a:prstGeom prst="rect">
                      <a:avLst/>
                    </a:prstGeom>
                  </pic:spPr>
                </pic:pic>
              </a:graphicData>
            </a:graphic>
          </wp:inline>
        </w:drawing>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not independently verified any of these assumptions.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opinions expressed in this opinion letter are limited to the federal laws of the United States of America and the General Corporation Law of the State of Delaware, as currently in effect. We are not opining on, and we assume no responsibility for, the applicability or effect on any of the matters covered herein of: (a) any other laws; (b) the laws of any other jurisdiction; or (c) the laws of any country, municipality, or other political subdivision or local government agency or authority. The opinions set forth below are rendered as of the date of this opinion letter. We assume no obligation to update or supplement such opinions to reflect any change of law or fact that may occur.</w:t>
      </w:r>
    </w:p>
    <w:p>
      <w:pPr>
        <w:pStyle w:val="TextBody"/>
        <w:bidi w:val="0"/>
        <w:spacing w:before="0" w:after="240"/>
        <w:jc w:val="both"/>
        <w:rPr>
          <w:rFonts w:ascii="Times New Roman" w:hAnsi="Times New Roman"/>
          <w:sz w:val="20"/>
        </w:rPr>
      </w:pPr>
      <w:r>
        <w:rPr>
          <w:rFonts w:ascii="Times New Roman" w:hAnsi="Times New Roman"/>
          <w:color w:val="000000"/>
          <w:sz w:val="22"/>
        </w:rPr>
        <w:t>Based upon and subject to the foregoing, we are of the opinion that,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 xml:space="preserve">when the Shares have been issued and paid for in accordance with the terms and conditions of the Underwriting Agreement and as provided in the Registration Statement and the Prospectus, the Shares will be validly issued, fully paid and nonassessable.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We hereby consent to the reference to our firm under the caption “Legal Matters” in the Prospectus and to the filing of this opinion as an exhibit in the Current Report on Form 8-K to be filed with the Commission for incorporation by reference into the Registration Statement.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 giving such consent, we do not thereby admit that we are experts with respect to any part of the Registration Statement within the meaning of the term “expert” as used in Section 11 of the Securities Act or the rules and regulations promulgated thereunder by the Commission, nor do we admit that we are within the category of persons whose consent is required under Section 7 of the Securities Act or the rules and regulations of the Commission promulgated thereunder.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Very truly yours,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 Hunter Taubman Fischer &amp; Li LLC</w:t>
      </w:r>
    </w:p>
    <w:p>
      <w:pPr>
        <w:pStyle w:val="TextBody"/>
        <w:bidi w:val="0"/>
        <w:jc w:val="left"/>
        <w:rPr>
          <w:rFonts w:ascii="Times New Roman" w:hAnsi="Times New Roman"/>
          <w:color w:val="000000"/>
          <w:sz w:val="22"/>
        </w:rPr>
      </w:pPr>
      <w:r>
        <w:rPr>
          <w:rFonts w:ascii="Times New Roman" w:hAnsi="Times New Roman"/>
          <w:color w:val="000000"/>
          <w:sz w:val="22"/>
        </w:rPr>
        <w:t>Hunter Taubman Fischer &amp; Li LLC</w:t>
      </w:r>
    </w:p>
    <w:p>
      <w:pPr>
        <w:pStyle w:val="TextBody"/>
        <w:bidi w:val="0"/>
        <w:spacing w:before="120" w:after="283"/>
        <w:jc w:val="center"/>
        <w:rPr>
          <w:rFonts w:ascii="Garamond;serif" w:hAnsi="Garamond;serif"/>
          <w:color w:val="000000"/>
          <w:sz w:val="16"/>
        </w:rPr>
      </w:pPr>
      <w:r>
        <w:rPr>
          <w:rFonts w:ascii="Garamond;serif" w:hAnsi="Garamond;serif"/>
          <w:color w:val="000000"/>
          <w:sz w:val="16"/>
        </w:rPr>
        <w:t>www.htflawyers.com | info@htflawyers.com</w:t>
      </w:r>
    </w:p>
    <w:p>
      <w:pPr>
        <w:pStyle w:val="TextBody"/>
        <w:bidi w:val="0"/>
        <w:spacing w:before="0" w:after="120"/>
        <w:jc w:val="center"/>
        <w:rPr>
          <w:rFonts w:ascii="Times New Roman" w:hAnsi="Times New Roman"/>
          <w:sz w:val="20"/>
        </w:rPr>
      </w:pPr>
      <w:r>
        <w:rPr>
          <w:rFonts w:ascii="Garamond;serif" w:hAnsi="Garamond;serif"/>
          <w:color w:val="000000"/>
          <w:sz w:val="16"/>
        </w:rPr>
        <w:t xml:space="preserve">950 Third Avenue, 19th Floor - New York, NY 10022 | </w:t>
      </w:r>
      <w:r>
        <w:rPr>
          <w:rFonts w:ascii="Garamond;serif" w:hAnsi="Garamond;serif"/>
          <w:color w:val="007A00"/>
          <w:sz w:val="16"/>
        </w:rPr>
        <w:t>Office:</w:t>
      </w:r>
      <w:r>
        <w:rPr>
          <w:rFonts w:ascii="Times New Roman" w:hAnsi="Times New Roman"/>
          <w:color w:val="000000"/>
          <w:sz w:val="20"/>
        </w:rPr>
        <w:t xml:space="preserve"> </w:t>
      </w:r>
      <w:r>
        <w:rPr>
          <w:rFonts w:ascii="Garamond;serif" w:hAnsi="Garamond;serif"/>
          <w:color w:val="000000"/>
          <w:sz w:val="16"/>
        </w:rPr>
        <w:t xml:space="preserve">(212) 530-2210 | </w:t>
      </w:r>
      <w:r>
        <w:rPr>
          <w:rFonts w:ascii="Garamond;serif" w:hAnsi="Garamond;serif"/>
          <w:color w:val="007A00"/>
          <w:sz w:val="16"/>
        </w:rPr>
        <w:t>Fax:</w:t>
      </w:r>
      <w:r>
        <w:rPr>
          <w:rFonts w:ascii="Times New Roman" w:hAnsi="Times New Roman"/>
          <w:color w:val="000000"/>
          <w:sz w:val="20"/>
        </w:rPr>
        <w:t xml:space="preserve"> </w:t>
      </w:r>
      <w:r>
        <w:rPr>
          <w:rFonts w:ascii="Garamond;serif" w:hAnsi="Garamond;serif"/>
          <w:color w:val="000000"/>
          <w:sz w:val="16"/>
        </w:rPr>
        <w:t>(212) 202-6380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bnzi-ex99_1.htm"/>
      <w:bookmarkStart w:id="7" w:name="ksbnziex99_1"/>
      <w:bookmarkEnd w:id="6"/>
      <w:bookmarkEnd w:id="7"/>
      <w:r>
        <w:rPr>
          <w:rFonts w:ascii="Times New Roman" w:hAnsi="Times New Roman"/>
          <w:b/>
          <w:color w:val="000000"/>
          <w:sz w:val="20"/>
        </w:rPr>
        <w:t>EXHIBIT 99.1</w:t>
      </w:r>
      <w:r>
        <w:br w:type="page"/>
      </w:r>
    </w:p>
    <w:p>
      <w:pPr>
        <w:pStyle w:val="Heading1"/>
        <w:bidi w:val="0"/>
        <w:spacing w:before="197" w:after="283"/>
        <w:jc w:val="center"/>
        <w:rPr/>
      </w:pPr>
      <w:r>
        <w:rPr/>
        <w:t> </w:t>
      </w:r>
    </w:p>
    <w:p>
      <w:pPr>
        <w:pStyle w:val="Heading1"/>
        <w:bidi w:val="0"/>
        <w:spacing w:before="197" w:after="240"/>
        <w:jc w:val="center"/>
        <w:rPr/>
      </w:pPr>
      <w:r>
        <w:rPr/>
        <w:drawing>
          <wp:inline distT="0" distB="0" distL="0" distR="0">
            <wp:extent cx="142875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333375"/>
                    </a:xfrm>
                    <a:prstGeom prst="rect">
                      <a:avLst/>
                    </a:prstGeom>
                  </pic:spPr>
                </pic:pic>
              </a:graphicData>
            </a:graphic>
          </wp:inline>
        </w:drawing>
      </w:r>
    </w:p>
    <w:p>
      <w:pPr>
        <w:pStyle w:val="Heading1"/>
        <w:bidi w:val="0"/>
        <w:jc w:val="center"/>
        <w:rPr>
          <w:rFonts w:ascii="Arial" w:hAnsi="Arial"/>
          <w:color w:val="000000"/>
          <w:sz w:val="32"/>
        </w:rPr>
      </w:pPr>
      <w:r>
        <w:rPr>
          <w:rFonts w:ascii="Arial" w:hAnsi="Arial"/>
          <w:color w:val="000000"/>
          <w:sz w:val="32"/>
        </w:rPr>
        <w:t>Banzai Announces Proposed Public Offering of Approximately $1 Million</w:t>
      </w:r>
    </w:p>
    <w:p>
      <w:pPr>
        <w:pStyle w:val="TextBody"/>
        <w:bidi w:val="0"/>
        <w:jc w:val="left"/>
        <w:rPr/>
      </w:pPr>
      <w:r>
        <w:rPr/>
        <w:t> </w:t>
      </w:r>
    </w:p>
    <w:p>
      <w:pPr>
        <w:pStyle w:val="TextBody"/>
        <w:bidi w:val="0"/>
        <w:jc w:val="center"/>
        <w:rPr>
          <w:rFonts w:ascii="Arial" w:hAnsi="Arial"/>
          <w:i/>
          <w:color w:val="000000"/>
          <w:sz w:val="22"/>
        </w:rPr>
      </w:pPr>
      <w:r>
        <w:rPr>
          <w:rFonts w:ascii="Arial" w:hAnsi="Arial"/>
          <w:i/>
          <w:color w:val="000000"/>
          <w:sz w:val="22"/>
        </w:rPr>
        <w:t>Banzai (Nasdaq: BNZI) commences an underwritten public offering of Class A common stock; Aegis Capital Corp. is sole book-running manager.</w:t>
      </w:r>
    </w:p>
    <w:p>
      <w:pPr>
        <w:pStyle w:val="TextBody"/>
        <w:bidi w:val="0"/>
        <w:jc w:val="left"/>
        <w:rPr/>
      </w:pPr>
      <w:r>
        <w:rPr/>
        <w:t> </w:t>
      </w:r>
    </w:p>
    <w:p>
      <w:pPr>
        <w:pStyle w:val="TextBody"/>
        <w:bidi w:val="0"/>
        <w:spacing w:before="163" w:after="283"/>
        <w:jc w:val="both"/>
        <w:rPr>
          <w:rFonts w:ascii="Times New Roman" w:hAnsi="Times New Roman"/>
          <w:sz w:val="20"/>
        </w:rPr>
      </w:pPr>
      <w:r>
        <w:rPr>
          <w:rFonts w:ascii="Arial" w:hAnsi="Arial"/>
          <w:b/>
          <w:color w:val="000000"/>
          <w:sz w:val="22"/>
        </w:rPr>
        <w:t>SEATTLE, WA –</w:t>
      </w:r>
      <w:r>
        <w:rPr>
          <w:rFonts w:ascii="Times New Roman" w:hAnsi="Times New Roman"/>
          <w:color w:val="000000"/>
          <w:sz w:val="20"/>
        </w:rPr>
        <w:t xml:space="preserve"> </w:t>
      </w:r>
      <w:r>
        <w:rPr>
          <w:rFonts w:ascii="Arial" w:hAnsi="Arial"/>
          <w:b/>
          <w:color w:val="000000"/>
          <w:sz w:val="22"/>
        </w:rPr>
        <w:t>July 10, 2026</w:t>
      </w:r>
      <w:r>
        <w:rPr>
          <w:rFonts w:ascii="Times New Roman" w:hAnsi="Times New Roman"/>
          <w:color w:val="000000"/>
          <w:sz w:val="20"/>
        </w:rPr>
        <w:t xml:space="preserve"> </w:t>
      </w:r>
      <w:r>
        <w:rPr>
          <w:rFonts w:ascii="Arial" w:hAnsi="Arial"/>
          <w:color w:val="000000"/>
          <w:sz w:val="22"/>
        </w:rPr>
        <w:t>-- Banzai International, Inc. (NASDAQ: BNZI) (“Banzai” or the “Company”), a leading marketing technology company that provides essential marketing and sales solutions, today announced that it has commenced an underwritten public offering of its Class A common stock (or pre-funded warrants to purchase shares of Class A common stock in lieu thereof). All of the securities in the proposed offering are being offered by Banzai. The aggregate offering amount of the securities issued in the proposed offering, including any securities issued pursuant to an underwriter's option, is approximately $1 million, which is the maximum market value of securities that Banzai is allowed to sell under "baby shelf" rules currently applicable to its effective shelf registration statement on Form S-3.</w:t>
      </w:r>
    </w:p>
    <w:p>
      <w:pPr>
        <w:pStyle w:val="TextBody"/>
        <w:bidi w:val="0"/>
        <w:spacing w:before="163" w:after="283"/>
        <w:jc w:val="both"/>
        <w:rPr>
          <w:rFonts w:ascii="Arial" w:hAnsi="Arial"/>
          <w:color w:val="000000"/>
          <w:sz w:val="22"/>
        </w:rPr>
      </w:pPr>
      <w:r>
        <w:rPr>
          <w:rFonts w:ascii="Arial" w:hAnsi="Arial"/>
          <w:color w:val="000000"/>
          <w:sz w:val="22"/>
        </w:rPr>
        <w:t>The proposed offering is subject to market and other conditions, and there can be no assurance as to whether or when the offering may be completed, or as to the actual size or terms of the offering.</w:t>
      </w:r>
    </w:p>
    <w:p>
      <w:pPr>
        <w:pStyle w:val="TextBody"/>
        <w:bidi w:val="0"/>
        <w:spacing w:before="163" w:after="283"/>
        <w:jc w:val="both"/>
        <w:rPr>
          <w:rFonts w:ascii="Arial" w:hAnsi="Arial"/>
          <w:color w:val="000000"/>
          <w:sz w:val="22"/>
        </w:rPr>
      </w:pPr>
      <w:r>
        <w:rPr>
          <w:rFonts w:ascii="Arial" w:hAnsi="Arial"/>
          <w:color w:val="000000"/>
          <w:sz w:val="22"/>
        </w:rPr>
        <w:t>Banzai intends to use the net proceeds from the proposed offering for working capital and other general corporate purposes.</w:t>
      </w:r>
    </w:p>
    <w:p>
      <w:pPr>
        <w:pStyle w:val="TextBody"/>
        <w:bidi w:val="0"/>
        <w:spacing w:before="163" w:after="283"/>
        <w:jc w:val="both"/>
        <w:rPr>
          <w:rFonts w:ascii="Arial" w:hAnsi="Arial"/>
          <w:color w:val="000000"/>
          <w:sz w:val="22"/>
        </w:rPr>
      </w:pPr>
      <w:r>
        <w:rPr>
          <w:rFonts w:ascii="Arial" w:hAnsi="Arial"/>
          <w:color w:val="000000"/>
          <w:sz w:val="22"/>
        </w:rPr>
        <w:t>Aegis Capital Corp. is acting as the sole book-running manager for the proposed offering.</w:t>
      </w:r>
    </w:p>
    <w:p>
      <w:pPr>
        <w:pStyle w:val="TextBody"/>
        <w:bidi w:val="0"/>
        <w:spacing w:before="163" w:after="283"/>
        <w:jc w:val="both"/>
        <w:rPr>
          <w:rFonts w:ascii="Times New Roman" w:hAnsi="Times New Roman"/>
          <w:sz w:val="20"/>
        </w:rPr>
      </w:pPr>
      <w:r>
        <w:rPr>
          <w:rFonts w:ascii="Arial" w:hAnsi="Arial"/>
          <w:color w:val="000000"/>
          <w:sz w:val="22"/>
        </w:rPr>
        <w:t xml:space="preserve">The offering is being made pursuant to an effective shelf registration statement on Form S-3 (No. 333-288908) previously filed with the U.S. Securities and Exchange Commission (SEC) and declared effective by the SEC on August 8, 2025. A final prospectus supplement and accompanying prospectus describing the terms of the proposed offering will be filed with the SEC and will be available on the SEC's website located at www.sec.gov. Electronic copies of the final prospectus supplement and the accompanying prospectus may be obtained, when available, by contacting Aegis Capital Corp., Attention: Syndicate Department, 1345 Avenue of the Americas, 27th floor, New York, NY 10105, by email at </w:t>
      </w:r>
      <w:r>
        <w:rPr>
          <w:rFonts w:ascii="Arial" w:hAnsi="Arial"/>
          <w:sz w:val="22"/>
        </w:rPr>
        <w:t>syndicate@aegiscap.com</w:t>
      </w:r>
      <w:r>
        <w:rPr>
          <w:rFonts w:ascii="Arial" w:hAnsi="Arial"/>
          <w:color w:val="000000"/>
          <w:sz w:val="22"/>
        </w:rPr>
        <w:t>, or by telephone at +1 (212) 813-1010.</w:t>
      </w:r>
    </w:p>
    <w:p>
      <w:pPr>
        <w:pStyle w:val="TextBody"/>
        <w:bidi w:val="0"/>
        <w:spacing w:before="163" w:after="283"/>
        <w:jc w:val="both"/>
        <w:rPr>
          <w:rFonts w:ascii="Times New Roman" w:hAnsi="Times New Roman"/>
          <w:sz w:val="20"/>
        </w:rPr>
      </w:pPr>
      <w:r>
        <w:rPr>
          <w:rFonts w:ascii="Arial" w:hAnsi="Arial"/>
          <w:color w:val="000000"/>
          <w:sz w:val="22"/>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r>
        <w:rPr>
          <w:rFonts w:ascii="Times New Roman" w:hAnsi="Times New Roman"/>
          <w:color w:val="000000"/>
          <w:sz w:val="20"/>
        </w:rPr>
        <w:t xml:space="preserve"> </w:t>
      </w:r>
    </w:p>
    <w:p>
      <w:pPr>
        <w:pStyle w:val="Heading2"/>
        <w:bidi w:val="0"/>
        <w:spacing w:before="146" w:after="283"/>
        <w:jc w:val="both"/>
        <w:rPr>
          <w:rFonts w:ascii="Arial" w:hAnsi="Arial"/>
          <w:color w:val="000000"/>
          <w:sz w:val="22"/>
        </w:rPr>
      </w:pPr>
      <w:r>
        <w:rPr>
          <w:rFonts w:ascii="Arial" w:hAnsi="Arial"/>
          <w:color w:val="000000"/>
          <w:sz w:val="22"/>
        </w:rPr>
        <w:t>About Banzai</w:t>
      </w:r>
    </w:p>
    <w:p>
      <w:pPr>
        <w:pStyle w:val="TextBody"/>
        <w:bidi w:val="0"/>
        <w:spacing w:before="149" w:after="283"/>
        <w:jc w:val="both"/>
        <w:rPr>
          <w:rFonts w:ascii="Times New Roman" w:hAnsi="Times New Roman"/>
          <w:sz w:val="20"/>
        </w:rPr>
      </w:pPr>
      <w:r>
        <w:rPr>
          <w:rFonts w:ascii="Arial" w:hAnsi="Arial"/>
          <w:color w:val="000000"/>
          <w:sz w:val="22"/>
        </w:rPr>
        <w:t xml:space="preserve">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has over 150,000 customers including Amazon, Dell, Salesforce, Aflac, Thermo Fisher Scientific, RBC Wealth Management, and Fitch Group. Learn more at </w:t>
      </w:r>
      <w:r>
        <w:rPr>
          <w:rFonts w:ascii="Arial" w:hAnsi="Arial"/>
          <w:sz w:val="22"/>
        </w:rPr>
        <w:t>www.banzai.io</w:t>
      </w:r>
      <w:r>
        <w:rPr>
          <w:rFonts w:ascii="Arial" w:hAnsi="Arial"/>
          <w:color w:val="000000"/>
          <w:sz w:val="22"/>
        </w:rPr>
        <w:t xml:space="preserve">. For investors, please visit </w:t>
      </w:r>
      <w:r>
        <w:rPr>
          <w:rFonts w:ascii="Arial" w:hAnsi="Arial"/>
          <w:sz w:val="22"/>
        </w:rPr>
        <w:t>ir.banzai.io</w:t>
      </w:r>
      <w:r>
        <w:rPr>
          <w:rFonts w:ascii="Arial" w:hAnsi="Arial"/>
          <w:color w:val="000000"/>
          <w:sz w:val="22"/>
        </w:rPr>
        <w:t>.</w:t>
      </w:r>
    </w:p>
    <w:p>
      <w:pPr>
        <w:pStyle w:val="Heading2"/>
        <w:bidi w:val="0"/>
        <w:spacing w:before="146" w:after="283"/>
        <w:jc w:val="both"/>
        <w:rPr>
          <w:rFonts w:ascii="Arial" w:hAnsi="Arial"/>
          <w:color w:val="000000"/>
          <w:sz w:val="22"/>
        </w:rPr>
      </w:pPr>
      <w:r>
        <w:rPr>
          <w:rFonts w:ascii="Arial" w:hAnsi="Arial"/>
          <w:color w:val="000000"/>
          <w:sz w:val="22"/>
        </w:rPr>
        <w:t>Forward-Looking Statements</w:t>
      </w:r>
    </w:p>
    <w:p>
      <w:pPr>
        <w:pStyle w:val="TextBody"/>
        <w:bidi w:val="0"/>
        <w:spacing w:before="149" w:after="283"/>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expectations regarding the timing and size of the offering and sale of securities, the Company’s ability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49" w:after="283"/>
        <w:jc w:val="both"/>
        <w:rPr>
          <w:rFonts w:ascii="Arial" w:hAnsi="Arial"/>
          <w:color w:val="000000"/>
          <w:sz w:val="22"/>
        </w:rPr>
      </w:pPr>
      <w:r>
        <w:rPr>
          <w:rFonts w:ascii="Arial" w:hAnsi="Arial"/>
          <w:color w:val="000000"/>
          <w:sz w:val="22"/>
        </w:rPr>
        <w:t>complete the offering,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Heading2"/>
        <w:bidi w:val="0"/>
        <w:spacing w:before="142" w:after="283"/>
        <w:jc w:val="left"/>
        <w:rPr/>
      </w:pPr>
      <w:r>
        <w:rPr/>
        <w:t> </w:t>
      </w:r>
    </w:p>
    <w:p>
      <w:pPr>
        <w:pStyle w:val="Heading2"/>
        <w:bidi w:val="0"/>
        <w:spacing w:before="142" w:after="283"/>
        <w:jc w:val="left"/>
        <w:rPr>
          <w:rFonts w:ascii="Arial" w:hAnsi="Arial"/>
          <w:color w:val="000000"/>
          <w:sz w:val="22"/>
        </w:rPr>
      </w:pPr>
      <w:r>
        <w:rPr>
          <w:rFonts w:ascii="Arial" w:hAnsi="Arial"/>
          <w:color w:val="000000"/>
          <w:sz w:val="22"/>
        </w:rPr>
        <w:t>Investor Relations</w:t>
      </w:r>
    </w:p>
    <w:p>
      <w:pPr>
        <w:pStyle w:val="TextBody"/>
        <w:bidi w:val="0"/>
        <w:jc w:val="left"/>
        <w:rPr>
          <w:rFonts w:ascii="Arial" w:hAnsi="Arial"/>
          <w:color w:val="000000"/>
          <w:sz w:val="22"/>
        </w:rPr>
      </w:pPr>
      <w:r>
        <w:rPr>
          <w:rFonts w:ascii="Arial" w:hAnsi="Arial"/>
          <w:color w:val="000000"/>
          <w:sz w:val="22"/>
        </w:rPr>
        <w:t>Dean Ditto</w:t>
      </w:r>
    </w:p>
    <w:p>
      <w:pPr>
        <w:pStyle w:val="TextBody"/>
        <w:bidi w:val="0"/>
        <w:jc w:val="left"/>
        <w:rPr>
          <w:rFonts w:ascii="Arial" w:hAnsi="Arial"/>
          <w:color w:val="000000"/>
          <w:sz w:val="22"/>
        </w:rPr>
      </w:pPr>
      <w:r>
        <w:rPr>
          <w:rFonts w:ascii="Arial" w:hAnsi="Arial"/>
          <w:color w:val="000000"/>
          <w:sz w:val="22"/>
        </w:rPr>
        <w:t>Chief Financial Officer, Banzai</w:t>
      </w:r>
    </w:p>
    <w:p>
      <w:pPr>
        <w:pStyle w:val="TextBody"/>
        <w:bidi w:val="0"/>
        <w:jc w:val="left"/>
        <w:rPr>
          <w:rFonts w:ascii="Arial" w:hAnsi="Arial"/>
          <w:color w:val="000000"/>
          <w:sz w:val="22"/>
        </w:rPr>
      </w:pPr>
      <w:r>
        <w:rPr>
          <w:rFonts w:ascii="Arial" w:hAnsi="Arial"/>
          <w:color w:val="000000"/>
          <w:sz w:val="22"/>
        </w:rPr>
        <w:t>206 414-1777</w:t>
      </w:r>
    </w:p>
    <w:p>
      <w:pPr>
        <w:pStyle w:val="TextBody"/>
        <w:bidi w:val="0"/>
        <w:jc w:val="left"/>
        <w:rPr>
          <w:rFonts w:ascii="Arial" w:hAnsi="Arial"/>
          <w:sz w:val="22"/>
        </w:rPr>
      </w:pPr>
      <w:r>
        <w:rPr>
          <w:rFonts w:ascii="Arial" w:hAnsi="Arial"/>
          <w:sz w:val="22"/>
        </w:rPr>
        <w:t>ir.banzai.io</w:t>
      </w:r>
    </w:p>
    <w:p>
      <w:pPr>
        <w:pStyle w:val="Heading2"/>
        <w:bidi w:val="0"/>
        <w:spacing w:before="142" w:after="283"/>
        <w:jc w:val="left"/>
        <w:rPr/>
      </w:pPr>
      <w:r>
        <w:rPr/>
        <w:t> </w:t>
      </w:r>
    </w:p>
    <w:p>
      <w:pPr>
        <w:pStyle w:val="Heading2"/>
        <w:bidi w:val="0"/>
        <w:spacing w:before="146" w:after="283"/>
        <w:jc w:val="left"/>
        <w:rPr>
          <w:rFonts w:ascii="Arial" w:hAnsi="Arial"/>
          <w:color w:val="000000"/>
          <w:sz w:val="22"/>
        </w:rPr>
      </w:pPr>
      <w:r>
        <w:rPr>
          <w:rFonts w:ascii="Arial" w:hAnsi="Arial"/>
          <w:color w:val="000000"/>
          <w:sz w:val="22"/>
        </w:rPr>
        <w:t>Media</w:t>
      </w:r>
    </w:p>
    <w:p>
      <w:pPr>
        <w:pStyle w:val="TextBody"/>
        <w:bidi w:val="0"/>
        <w:jc w:val="left"/>
        <w:rPr>
          <w:rFonts w:ascii="Arial" w:hAnsi="Arial"/>
          <w:color w:val="000000"/>
          <w:sz w:val="22"/>
        </w:rPr>
      </w:pPr>
      <w:r>
        <w:rPr>
          <w:rFonts w:ascii="Arial" w:hAnsi="Arial"/>
          <w:color w:val="000000"/>
          <w:sz w:val="22"/>
        </w:rPr>
        <w:t>Paul Witkowski</w:t>
      </w:r>
    </w:p>
    <w:p>
      <w:pPr>
        <w:pStyle w:val="TextBody"/>
        <w:bidi w:val="0"/>
        <w:jc w:val="left"/>
        <w:rPr>
          <w:rFonts w:ascii="Arial" w:hAnsi="Arial"/>
          <w:color w:val="000000"/>
          <w:sz w:val="22"/>
        </w:rPr>
      </w:pPr>
      <w:r>
        <w:rPr>
          <w:rFonts w:ascii="Arial" w:hAnsi="Arial"/>
          <w:color w:val="000000"/>
          <w:sz w:val="22"/>
        </w:rPr>
        <w:t>Senior Director Financial Reporting, Banzai</w:t>
      </w:r>
    </w:p>
    <w:p>
      <w:pPr>
        <w:pStyle w:val="TextBody"/>
        <w:bidi w:val="0"/>
        <w:jc w:val="left"/>
        <w:rPr>
          <w:rFonts w:ascii="Arial" w:hAnsi="Arial"/>
          <w:color w:val="0000ED"/>
          <w:sz w:val="22"/>
          <w:u w:val="single"/>
        </w:rPr>
      </w:pPr>
      <w:r>
        <w:rPr>
          <w:rFonts w:ascii="Arial" w:hAnsi="Arial"/>
          <w:color w:val="0000ED"/>
          <w:sz w:val="22"/>
          <w:u w:val="single"/>
        </w:rPr>
        <w:t>media@banzai.io</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bnzi-ex99_2.htm"/>
      <w:bookmarkStart w:id="9" w:name="ksbnziex99_2"/>
      <w:bookmarkEnd w:id="8"/>
      <w:bookmarkEnd w:id="9"/>
      <w:r>
        <w:rPr>
          <w:rFonts w:ascii="Times New Roman" w:hAnsi="Times New Roman"/>
          <w:b/>
          <w:color w:val="000000"/>
          <w:sz w:val="20"/>
        </w:rPr>
        <w:t>EXHIBIT 99.2</w:t>
      </w:r>
      <w:r>
        <w:br w:type="page"/>
      </w:r>
    </w:p>
    <w:p>
      <w:pPr>
        <w:pStyle w:val="Heading1"/>
        <w:bidi w:val="0"/>
        <w:spacing w:before="197" w:after="283"/>
        <w:jc w:val="center"/>
        <w:rPr/>
      </w:pPr>
      <w:r>
        <w:rPr/>
        <w:t> </w:t>
      </w:r>
    </w:p>
    <w:p>
      <w:pPr>
        <w:pStyle w:val="Heading1"/>
        <w:bidi w:val="0"/>
        <w:spacing w:before="197" w:after="240"/>
        <w:jc w:val="center"/>
        <w:rPr/>
      </w:pPr>
      <w:r>
        <w:rPr/>
        <w:drawing>
          <wp:inline distT="0" distB="0" distL="0" distR="0">
            <wp:extent cx="142875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333375"/>
                    </a:xfrm>
                    <a:prstGeom prst="rect">
                      <a:avLst/>
                    </a:prstGeom>
                  </pic:spPr>
                </pic:pic>
              </a:graphicData>
            </a:graphic>
          </wp:inline>
        </w:drawing>
      </w:r>
    </w:p>
    <w:p>
      <w:pPr>
        <w:pStyle w:val="Heading1"/>
        <w:bidi w:val="0"/>
        <w:jc w:val="center"/>
        <w:rPr>
          <w:rFonts w:ascii="Arial" w:hAnsi="Arial"/>
          <w:color w:val="000000"/>
          <w:sz w:val="32"/>
        </w:rPr>
      </w:pPr>
      <w:r>
        <w:rPr>
          <w:rFonts w:ascii="Arial" w:hAnsi="Arial"/>
          <w:color w:val="000000"/>
          <w:sz w:val="32"/>
        </w:rPr>
        <w:t>Banzai International, Inc. Announces Pricing of $0.9 Million Underwritten Public Offering</w:t>
      </w:r>
    </w:p>
    <w:p>
      <w:pPr>
        <w:pStyle w:val="TextBody"/>
        <w:bidi w:val="0"/>
        <w:jc w:val="left"/>
        <w:rPr/>
      </w:pPr>
      <w:r>
        <w:rPr/>
        <w:t> </w:t>
      </w:r>
    </w:p>
    <w:p>
      <w:pPr>
        <w:pStyle w:val="TextBody"/>
        <w:bidi w:val="0"/>
        <w:jc w:val="left"/>
        <w:rPr/>
      </w:pPr>
      <w:r>
        <w:rPr/>
        <w:t> </w:t>
      </w:r>
    </w:p>
    <w:p>
      <w:pPr>
        <w:pStyle w:val="TextBody"/>
        <w:bidi w:val="0"/>
        <w:spacing w:before="163" w:after="283"/>
        <w:jc w:val="both"/>
        <w:rPr>
          <w:rFonts w:ascii="Times New Roman" w:hAnsi="Times New Roman"/>
          <w:sz w:val="20"/>
        </w:rPr>
      </w:pPr>
      <w:r>
        <w:rPr>
          <w:rFonts w:ascii="Arial" w:hAnsi="Arial"/>
          <w:b/>
          <w:color w:val="000000"/>
          <w:sz w:val="22"/>
        </w:rPr>
        <w:t>SEATTLE,</w:t>
      </w:r>
      <w:r>
        <w:rPr>
          <w:rFonts w:ascii="Times New Roman" w:hAnsi="Times New Roman"/>
          <w:color w:val="000000"/>
          <w:sz w:val="20"/>
        </w:rPr>
        <w:t xml:space="preserve"> </w:t>
      </w:r>
      <w:r>
        <w:rPr>
          <w:rFonts w:ascii="Arial" w:hAnsi="Arial"/>
          <w:b/>
          <w:color w:val="000000"/>
          <w:sz w:val="22"/>
        </w:rPr>
        <w:t>July 13, 2026</w:t>
      </w:r>
      <w:r>
        <w:rPr>
          <w:rFonts w:ascii="Times New Roman" w:hAnsi="Times New Roman"/>
          <w:color w:val="000000"/>
          <w:sz w:val="20"/>
        </w:rPr>
        <w:t xml:space="preserve"> </w:t>
      </w:r>
      <w:r>
        <w:rPr>
          <w:rFonts w:ascii="Arial" w:hAnsi="Arial"/>
          <w:color w:val="000000"/>
          <w:sz w:val="22"/>
        </w:rPr>
        <w:t>-- Banzai International, Inc. (NASDAQ: BNZI) (“Banzai” or the “Company”), a leading marketing technology company that provides essential marketing and sales solutions, today announced the pricing of a firm commitment underwritten public offering with gross proceeds to the Company expected to be approximately $0.9 million, before deducting underwriting fees and other offering expenses payable by the Company.</w:t>
      </w:r>
    </w:p>
    <w:p>
      <w:pPr>
        <w:pStyle w:val="TextBody"/>
        <w:bidi w:val="0"/>
        <w:spacing w:before="163" w:after="283"/>
        <w:jc w:val="both"/>
        <w:rPr>
          <w:rFonts w:ascii="Arial" w:hAnsi="Arial"/>
          <w:color w:val="000000"/>
          <w:sz w:val="22"/>
        </w:rPr>
      </w:pPr>
      <w:r>
        <w:rPr>
          <w:rFonts w:ascii="Arial" w:hAnsi="Arial"/>
          <w:color w:val="000000"/>
          <w:sz w:val="22"/>
        </w:rPr>
        <w:t>The offering consists of the sale of 327,273 shares of Class A common stock (“Common Stock”). The public offering price per share is $2.75. Aggregate gross proceeds to the Company are expected to be approximately $0.9 million. The transaction is expected to close on or about July 14, 2026, subject to the satisfaction of customary closing conditions. Banzai intends to use the net proceeds from the offering for working capital and other general corporate purposes.</w:t>
      </w:r>
    </w:p>
    <w:p>
      <w:pPr>
        <w:pStyle w:val="TextBody"/>
        <w:bidi w:val="0"/>
        <w:spacing w:before="163" w:after="283"/>
        <w:jc w:val="both"/>
        <w:rPr>
          <w:rFonts w:ascii="Times New Roman" w:hAnsi="Times New Roman"/>
          <w:sz w:val="20"/>
        </w:rPr>
      </w:pPr>
      <w:r>
        <w:rPr>
          <w:rFonts w:ascii="Arial" w:hAnsi="Arial"/>
          <w:color w:val="000000"/>
          <w:sz w:val="22"/>
        </w:rPr>
        <w:t>Solely to cover over-allotments, if any, the Company has granted Aegis Capital Corp. a 45-day option to purchase 36,364 additional shares of Common Stock. The purchase price to be paid per additional share of Common Stock will be equal to the public offering price of one Common Stock, less the underwriting discount.</w:t>
      </w:r>
      <w:r>
        <w:rPr>
          <w:rFonts w:ascii="Times New Roman" w:hAnsi="Times New Roman"/>
          <w:color w:val="000000"/>
          <w:sz w:val="20"/>
        </w:rPr>
        <w:t xml:space="preserve"> </w:t>
      </w:r>
    </w:p>
    <w:p>
      <w:pPr>
        <w:pStyle w:val="TextBody"/>
        <w:bidi w:val="0"/>
        <w:spacing w:before="163" w:after="283"/>
        <w:jc w:val="both"/>
        <w:rPr>
          <w:rFonts w:ascii="Arial" w:hAnsi="Arial"/>
          <w:b/>
          <w:color w:val="000000"/>
          <w:sz w:val="22"/>
        </w:rPr>
      </w:pPr>
      <w:r>
        <w:rPr>
          <w:rFonts w:ascii="Arial" w:hAnsi="Arial"/>
          <w:b/>
          <w:color w:val="000000"/>
          <w:sz w:val="22"/>
        </w:rPr>
        <w:t>Aegis Capital Corp. is acting as Sole Bookrunner for the offering. Hunter Taubman Fischer &amp; Li LLC is acting as counsel to the Company. Baker &amp; Hostetler LLP is acting as counsel to Aegis Capital Corp.</w:t>
      </w:r>
    </w:p>
    <w:p>
      <w:pPr>
        <w:pStyle w:val="TextBody"/>
        <w:bidi w:val="0"/>
        <w:spacing w:before="163" w:after="283"/>
        <w:jc w:val="both"/>
        <w:rPr>
          <w:rFonts w:ascii="Arial" w:hAnsi="Arial"/>
          <w:color w:val="000000"/>
          <w:sz w:val="22"/>
        </w:rPr>
      </w:pPr>
      <w:r>
        <w:rPr>
          <w:rFonts w:ascii="Arial" w:hAnsi="Arial"/>
          <w:color w:val="000000"/>
          <w:sz w:val="22"/>
        </w:rPr>
        <w:t>The offering is being made pursuant to an effective shelf registration statement on Form S-3 (No. 333-288908) previously filed with the U.S. Securities and Exchange Commission (“SEC”) and declared effective by the SEC on August 8, 2025. A preliminary prospectus supplement relating to this offering has been filed with the SEC and a final prospectus supplement and accompanying prospectus describing the terms of the offering will be filed with the SEC and will be available on the SEC’s website located at www.sec.gov. Electronic copies of the final prospectus supplement and the accompanying prospectus may be obtained, when available, by contacting Aegis Capital Corp., Attention: Syndicate Department, 1345 Avenue of the Americas, 27th floor, New York, NY 10105, by email at syndicate@aegiscap.com, or by telephone at +1 (212) 813-1010.</w:t>
      </w:r>
    </w:p>
    <w:p>
      <w:pPr>
        <w:pStyle w:val="TextBody"/>
        <w:bidi w:val="0"/>
        <w:spacing w:before="163" w:after="283"/>
        <w:jc w:val="both"/>
        <w:rPr>
          <w:rFonts w:ascii="Arial" w:hAnsi="Arial"/>
          <w:color w:val="000000"/>
          <w:sz w:val="22"/>
        </w:rPr>
      </w:pPr>
      <w:r>
        <w:rPr>
          <w:rFonts w:ascii="Arial" w:hAnsi="Arial"/>
          <w:color w:val="000000"/>
          <w:sz w:val="22"/>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Heading2"/>
        <w:bidi w:val="0"/>
        <w:spacing w:before="146" w:after="283"/>
        <w:jc w:val="both"/>
        <w:rPr>
          <w:rFonts w:ascii="Arial" w:hAnsi="Arial"/>
          <w:color w:val="000000"/>
          <w:sz w:val="22"/>
        </w:rPr>
      </w:pPr>
      <w:r>
        <w:rPr>
          <w:rFonts w:ascii="Arial" w:hAnsi="Arial"/>
          <w:color w:val="000000"/>
          <w:sz w:val="22"/>
        </w:rPr>
        <w:t>About Banzai</w:t>
      </w:r>
    </w:p>
    <w:p>
      <w:pPr>
        <w:pStyle w:val="TextBody"/>
        <w:bidi w:val="0"/>
        <w:spacing w:before="149" w:after="283"/>
        <w:jc w:val="both"/>
        <w:rPr>
          <w:rFonts w:ascii="Times New Roman" w:hAnsi="Times New Roman"/>
          <w:sz w:val="20"/>
        </w:rPr>
      </w:pPr>
      <w:r>
        <w:rPr>
          <w:rFonts w:ascii="Arial" w:hAnsi="Arial"/>
          <w:color w:val="000000"/>
          <w:sz w:val="22"/>
        </w:rPr>
        <w:t xml:space="preserve">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has over 150,000 customers including Amazon, Dell, Salesforce, Aflac, Thermo Fisher Scientific, RBC Wealth Management, and Fitch Group. Learn more at </w:t>
      </w:r>
      <w:r>
        <w:rPr>
          <w:rFonts w:ascii="Arial" w:hAnsi="Arial"/>
          <w:sz w:val="22"/>
        </w:rPr>
        <w:t>www.banzai.io</w:t>
      </w:r>
      <w:r>
        <w:rPr>
          <w:rFonts w:ascii="Arial" w:hAnsi="Arial"/>
          <w:color w:val="000000"/>
          <w:sz w:val="22"/>
        </w:rPr>
        <w:t xml:space="preserve">. For investors, please visit </w:t>
      </w:r>
      <w:r>
        <w:rPr>
          <w:rFonts w:ascii="Arial" w:hAnsi="Arial"/>
          <w:sz w:val="22"/>
        </w:rPr>
        <w:t>ir.banzai.io</w:t>
      </w:r>
      <w:r>
        <w:rPr>
          <w:rFonts w:ascii="Arial" w:hAnsi="Arial"/>
          <w:color w:val="000000"/>
          <w:sz w:val="22"/>
        </w:rPr>
        <w:t>.</w:t>
      </w:r>
    </w:p>
    <w:p>
      <w:pPr>
        <w:pStyle w:val="Heading2"/>
        <w:bidi w:val="0"/>
        <w:spacing w:before="146" w:after="283"/>
        <w:jc w:val="both"/>
        <w:rPr>
          <w:rFonts w:ascii="Arial" w:hAnsi="Arial"/>
          <w:color w:val="000000"/>
          <w:sz w:val="22"/>
        </w:rPr>
      </w:pPr>
      <w:r>
        <w:rPr>
          <w:rFonts w:ascii="Arial" w:hAnsi="Arial"/>
          <w:color w:val="000000"/>
          <w:sz w:val="22"/>
        </w:rPr>
        <w:t>Forward-Looking Statements</w:t>
      </w:r>
    </w:p>
    <w:p>
      <w:pPr>
        <w:pStyle w:val="TextBody"/>
        <w:bidi w:val="0"/>
        <w:spacing w:before="149" w:after="283"/>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expectations regarding the satisfaction of customary closing conditions related to the offering and sale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9" w:after="283"/>
        <w:jc w:val="both"/>
        <w:rPr>
          <w:rFonts w:ascii="Arial" w:hAnsi="Arial"/>
          <w:color w:val="000000"/>
          <w:sz w:val="22"/>
        </w:rPr>
      </w:pPr>
      <w:r>
        <w:rPr>
          <w:rFonts w:ascii="Arial" w:hAnsi="Arial"/>
          <w:color w:val="000000"/>
          <w:sz w:val="22"/>
        </w:rPr>
        <w:t>securities, the Company’s ability to complete the offering, the anticipated use of proceeds from the offering,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Heading2"/>
        <w:bidi w:val="0"/>
        <w:spacing w:before="142" w:after="283"/>
        <w:jc w:val="left"/>
        <w:rPr/>
      </w:pPr>
      <w:r>
        <w:rPr/>
        <w:t> </w:t>
      </w:r>
    </w:p>
    <w:p>
      <w:pPr>
        <w:pStyle w:val="Heading2"/>
        <w:bidi w:val="0"/>
        <w:spacing w:before="142" w:after="283"/>
        <w:jc w:val="left"/>
        <w:rPr>
          <w:rFonts w:ascii="Arial" w:hAnsi="Arial"/>
          <w:color w:val="000000"/>
          <w:sz w:val="22"/>
        </w:rPr>
      </w:pPr>
      <w:r>
        <w:rPr>
          <w:rFonts w:ascii="Arial" w:hAnsi="Arial"/>
          <w:color w:val="000000"/>
          <w:sz w:val="22"/>
        </w:rPr>
        <w:t>Investor Relations</w:t>
      </w:r>
    </w:p>
    <w:p>
      <w:pPr>
        <w:pStyle w:val="TextBody"/>
        <w:bidi w:val="0"/>
        <w:jc w:val="left"/>
        <w:rPr>
          <w:rFonts w:ascii="Arial" w:hAnsi="Arial"/>
          <w:color w:val="000000"/>
          <w:sz w:val="22"/>
        </w:rPr>
      </w:pPr>
      <w:r>
        <w:rPr>
          <w:rFonts w:ascii="Arial" w:hAnsi="Arial"/>
          <w:color w:val="000000"/>
          <w:sz w:val="22"/>
        </w:rPr>
        <w:t>Dean Ditto</w:t>
      </w:r>
    </w:p>
    <w:p>
      <w:pPr>
        <w:pStyle w:val="TextBody"/>
        <w:bidi w:val="0"/>
        <w:jc w:val="left"/>
        <w:rPr>
          <w:rFonts w:ascii="Arial" w:hAnsi="Arial"/>
          <w:color w:val="000000"/>
          <w:sz w:val="22"/>
        </w:rPr>
      </w:pPr>
      <w:r>
        <w:rPr>
          <w:rFonts w:ascii="Arial" w:hAnsi="Arial"/>
          <w:color w:val="000000"/>
          <w:sz w:val="22"/>
        </w:rPr>
        <w:t>Chief Financial Officer, Banzai</w:t>
      </w:r>
    </w:p>
    <w:p>
      <w:pPr>
        <w:pStyle w:val="TextBody"/>
        <w:bidi w:val="0"/>
        <w:jc w:val="left"/>
        <w:rPr>
          <w:rFonts w:ascii="Arial" w:hAnsi="Arial"/>
          <w:color w:val="000000"/>
          <w:sz w:val="22"/>
        </w:rPr>
      </w:pPr>
      <w:r>
        <w:rPr>
          <w:rFonts w:ascii="Arial" w:hAnsi="Arial"/>
          <w:color w:val="000000"/>
          <w:sz w:val="22"/>
        </w:rPr>
        <w:t>206 414-1777</w:t>
      </w:r>
    </w:p>
    <w:p>
      <w:pPr>
        <w:pStyle w:val="TextBody"/>
        <w:bidi w:val="0"/>
        <w:jc w:val="left"/>
        <w:rPr>
          <w:rFonts w:ascii="Arial" w:hAnsi="Arial"/>
          <w:sz w:val="22"/>
        </w:rPr>
      </w:pPr>
      <w:r>
        <w:rPr>
          <w:rFonts w:ascii="Arial" w:hAnsi="Arial"/>
          <w:sz w:val="22"/>
        </w:rPr>
        <w:t>ir.banzai.io</w:t>
      </w:r>
    </w:p>
    <w:p>
      <w:pPr>
        <w:pStyle w:val="Heading2"/>
        <w:bidi w:val="0"/>
        <w:spacing w:before="142" w:after="283"/>
        <w:jc w:val="left"/>
        <w:rPr/>
      </w:pPr>
      <w:r>
        <w:rPr/>
        <w:t> </w:t>
      </w:r>
    </w:p>
    <w:p>
      <w:pPr>
        <w:pStyle w:val="Heading2"/>
        <w:bidi w:val="0"/>
        <w:spacing w:before="146" w:after="283"/>
        <w:jc w:val="left"/>
        <w:rPr>
          <w:rFonts w:ascii="Arial" w:hAnsi="Arial"/>
          <w:color w:val="000000"/>
          <w:sz w:val="22"/>
        </w:rPr>
      </w:pPr>
      <w:r>
        <w:rPr>
          <w:rFonts w:ascii="Arial" w:hAnsi="Arial"/>
          <w:color w:val="000000"/>
          <w:sz w:val="22"/>
        </w:rPr>
        <w:t>Media</w:t>
      </w:r>
    </w:p>
    <w:p>
      <w:pPr>
        <w:pStyle w:val="TextBody"/>
        <w:bidi w:val="0"/>
        <w:jc w:val="left"/>
        <w:rPr>
          <w:rFonts w:ascii="Arial" w:hAnsi="Arial"/>
          <w:color w:val="000000"/>
          <w:sz w:val="22"/>
        </w:rPr>
      </w:pPr>
      <w:r>
        <w:rPr>
          <w:rFonts w:ascii="Arial" w:hAnsi="Arial"/>
          <w:color w:val="000000"/>
          <w:sz w:val="22"/>
        </w:rPr>
        <w:t>Paul Witkowski</w:t>
      </w:r>
    </w:p>
    <w:p>
      <w:pPr>
        <w:pStyle w:val="TextBody"/>
        <w:bidi w:val="0"/>
        <w:jc w:val="left"/>
        <w:rPr>
          <w:rFonts w:ascii="Arial" w:hAnsi="Arial"/>
          <w:color w:val="000000"/>
          <w:sz w:val="22"/>
        </w:rPr>
      </w:pPr>
      <w:r>
        <w:rPr>
          <w:rFonts w:ascii="Arial" w:hAnsi="Arial"/>
          <w:color w:val="000000"/>
          <w:sz w:val="22"/>
        </w:rPr>
        <w:t>Senior Director Financial Reporting, Banzai</w:t>
      </w:r>
    </w:p>
    <w:p>
      <w:pPr>
        <w:pStyle w:val="TextBody"/>
        <w:bidi w:val="0"/>
        <w:jc w:val="left"/>
        <w:rPr>
          <w:rFonts w:ascii="Arial" w:hAnsi="Arial"/>
          <w:color w:val="0000ED"/>
          <w:sz w:val="22"/>
          <w:u w:val="single"/>
        </w:rPr>
      </w:pPr>
      <w:r>
        <w:rPr>
          <w:rFonts w:ascii="Arial" w:hAnsi="Arial"/>
          <w:color w:val="0000ED"/>
          <w:sz w:val="22"/>
          <w:u w:val="single"/>
        </w:rPr>
        <w:t>media@banzai.io</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bnzi-ex99_3.htm"/>
      <w:bookmarkStart w:id="11" w:name="ksbnziex99_3"/>
      <w:bookmarkEnd w:id="10"/>
      <w:bookmarkEnd w:id="11"/>
      <w:r>
        <w:rPr>
          <w:rFonts w:ascii="Times New Roman" w:hAnsi="Times New Roman"/>
          <w:b/>
          <w:color w:val="000000"/>
          <w:sz w:val="20"/>
        </w:rPr>
        <w:t>EXHIBIT 99.3</w:t>
      </w:r>
      <w:r>
        <w:br w:type="page"/>
      </w:r>
    </w:p>
    <w:p>
      <w:pPr>
        <w:pStyle w:val="Heading1"/>
        <w:bidi w:val="0"/>
        <w:spacing w:before="197" w:after="283"/>
        <w:jc w:val="center"/>
        <w:rPr/>
      </w:pPr>
      <w:r>
        <w:rPr/>
        <w:t> </w:t>
      </w:r>
    </w:p>
    <w:p>
      <w:pPr>
        <w:pStyle w:val="Heading1"/>
        <w:bidi w:val="0"/>
        <w:spacing w:before="197" w:after="240"/>
        <w:jc w:val="center"/>
        <w:rPr/>
      </w:pPr>
      <w:r>
        <w:rPr/>
        <w:drawing>
          <wp:inline distT="0" distB="0" distL="0" distR="0">
            <wp:extent cx="1428750" cy="333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333375"/>
                    </a:xfrm>
                    <a:prstGeom prst="rect">
                      <a:avLst/>
                    </a:prstGeom>
                  </pic:spPr>
                </pic:pic>
              </a:graphicData>
            </a:graphic>
          </wp:inline>
        </w:drawing>
      </w:r>
    </w:p>
    <w:p>
      <w:pPr>
        <w:pStyle w:val="Heading1"/>
        <w:bidi w:val="0"/>
        <w:jc w:val="center"/>
        <w:rPr>
          <w:rFonts w:ascii="Arial" w:hAnsi="Arial"/>
          <w:color w:val="000000"/>
          <w:sz w:val="32"/>
        </w:rPr>
      </w:pPr>
      <w:r>
        <w:rPr>
          <w:rFonts w:ascii="Arial" w:hAnsi="Arial"/>
          <w:color w:val="000000"/>
          <w:sz w:val="32"/>
        </w:rPr>
        <w:t>Banzai International, Inc. Announces Closing of $0.9 Million Underwritten Public Offering</w:t>
      </w:r>
    </w:p>
    <w:p>
      <w:pPr>
        <w:pStyle w:val="TextBody"/>
        <w:bidi w:val="0"/>
        <w:jc w:val="left"/>
        <w:rPr/>
      </w:pPr>
      <w:r>
        <w:rPr/>
        <w:t> </w:t>
      </w:r>
    </w:p>
    <w:p>
      <w:pPr>
        <w:pStyle w:val="TextBody"/>
        <w:bidi w:val="0"/>
        <w:jc w:val="left"/>
        <w:rPr/>
      </w:pPr>
      <w:r>
        <w:rPr/>
        <w:t> </w:t>
      </w:r>
    </w:p>
    <w:p>
      <w:pPr>
        <w:pStyle w:val="TextBody"/>
        <w:bidi w:val="0"/>
        <w:spacing w:before="163" w:after="283"/>
        <w:jc w:val="both"/>
        <w:rPr>
          <w:rFonts w:ascii="Times New Roman" w:hAnsi="Times New Roman"/>
          <w:sz w:val="20"/>
        </w:rPr>
      </w:pPr>
      <w:r>
        <w:rPr>
          <w:rFonts w:ascii="Arial" w:hAnsi="Arial"/>
          <w:b/>
          <w:color w:val="000000"/>
          <w:sz w:val="22"/>
        </w:rPr>
        <w:t>SEATTLE,</w:t>
      </w:r>
      <w:r>
        <w:rPr>
          <w:rFonts w:ascii="Times New Roman" w:hAnsi="Times New Roman"/>
          <w:color w:val="000000"/>
          <w:sz w:val="20"/>
        </w:rPr>
        <w:t xml:space="preserve"> </w:t>
      </w:r>
      <w:r>
        <w:rPr>
          <w:rFonts w:ascii="Arial" w:hAnsi="Arial"/>
          <w:b/>
          <w:color w:val="000000"/>
          <w:sz w:val="22"/>
        </w:rPr>
        <w:t>July 14, 2026</w:t>
      </w:r>
      <w:r>
        <w:rPr>
          <w:rFonts w:ascii="Times New Roman" w:hAnsi="Times New Roman"/>
          <w:color w:val="000000"/>
          <w:sz w:val="20"/>
        </w:rPr>
        <w:t xml:space="preserve"> </w:t>
      </w:r>
      <w:r>
        <w:rPr>
          <w:rFonts w:ascii="Arial" w:hAnsi="Arial"/>
          <w:color w:val="000000"/>
          <w:sz w:val="22"/>
        </w:rPr>
        <w:t>-- Banzai International, Inc. (NASDAQ: BNZI) (“Banzai” or the “Company”), a leading marketing technology company that provides essential marketing and sales solutions, today announced the closing of its previously announced underwritten public offering with gross proceeds to the Company of approximately $0.9 million, before deducting underwriting fees and other offering expenses payable by the Company. The offering consisted of the sale of 327,273 shares of Class A common stock (“Common Stock”). The public offering price per share was $2.75. The offering closed on July 14, 2026.</w:t>
      </w:r>
      <w:r>
        <w:rPr>
          <w:rFonts w:ascii="Times New Roman" w:hAnsi="Times New Roman"/>
          <w:color w:val="000000"/>
          <w:sz w:val="20"/>
        </w:rPr>
        <w:t xml:space="preserve"> </w:t>
      </w:r>
    </w:p>
    <w:p>
      <w:pPr>
        <w:pStyle w:val="TextBody"/>
        <w:bidi w:val="0"/>
        <w:spacing w:before="163" w:after="283"/>
        <w:jc w:val="both"/>
        <w:rPr>
          <w:rFonts w:ascii="Arial" w:hAnsi="Arial"/>
          <w:color w:val="000000"/>
          <w:sz w:val="22"/>
        </w:rPr>
      </w:pPr>
      <w:r>
        <w:rPr>
          <w:rFonts w:ascii="Arial" w:hAnsi="Arial"/>
          <w:color w:val="000000"/>
          <w:sz w:val="22"/>
        </w:rPr>
        <w:t>Banzai intends to use the net proceeds from the offering for working capital and other general corporate purposes.</w:t>
      </w:r>
    </w:p>
    <w:p>
      <w:pPr>
        <w:pStyle w:val="TextBody"/>
        <w:bidi w:val="0"/>
        <w:spacing w:before="163" w:after="283"/>
        <w:jc w:val="both"/>
        <w:rPr>
          <w:rFonts w:ascii="Times New Roman" w:hAnsi="Times New Roman"/>
          <w:sz w:val="20"/>
        </w:rPr>
      </w:pPr>
      <w:r>
        <w:rPr>
          <w:rFonts w:ascii="Arial" w:hAnsi="Arial"/>
          <w:color w:val="000000"/>
          <w:sz w:val="22"/>
        </w:rPr>
        <w:t>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w:t>
      </w:r>
      <w:r>
        <w:rPr>
          <w:rFonts w:ascii="Times New Roman" w:hAnsi="Times New Roman"/>
          <w:color w:val="000000"/>
          <w:sz w:val="20"/>
        </w:rPr>
        <w:t xml:space="preserve"> </w:t>
      </w:r>
    </w:p>
    <w:p>
      <w:pPr>
        <w:pStyle w:val="TextBody"/>
        <w:bidi w:val="0"/>
        <w:spacing w:before="163" w:after="283"/>
        <w:jc w:val="both"/>
        <w:rPr>
          <w:rFonts w:ascii="Arial" w:hAnsi="Arial"/>
          <w:b/>
          <w:color w:val="000000"/>
          <w:sz w:val="22"/>
        </w:rPr>
      </w:pPr>
      <w:r>
        <w:rPr>
          <w:rFonts w:ascii="Arial" w:hAnsi="Arial"/>
          <w:b/>
          <w:color w:val="000000"/>
          <w:sz w:val="22"/>
        </w:rPr>
        <w:t>Aegis Capital Corp. acted as the sole book-running manager for the offering. Hunter Taubman Fischer &amp; Li LLC acted as counsel to the Company. Baker &amp; Hostetler LLP acted as U.S. counsel to Aegis Capital Corp.</w:t>
      </w:r>
    </w:p>
    <w:p>
      <w:pPr>
        <w:pStyle w:val="TextBody"/>
        <w:bidi w:val="0"/>
        <w:spacing w:before="163" w:after="283"/>
        <w:jc w:val="both"/>
        <w:rPr>
          <w:rFonts w:ascii="Arial" w:hAnsi="Arial"/>
          <w:color w:val="000000"/>
          <w:sz w:val="22"/>
        </w:rPr>
      </w:pPr>
      <w:r>
        <w:rPr>
          <w:rFonts w:ascii="Arial" w:hAnsi="Arial"/>
          <w:color w:val="000000"/>
          <w:sz w:val="22"/>
        </w:rPr>
        <w:t>The offering was being made pursuant to an effective shelf registration statement on Form S-3 (No. 333-288908) previously filed with the U.S. Securities and Exchange Commission (“SEC”) and declared effective by the SEC on August 8, 2025. A final prospectus supplement and base prospectus relating to and describing the terms of this offering have been filed with the SEC and are available on the SEC’s website located at www.sec.gov. Electronic copies of the final prospectus supplement and the accompanying prospectus may be obtained by contacting Aegis Capital Corp., Attention: Syndicate Department, 1345 Avenue of the Americas, 27th floor, New York, NY 10105, by email at syndicate@aegiscap.com, or by telephone at +1 (212) 813-1010.</w:t>
      </w:r>
    </w:p>
    <w:p>
      <w:pPr>
        <w:pStyle w:val="TextBody"/>
        <w:bidi w:val="0"/>
        <w:spacing w:before="163" w:after="283"/>
        <w:jc w:val="both"/>
        <w:rPr>
          <w:rFonts w:ascii="Arial" w:hAnsi="Arial"/>
          <w:color w:val="000000"/>
          <w:sz w:val="22"/>
        </w:rPr>
      </w:pPr>
      <w:r>
        <w:rPr>
          <w:rFonts w:ascii="Arial" w:hAnsi="Arial"/>
          <w:color w:val="000000"/>
          <w:sz w:val="22"/>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Heading2"/>
        <w:bidi w:val="0"/>
        <w:spacing w:before="146" w:after="283"/>
        <w:jc w:val="both"/>
        <w:rPr>
          <w:rFonts w:ascii="Arial" w:hAnsi="Arial"/>
          <w:color w:val="000000"/>
          <w:sz w:val="22"/>
        </w:rPr>
      </w:pPr>
      <w:r>
        <w:rPr>
          <w:rFonts w:ascii="Arial" w:hAnsi="Arial"/>
          <w:color w:val="000000"/>
          <w:sz w:val="22"/>
        </w:rPr>
        <w:t>About Banzai</w:t>
      </w:r>
    </w:p>
    <w:p>
      <w:pPr>
        <w:pStyle w:val="TextBody"/>
        <w:bidi w:val="0"/>
        <w:spacing w:before="149" w:after="283"/>
        <w:jc w:val="both"/>
        <w:rPr>
          <w:rFonts w:ascii="Times New Roman" w:hAnsi="Times New Roman"/>
          <w:sz w:val="20"/>
        </w:rPr>
      </w:pPr>
      <w:r>
        <w:rPr>
          <w:rFonts w:ascii="Arial" w:hAnsi="Arial"/>
          <w:color w:val="000000"/>
          <w:sz w:val="22"/>
        </w:rPr>
        <w:t xml:space="preserve">Banzai is a marketing technology company that provides AI-enabled marketing and sales solutions for businesses of all sizes. On a mission to help their customers grow, Banzai enables companies of all sizes to target, engage, and measure both new and existing customers more effectively. Banzai has over 150,000 customers including Amazon, Dell, Salesforce, Aflac, Thermo Fisher Scientific, RBC Wealth Management, and Fitch Group. Learn more at </w:t>
      </w:r>
      <w:r>
        <w:rPr>
          <w:rFonts w:ascii="Arial" w:hAnsi="Arial"/>
          <w:sz w:val="22"/>
        </w:rPr>
        <w:t>www.banzai.io</w:t>
      </w:r>
      <w:r>
        <w:rPr>
          <w:rFonts w:ascii="Arial" w:hAnsi="Arial"/>
          <w:color w:val="000000"/>
          <w:sz w:val="22"/>
        </w:rPr>
        <w:t xml:space="preserve">. For investors, please visit </w:t>
      </w:r>
      <w:r>
        <w:rPr>
          <w:rFonts w:ascii="Arial" w:hAnsi="Arial"/>
          <w:sz w:val="22"/>
        </w:rPr>
        <w:t>ir.banzai.io</w:t>
      </w:r>
      <w:r>
        <w:rPr>
          <w:rFonts w:ascii="Arial" w:hAnsi="Arial"/>
          <w:color w:val="000000"/>
          <w:sz w:val="22"/>
        </w:rPr>
        <w:t>.</w:t>
      </w:r>
    </w:p>
    <w:p>
      <w:pPr>
        <w:pStyle w:val="Heading2"/>
        <w:bidi w:val="0"/>
        <w:spacing w:before="146" w:after="283"/>
        <w:jc w:val="both"/>
        <w:rPr>
          <w:rFonts w:ascii="Arial" w:hAnsi="Arial"/>
          <w:color w:val="000000"/>
          <w:sz w:val="22"/>
        </w:rPr>
      </w:pPr>
      <w:r>
        <w:rPr>
          <w:rFonts w:ascii="Arial" w:hAnsi="Arial"/>
          <w:color w:val="000000"/>
          <w:sz w:val="22"/>
        </w:rPr>
        <w:t>Forward-Looking Statements</w:t>
      </w:r>
    </w:p>
    <w:p>
      <w:pPr>
        <w:pStyle w:val="TextBody"/>
        <w:bidi w:val="0"/>
        <w:spacing w:before="149" w:after="283"/>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Banzai International, Inc.’s (the “Company’s”): the anticipated use of proceeds from the offering, future financial, business and operating performance and goals; annualized recurring revenue and customer retention; ongoing, future or ability to maintain or improve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9" w:after="283"/>
        <w:jc w:val="both"/>
        <w:rPr>
          <w:rFonts w:ascii="Arial" w:hAnsi="Arial"/>
          <w:color w:val="000000"/>
          <w:sz w:val="22"/>
        </w:rPr>
      </w:pPr>
      <w:r>
        <w:rPr>
          <w:rFonts w:ascii="Arial" w:hAnsi="Arial"/>
          <w:color w:val="000000"/>
          <w:sz w:val="22"/>
        </w:rPr>
        <w:t>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the Company’s industry, outlook and market trends; total addressable market and serviceable addressable market and related projections; plans, strategies and expectations for retaining existing or acquiring new customers, increasing revenue and executing growth initiatives; and product areas of focus and additional products that may be sold in the future.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of this press release.</w:t>
      </w:r>
    </w:p>
    <w:p>
      <w:pPr>
        <w:pStyle w:val="Heading2"/>
        <w:bidi w:val="0"/>
        <w:spacing w:before="142" w:after="283"/>
        <w:jc w:val="left"/>
        <w:rPr/>
      </w:pPr>
      <w:r>
        <w:rPr/>
        <w:t> </w:t>
      </w:r>
    </w:p>
    <w:p>
      <w:pPr>
        <w:pStyle w:val="Heading2"/>
        <w:bidi w:val="0"/>
        <w:spacing w:before="142" w:after="283"/>
        <w:jc w:val="left"/>
        <w:rPr>
          <w:rFonts w:ascii="Arial" w:hAnsi="Arial"/>
          <w:color w:val="000000"/>
          <w:sz w:val="22"/>
        </w:rPr>
      </w:pPr>
      <w:r>
        <w:rPr>
          <w:rFonts w:ascii="Arial" w:hAnsi="Arial"/>
          <w:color w:val="000000"/>
          <w:sz w:val="22"/>
        </w:rPr>
        <w:t>Investor Relations</w:t>
      </w:r>
    </w:p>
    <w:p>
      <w:pPr>
        <w:pStyle w:val="TextBody"/>
        <w:bidi w:val="0"/>
        <w:jc w:val="left"/>
        <w:rPr>
          <w:rFonts w:ascii="Arial" w:hAnsi="Arial"/>
          <w:color w:val="000000"/>
          <w:sz w:val="22"/>
        </w:rPr>
      </w:pPr>
      <w:r>
        <w:rPr>
          <w:rFonts w:ascii="Arial" w:hAnsi="Arial"/>
          <w:color w:val="000000"/>
          <w:sz w:val="22"/>
        </w:rPr>
        <w:t>Dean Ditto</w:t>
      </w:r>
    </w:p>
    <w:p>
      <w:pPr>
        <w:pStyle w:val="TextBody"/>
        <w:bidi w:val="0"/>
        <w:jc w:val="left"/>
        <w:rPr>
          <w:rFonts w:ascii="Arial" w:hAnsi="Arial"/>
          <w:color w:val="000000"/>
          <w:sz w:val="22"/>
        </w:rPr>
      </w:pPr>
      <w:r>
        <w:rPr>
          <w:rFonts w:ascii="Arial" w:hAnsi="Arial"/>
          <w:color w:val="000000"/>
          <w:sz w:val="22"/>
        </w:rPr>
        <w:t>Chief Financial Officer, Banzai</w:t>
      </w:r>
    </w:p>
    <w:p>
      <w:pPr>
        <w:pStyle w:val="TextBody"/>
        <w:bidi w:val="0"/>
        <w:jc w:val="left"/>
        <w:rPr>
          <w:rFonts w:ascii="Arial" w:hAnsi="Arial"/>
          <w:color w:val="000000"/>
          <w:sz w:val="22"/>
        </w:rPr>
      </w:pPr>
      <w:r>
        <w:rPr>
          <w:rFonts w:ascii="Arial" w:hAnsi="Arial"/>
          <w:color w:val="000000"/>
          <w:sz w:val="22"/>
        </w:rPr>
        <w:t>206 414-1777</w:t>
      </w:r>
    </w:p>
    <w:p>
      <w:pPr>
        <w:pStyle w:val="TextBody"/>
        <w:bidi w:val="0"/>
        <w:jc w:val="left"/>
        <w:rPr>
          <w:rFonts w:ascii="Arial" w:hAnsi="Arial"/>
          <w:sz w:val="22"/>
        </w:rPr>
      </w:pPr>
      <w:r>
        <w:rPr>
          <w:rFonts w:ascii="Arial" w:hAnsi="Arial"/>
          <w:sz w:val="22"/>
        </w:rPr>
        <w:t>ir.banzai.io</w:t>
      </w:r>
    </w:p>
    <w:p>
      <w:pPr>
        <w:pStyle w:val="Heading2"/>
        <w:bidi w:val="0"/>
        <w:spacing w:before="142" w:after="283"/>
        <w:jc w:val="left"/>
        <w:rPr/>
      </w:pPr>
      <w:r>
        <w:rPr/>
        <w:t> </w:t>
      </w:r>
    </w:p>
    <w:p>
      <w:pPr>
        <w:pStyle w:val="Heading2"/>
        <w:bidi w:val="0"/>
        <w:spacing w:before="146" w:after="283"/>
        <w:jc w:val="left"/>
        <w:rPr>
          <w:rFonts w:ascii="Arial" w:hAnsi="Arial"/>
          <w:color w:val="000000"/>
          <w:sz w:val="22"/>
        </w:rPr>
      </w:pPr>
      <w:r>
        <w:rPr>
          <w:rFonts w:ascii="Arial" w:hAnsi="Arial"/>
          <w:color w:val="000000"/>
          <w:sz w:val="22"/>
        </w:rPr>
        <w:t>Media</w:t>
      </w:r>
    </w:p>
    <w:p>
      <w:pPr>
        <w:pStyle w:val="TextBody"/>
        <w:bidi w:val="0"/>
        <w:jc w:val="left"/>
        <w:rPr>
          <w:rFonts w:ascii="Arial" w:hAnsi="Arial"/>
          <w:color w:val="000000"/>
          <w:sz w:val="22"/>
        </w:rPr>
      </w:pPr>
      <w:r>
        <w:rPr>
          <w:rFonts w:ascii="Arial" w:hAnsi="Arial"/>
          <w:color w:val="000000"/>
          <w:sz w:val="22"/>
        </w:rPr>
        <w:t>Paul Witkowski</w:t>
      </w:r>
    </w:p>
    <w:p>
      <w:pPr>
        <w:pStyle w:val="TextBody"/>
        <w:bidi w:val="0"/>
        <w:jc w:val="left"/>
        <w:rPr>
          <w:rFonts w:ascii="Arial" w:hAnsi="Arial"/>
          <w:color w:val="000000"/>
          <w:sz w:val="22"/>
        </w:rPr>
      </w:pPr>
      <w:r>
        <w:rPr>
          <w:rFonts w:ascii="Arial" w:hAnsi="Arial"/>
          <w:color w:val="000000"/>
          <w:sz w:val="22"/>
        </w:rPr>
        <w:t>Senior Director Financial Reporting, Banzai</w:t>
      </w:r>
    </w:p>
    <w:p>
      <w:pPr>
        <w:pStyle w:val="TextBody"/>
        <w:bidi w:val="0"/>
        <w:jc w:val="left"/>
        <w:rPr>
          <w:rFonts w:ascii="Arial" w:hAnsi="Arial"/>
          <w:color w:val="0000ED"/>
          <w:sz w:val="22"/>
          <w:u w:val="single"/>
        </w:rPr>
      </w:pPr>
      <w:r>
        <w:rPr>
          <w:rFonts w:ascii="Arial" w:hAnsi="Arial"/>
          <w:color w:val="0000ED"/>
          <w:sz w:val="22"/>
          <w:u w:val="single"/>
        </w:rPr>
        <w:t>media@banzai.io</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aramond">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25964</Words>
  <Characters>140718</Characters>
  <CharactersWithSpaces>167549</CharactersWithSpaces>
  <Paragraphs>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