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91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Banzai International,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B_edei--EntityFileNumber_c20260911"/>
            <w:bookmarkEnd w:id="6"/>
            <w:r>
              <w:rPr>
                <w:rFonts w:ascii="Times New Roman;Times;Serif" w:hAnsi="Times New Roman;Times;Serif"/>
                <w:b/>
                <w:i w:val="false"/>
                <w:caps w:val="false"/>
                <w:smallCaps w:val="false"/>
                <w:sz w:val="20"/>
              </w:rPr>
              <w:t>001-39826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1_edei--EntityTaxIdentificationNum"/>
            <w:bookmarkEnd w:id="7"/>
            <w:r>
              <w:rPr>
                <w:rFonts w:ascii="Times New Roman;Times;Serif" w:hAnsi="Times New Roman;Times;Serif"/>
                <w:b/>
                <w:i w:val="false"/>
                <w:caps w:val="false"/>
                <w:smallCaps w:val="false"/>
                <w:sz w:val="20"/>
              </w:rPr>
              <w:t>85-3118980</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435 Ericksen Ave, </w:t>
            </w:r>
            <w:bookmarkStart w:id="9" w:name="xdx_90D_edei--EntityAddressAddressLine2_"/>
            <w:bookmarkEnd w:id="9"/>
            <w:r>
              <w:rPr>
                <w:rFonts w:ascii="Times New Roman;Times;Serif" w:hAnsi="Times New Roman;Times;Serif"/>
                <w:b/>
                <w:i w:val="false"/>
                <w:caps w:val="false"/>
                <w:smallCaps w:val="false"/>
                <w:sz w:val="20"/>
              </w:rPr>
              <w:t>Suite 250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Bainbridge Island, </w:t>
            </w:r>
            <w:bookmarkStart w:id="11" w:name="xdx_902_edei--EntityAddressStateOrProvin"/>
            <w:bookmarkEnd w:id="11"/>
            <w:r>
              <w:rPr>
                <w:rFonts w:ascii="Times New Roman;Times;Serif" w:hAnsi="Times New Roman;Times;Serif"/>
                <w:b/>
                <w:i w:val="false"/>
                <w:caps w:val="false"/>
                <w:smallCaps w:val="false"/>
                <w:sz w:val="20"/>
              </w:rPr>
              <w:t>Washington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0_edei--EntityAddressPostalZipCode"/>
            <w:bookmarkEnd w:id="12"/>
            <w:r>
              <w:rPr>
                <w:rFonts w:ascii="Times New Roman;Times;Serif" w:hAnsi="Times New Roman;Times;Serif"/>
                <w:b/>
                <w:i w:val="false"/>
                <w:caps w:val="false"/>
                <w:smallCaps w:val="false"/>
                <w:sz w:val="20"/>
              </w:rPr>
              <w:t>98110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A_edei--CityAreaCode_c20260911__20"/>
      <w:bookmarkEnd w:id="13"/>
      <w:r>
        <w:rPr>
          <w:rFonts w:ascii="Times New Roman;Times;Serif" w:hAnsi="Times New Roman;Times;Serif"/>
          <w:b/>
          <w:i w:val="false"/>
          <w:caps w:val="false"/>
          <w:smallCaps w:val="false"/>
          <w:sz w:val="20"/>
        </w:rPr>
        <w:t xml:space="preserve">(206) </w:t>
      </w:r>
      <w:bookmarkStart w:id="14" w:name="xdx_90F_edei--LocalPhoneNumber_c20260911"/>
      <w:bookmarkEnd w:id="14"/>
      <w:r>
        <w:rPr>
          <w:rFonts w:ascii="Times New Roman;Times;Serif" w:hAnsi="Times New Roman;Times;Serif"/>
          <w:b/>
          <w:i w:val="false"/>
          <w:caps w:val="false"/>
          <w:smallCaps w:val="false"/>
          <w:sz w:val="20"/>
        </w:rPr>
        <w:t>414-1777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1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C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78"/>
        <w:gridCol w:w="60"/>
        <w:gridCol w:w="1224"/>
        <w:gridCol w:w="60"/>
        <w:gridCol w:w="2483"/>
      </w:tblGrid>
      <w:tr>
        <w:trPr/>
        <w:tc>
          <w:tcPr>
            <w:tcW w:w="637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2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8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911"/>
            <w:bookmarkEnd w:id="19"/>
            <w:r>
              <w:rPr>
                <w:rFonts w:ascii="Times New Roman;Times;Serif" w:hAnsi="Times New Roman;Times;Serif"/>
                <w:b w:val="false"/>
                <w:i w:val="false"/>
                <w:caps w:val="false"/>
                <w:smallCaps w:val="false"/>
                <w:sz w:val="20"/>
              </w:rPr>
              <w:t>Class A common stock,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60911__2"/>
            <w:bookmarkEnd w:id="20"/>
            <w:r>
              <w:rPr>
                <w:rFonts w:ascii="Times New Roman;Times;Serif" w:hAnsi="Times New Roman;Times;Serif"/>
                <w:b w:val="false"/>
                <w:i w:val="false"/>
                <w:caps w:val="false"/>
                <w:smallCaps w:val="false"/>
                <w:sz w:val="20"/>
              </w:rPr>
              <w:t>PARA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1" w:name="xdx_905_edei--SecurityExchangeName_c2026"/>
            <w:bookmarkEnd w:id="21"/>
            <w:r>
              <w:rPr>
                <w:rFonts w:ascii="Times New Roman;Times;Serif" w:hAnsi="Times New Roman;Times;Serif"/>
                <w:b w:val="false"/>
                <w:i w:val="false"/>
                <w:caps w:val="false"/>
                <w:smallCaps w:val="false"/>
                <w:sz w:val="20"/>
              </w:rPr>
              <w:t>Nasdaq Capital Market</w:t>
            </w:r>
          </w:p>
        </w:tc>
      </w:tr>
      <w:tr>
        <w:trPr/>
        <w:tc>
          <w:tcPr>
            <w:tcW w:w="637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637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60911"/>
            <w:bookmarkEnd w:id="22"/>
            <w:r>
              <w:rPr>
                <w:rFonts w:ascii="Times New Roman;Times;Serif" w:hAnsi="Times New Roman;Times;Serif"/>
                <w:b w:val="false"/>
                <w:i w:val="false"/>
                <w:caps w:val="false"/>
                <w:smallCaps w:val="false"/>
                <w:sz w:val="20"/>
              </w:rPr>
              <w:t>Redeemable Warrants, each whole warrant exercisable for one share of Class A common stock at an exercise price of $115,000.00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1_edei--TradingSymbol_c20260911__2"/>
            <w:bookmarkEnd w:id="23"/>
            <w:r>
              <w:rPr>
                <w:rFonts w:ascii="Times New Roman;Times;Serif" w:hAnsi="Times New Roman;Times;Serif"/>
                <w:b w:val="false"/>
                <w:i w:val="false"/>
                <w:caps w:val="false"/>
                <w:smallCaps w:val="false"/>
                <w:sz w:val="20"/>
              </w:rPr>
              <w:t>PARAW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48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4" w:name="xdx_902_edei--SecurityExchangeName_c2026"/>
            <w:bookmarkEnd w:id="24"/>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Banzai International,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with an accredited investor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Pursuant to the Purchase Agreement, the Company agreed to issue and sell to the Purchaser, in a private placement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(i) a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in an initial principal amount of $2,142,857, subject to increase up to $3,571,428 in aggregate principal amount, and (ii) a warrant (the “</w:t>
      </w:r>
      <w:r>
        <w:rPr>
          <w:rFonts w:ascii="Times New Roman;Times;Serif" w:hAnsi="Times New Roman;Times;Serif"/>
          <w:b/>
          <w:i w:val="false"/>
          <w:caps w:val="false"/>
          <w:smallCaps w:val="false"/>
          <w:sz w:val="20"/>
        </w:rPr>
        <w:t>Common Warrant</w:t>
      </w:r>
      <w:r>
        <w:rPr>
          <w:rFonts w:ascii="Times New Roman;Times;Serif" w:hAnsi="Times New Roman;Times;Serif"/>
          <w:b w:val="false"/>
          <w:i w:val="false"/>
          <w:caps w:val="false"/>
          <w:smallCaps w:val="false"/>
          <w:sz w:val="20"/>
        </w:rPr>
        <w:t>”) to purchase up to 779,221 shares of the Company’s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with additional Common Warrants to purchase up to 519,480 additional shares of Common Stock issuable in connection with subsequent tranche fundings. The Private Placement was made in reliance on the exemption from registration provided by Section 4(a)(2) of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Rule 506 promulgated thereunder. Aegis Capital Corp.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acted as the exclusive placement agent for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Purchaser’s subscription amount is payable in up to three tranches; $1,500,000 of which was paid upon execution and delivery of the Purchase Agreement (the “</w:t>
      </w:r>
      <w:r>
        <w:rPr>
          <w:rFonts w:ascii="Times New Roman;Times;Serif" w:hAnsi="Times New Roman;Times;Serif"/>
          <w:b/>
          <w:i w:val="false"/>
          <w:caps w:val="false"/>
          <w:smallCaps w:val="false"/>
          <w:sz w:val="20"/>
        </w:rPr>
        <w:t>Initial Closing</w:t>
      </w:r>
      <w:r>
        <w:rPr>
          <w:rFonts w:ascii="Times New Roman;Times;Serif" w:hAnsi="Times New Roman;Times;Serif"/>
          <w:b w:val="false"/>
          <w:i w:val="false"/>
          <w:caps w:val="false"/>
          <w:smallCaps w:val="false"/>
          <w:sz w:val="20"/>
        </w:rPr>
        <w:t>”) and the remaining $1,000,000 of which shall be due in two equal tranches upon the occurrence of certain specified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funding of the remaining two tranches, the outstanding principal amount of the Note will automatically be increased by $714,285 and $714,285, respectively, and the Company will issue to the Purchaser, in connection with each such tranche funding, an additional Common Warrant to purchase up to 259,740 shares of Common Stock. The gross proceeds to the Company from the Initial Closing were $1,500,000, before deducting placement agent fees of 10%, investor legal fees, and other offering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also required to hold a special meeting of stockholders (or present the matter at an annual meeting) no later than sixty (60) calendar days after the closing date to seek stockholder approval to, among other things, issue in excess of twenty percent (20%) of the outstanding shares of Common Stock at a deemed discount to the Nasdaq Minimum Price (as defined in Nasdaq Listing Rule 5635(d)(1)(A)) immediately prior to execution of the Purchase Agreement, and the voluntary adjustment of the exercise price of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was issued with an initial principal amount of $2,142,857, an original issue discount of thirty percent (30%), and bears interest at a rate of ten percent (10%) per annum, maturing on June 4, 2027 (nine months from the issuance date). Upon an event of default, interest will accrue at a default rate of eighteen percent (18%)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is convertible, at the option of the holder, into shares of Common Stock at a fixed conversion price of $2.75 per share (subject to adjustment for stock splits, stock dividends, combinations, recapitalizations, and similar events), subject to a beneficial ownership limitation of 4.99% (subject to increase to 9.99% upon sixty-one (61) calendar days’ prior notice by the holder) and an exchange cap of 19.99% of the shares of Common Stock outstanding immediately prior to execution of the Purchase Agreement, unless and until stockholder approval is obtained.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 event of default (which includes, among other things, failure to make payments when due, material breaches of representations or covenants, bankruptcy events, delisting of the Common Stock from the Nasdaq Capital Market for more than five (5) consecutive trading days, and the occurrence of a material adverse effect that materially impairs the Company’s ability to perform its obligations under the Note), the outstanding principal of the Note will automatically be increased by twenty percent (20%), and the holder may declare the entire principal amount, together with all accrued and unpaid interest, immediately due and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voluntarily prepay all or any portion of the Note at 110% of the outstanding amount upon five (5) trading days’ prior written notice. In addition, upon any subsequent financing (other than a qualified public offering resulting in aggregate gross proceeds of not less than $5,000,000), the Company must apply fifty percent (50%) of the net cash proceeds to prepayment of the Note, and upon consummation of a qualified public offering, the entire outstanding amount of the Note will become immediately due and payable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holder’s prior consent, the Note restricts the Company from, among other things, issuing variable-rate securities, declaring or paying dividends on Common Stock, redeeming or repurchasing shares of Common Stock, and transferring assets outside the ordinary course of business.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 entitles the holder to purchase up to 779,221 shares of Common Stock (subject to increase in connection with Tranche 2 and Tranche 3 fundings) at an exercise price of $2.75 per share, subject to adjustment, and is immediately exercisable upon issuance, expiring on the fifth anniversary of the issuance date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The Common Warrant may be exercised on a cashless basis at any time when there is no effective registration statement covering the resale of the underlying shares, and any unexercised portion will be automatically exercised via cashless exercise on the termination date. Exercise is subject to a beneficial ownership limitation of 4.99% (subject to increase to 9.99% upon sixty-one (61) calendar days’ prior notice by the holder) and the same exchange cap applicable to the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fails to pay all outstanding principal, accrued and unpaid interest, and any other amounts then due under the Note in full within ninety (90) calendar days of the Initial Closing, then at any time between the Initial Closing and the Expiration Date, the exercise price of the Common Warrant will be subject to anti-dilution adjustment in the event of any subsequent dilutive issuance, reducing the exercise price to the lower of the dilutive issuance price or the lowest volume weighted average price of the Common Stock during the five (5) consecutive trading days immediately following such dilutive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Fundamental Transaction (as defined in the Common Warrant), the holder will have the right to receive, upon exercise, the same consideration that holders of Common Stock received in such transaction, or, at the holder’s option, to require the Company or the successor entity to purchase the unexercised portion of the Common Warrant for cash at the Black Scholes Value (as defined in the Common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each of the Company’s directors, executive officers, and stockholders holding at least ten percent (10%) of the outstanding shares of Common Stock entered into lock-up agreements (the “</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with the Company, pursuant to which, subject to certain limited exceptions, such persons are restricted from offering, selling, entering into a contract to sell, loaning, pledging, granting a security interest in, or otherwise disposing of the shares they hold, for a period of 90 calendar days from the date of the Purchase Agreement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Note, the Common Warrant, and the Lock-Up Agreements are qualified in their entirety by reference to the full text of such documents, which are filed as exhibits to this Current Report on Form 8-K and incorporated herein by reference.</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21"/>
        <w:gridCol w:w="60"/>
        <w:gridCol w:w="9224"/>
      </w:tblGrid>
      <w:tr>
        <w:trPr/>
        <w:tc>
          <w:tcPr>
            <w:tcW w:w="92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tcMar>
              <w:bottom w:w="0" w:type="dxa"/>
            </w:tcMar>
            <w:vAlign w:val="center"/>
          </w:tcPr>
          <w:p>
            <w:pPr>
              <w:pStyle w:val="TableContents"/>
              <w:bidi w:val="0"/>
              <w:spacing w:before="0" w:after="283"/>
              <w:jc w:val="both"/>
              <w:rPr/>
            </w:pPr>
            <w:hyperlink w:anchor="ex4-1.htm">
              <w:r>
                <w:rPr>
                  <w:rStyle w:val="InternetLink"/>
                  <w:rFonts w:ascii="Times New Roman;Times;Serif" w:hAnsi="Times New Roman;Times;Serif"/>
                  <w:b w:val="false"/>
                  <w:i w:val="false"/>
                  <w:caps w:val="false"/>
                  <w:smallCaps w:val="false"/>
                  <w:sz w:val="20"/>
                </w:rPr>
                <w:t>Convertible Promissory Note, dated September 4, 2026, issued by Banzai International, Inc. to Evergreen Capital Management LLC.</w:t>
              </w:r>
            </w:hyperlink>
          </w:p>
        </w:tc>
      </w:tr>
      <w:tr>
        <w:trPr/>
        <w:tc>
          <w:tcPr>
            <w:tcW w:w="9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tcMar>
              <w:bottom w:w="0" w:type="dxa"/>
            </w:tcMar>
            <w:vAlign w:val="center"/>
          </w:tcPr>
          <w:p>
            <w:pPr>
              <w:pStyle w:val="TableContents"/>
              <w:bidi w:val="0"/>
              <w:spacing w:before="0" w:after="283"/>
              <w:jc w:val="both"/>
              <w:rPr/>
            </w:pPr>
            <w:hyperlink w:anchor="ex4-2.htm">
              <w:r>
                <w:rPr>
                  <w:rStyle w:val="InternetLink"/>
                  <w:rFonts w:ascii="Times New Roman;Times;Serif" w:hAnsi="Times New Roman;Times;Serif"/>
                  <w:b w:val="false"/>
                  <w:i w:val="false"/>
                  <w:caps w:val="false"/>
                  <w:smallCaps w:val="false"/>
                  <w:sz w:val="20"/>
                </w:rPr>
                <w:t>Common Stock Purchase Warrant, dated September 4, 2026, issued by Banzai International, Inc. to Evergreen Capital Management LLC.</w:t>
              </w:r>
            </w:hyperlink>
          </w:p>
        </w:tc>
      </w:tr>
      <w:tr>
        <w:trPr/>
        <w:tc>
          <w:tcPr>
            <w:tcW w:w="9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Securities Purchase Agreement, dated September 4, 2026, by and between Banzai International, Inc. and Evergreen Capital Management LLC.</w:t>
              </w:r>
            </w:hyperlink>
          </w:p>
        </w:tc>
      </w:tr>
      <w:tr>
        <w:trPr/>
        <w:tc>
          <w:tcPr>
            <w:tcW w:w="9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Form of Lock-Up Agreement.</w:t>
              </w:r>
            </w:hyperlink>
          </w:p>
        </w:tc>
      </w:tr>
      <w:tr>
        <w:trPr/>
        <w:tc>
          <w:tcPr>
            <w:tcW w:w="9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24"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11, 2026</w:t>
      </w:r>
    </w:p>
    <w:p>
      <w:pPr>
        <w:pStyle w:val="TextBody"/>
        <w:bidi w:val="0"/>
        <w:spacing w:before="0" w:after="0"/>
        <w:jc w:val="center"/>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416"/>
        <w:gridCol w:w="25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16" w:type="dxa"/>
            <w:tcBorders/>
            <w:vAlign w:val="center"/>
          </w:tcPr>
          <w:p>
            <w:pPr>
              <w:pStyle w:val="TableContents"/>
              <w:bidi w:val="0"/>
              <w:spacing w:before="0" w:after="283"/>
              <w:jc w:val="left"/>
              <w:rPr>
                <w:caps w:val="false"/>
                <w:smallCaps w:val="false"/>
              </w:rPr>
            </w:pPr>
            <w:r>
              <w:rPr>
                <w:caps w:val="false"/>
                <w:smallCaps w:val="false"/>
              </w:rPr>
              <w:t> </w:t>
            </w:r>
          </w:p>
        </w:tc>
        <w:tc>
          <w:tcPr>
            <w:tcW w:w="25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6" w:name="ex4-1.htm"/>
      <w:bookmarkStart w:id="27" w:name="ksex4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OR RULE 144A UNDER SAID ACT. NOTWITHSTANDING THE FOREGOING, THE SECURITIES MAY BE PLEDGED IN CONNECTION WITH A BONA FIDE MARGIN ACCOUNT OR OTHER LOAN OR FINANCING ARRANGEMENT SECURED BY THE SECURITIES. ANY TRANSFEREE OF THIS CONVERTIBLE PROMISSORY NOTE SHOULD CAREFULLY REVIEW THE TERMS OF THIS CONVERTIBLE PROMISSORY NOTE. THE PRINCIPAL AMOUNT REPRESENTED BY THIS CONVERTIBLE PROMISSORY NOTE AND, ACCORDINGLY, THE SECURITIES ISSUABLE UPON CONVERSION HEREOF MAY BE LESS THAN THE AMOUNTS SET FORTH ON THE FACE HEREOF PURSUANT TO THE TERMS OF THIS CONVERTIBLE PROMISSORY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PURSUANT TO TREASURY REGULATION §1.1275-3(b)(1), DEAN DITTO, A REPRESENTATIVE OF THE COMPANY HEREOF WILL, BEGINNING TEN DAYS AFTER THE ISSUANCE DATE OF THIS NOTE, PROMPTLY MAKE AVAILABLE TO THE HOLDER UPON REQUEST THE INFORMATION DESCRIBED IN TREASURY REGULATION §1.1275-3(b)(1)(i). DEAN DITTO MAY BE REACHED AT TELEPHONE NUMBER 206-414-1777.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 PROMISSORY NOTE DUE JUNE 4, 2027</w:t>
      </w:r>
    </w:p>
    <w:p>
      <w:pPr>
        <w:pStyle w:val="TextBody"/>
        <w:bidi w:val="0"/>
        <w:spacing w:before="0" w:after="0"/>
        <w:jc w:val="center"/>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2765"/>
        <w:gridCol w:w="1775"/>
      </w:tblGrid>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Date: September 4, 2026</w:t>
            </w:r>
          </w:p>
        </w:tc>
        <w:tc>
          <w:tcPr>
            <w:tcW w:w="1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Principal Amount:</w:t>
            </w:r>
          </w:p>
        </w:tc>
      </w:tr>
      <w:tr>
        <w:trPr/>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$2,142,857.14</w:t>
            </w:r>
          </w:p>
        </w:tc>
        <w:tc>
          <w:tcPr>
            <w:tcW w:w="17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Evergreen Capital Management LLC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on the date that is nine (9) months after the Issuance Date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or upon acceleration, prepayment or otherwise (in each case in accordance with the terms hereof)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Interest Rate and, if applicable, at the Default Interest rate (in each case as defined below), as set forth herein until the same becomes due and payable, whether upon the Maturity Date or upon acceleration, conversion, prepayment or otherwise (in each case in accordance with the terms hereof). This Convertible Promissory Note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issued to the Holder as of the date set forth above as the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by the Company. Certain capitalized terms used herein are defined in Section 23; any capitalized terms used but not defined herein shall have the meaning assigned to such terms in the Securities Purchase Agreement (defined below).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PAYMENTS OF PRINCIPAL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Maturity Date, the Company shall pay to the Holder an amount in cash representing all outstanding Principal and accrued and unpaid Interest on such Principal, together with all other amounts then due and owing under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Increase Upon Funding of Tranche 2</w:t>
      </w:r>
      <w:r>
        <w:rPr>
          <w:rFonts w:ascii="Times New Roman;Times;Serif" w:hAnsi="Times New Roman;Times;Serif"/>
          <w:b w:val="false"/>
          <w:i w:val="false"/>
          <w:caps w:val="false"/>
          <w:smallCaps w:val="false"/>
          <w:sz w:val="20"/>
        </w:rPr>
        <w:t>. Upon the funding of Tranche 2 (as defined in the Securities Purchase Agreement) in accordance with the Securities Purchase Agreement, the outstanding Principal of this Note shall automatically, and without any further action on the part of the Company or the Holder, be increased by $714,285.71, and the Company shall, at its sole cost, execute and deliver to the Holder an amended and restated Note reflecting such increase; provided that the failure to deliver any such amended and restated Note shall not affect such automatic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Increase Upon Funding of Tranche 3</w:t>
      </w:r>
      <w:r>
        <w:rPr>
          <w:rFonts w:ascii="Times New Roman;Times;Serif" w:hAnsi="Times New Roman;Times;Serif"/>
          <w:b w:val="false"/>
          <w:i w:val="false"/>
          <w:caps w:val="false"/>
          <w:smallCaps w:val="false"/>
          <w:sz w:val="20"/>
        </w:rPr>
        <w:t>. Upon the funding of Tranche 3 (as defined in the Securities Purchase Agreement) in accordance with the Securities Purchase Agreement, the outstanding Principal of this Note shall automatically, and without any further action on the part of the Company or the Holder, be increased by $714,285.72, and the Company shall, at its sole cost, execute and deliver to the Holder an amended and restated Note reflecting such increase; provided that the failure to deliver any such amended and restated Note shall not affect such automatic increase.</w:t>
      </w:r>
    </w:p>
    <w:p>
      <w:pPr>
        <w:pStyle w:val="TextBody"/>
        <w:bidi w:val="0"/>
        <w:spacing w:before="0" w:after="0"/>
        <w:ind w:left="1540" w:right="0" w:hanging="72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INTEREST RATE; DEFAULT RATE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Interest shall accrue on the Principal from the Issuance Date at a rate of ten percent (10%) per annum (the “Interest Rate”). Interest at the Interest Rate is not subject to rebate, proration or reduction upon any prepayment, conversion or acceleration. This Note was issued with an original issue discount of thirty percent (30%) of the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occurrence and during the continuance of any Event of Default, the Note shall accrue interest, in lieu of interest at the Interest Rate, at a rate per annum equal to eighteen percent (18%) (the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no event shall the Default Interest exceed the maximum rate permitted by applicable law. Default Interest shall be due and payable on the first Trading Day of each calendar month during the continuance of such Event of Default (a “</w:t>
      </w:r>
      <w:r>
        <w:rPr>
          <w:rFonts w:ascii="Times New Roman;Times;Serif" w:hAnsi="Times New Roman;Times;Serif"/>
          <w:b/>
          <w:i w:val="false"/>
          <w:caps w:val="false"/>
          <w:smallCaps w:val="false"/>
          <w:sz w:val="20"/>
        </w:rPr>
        <w:t>Default Interest Payment Date</w:t>
      </w:r>
      <w:r>
        <w:rPr>
          <w:rFonts w:ascii="Times New Roman;Times;Serif" w:hAnsi="Times New Roman;Times;Serif"/>
          <w:b w:val="false"/>
          <w:i w:val="false"/>
          <w:caps w:val="false"/>
          <w:smallCaps w:val="false"/>
          <w:sz w:val="20"/>
        </w:rPr>
        <w:t xml:space="preserve">”). In the event that such Event of Default is subsequently cured and no other Event of Default then exists (including, without limitation, for the Company’s failure to pay such Default Interest on the applicable Default Interest Payment Date), then the Note shall cease accruing Default Interest effective as of the day immediately following the date of such cure;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the Default Interest as calculated and unpaid at such increased rate during the continuance of such Event of Default shall continue to apply to the extent relating to the days after the occurrence of such Event of Default through and including the date of such cure of such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NOTE</w:t>
      </w:r>
      <w:r>
        <w:rPr>
          <w:rFonts w:ascii="Times New Roman;Times;Serif" w:hAnsi="Times New Roman;Times;Serif"/>
          <w:b w:val="false"/>
          <w:i w:val="false"/>
          <w:caps w:val="false"/>
          <w:smallCaps w:val="false"/>
          <w:sz w:val="20"/>
        </w:rPr>
        <w:t>. This Note shall be convertible into validly issued, fully paid and non-assessable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on the terms and conditions set forth in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At any time after the initial Closing, the Holder shall be entitled to convert any portion of the outstanding and unpaid Conversion Amount (as defined below) into Conversion Shares in accordance with Section 3(b), at the Conversion Rate (as defined below). The Company shall not issue any fraction of a Conversion Share upon any conversion. If the issuance would result in the issuance of a fraction of a share of Common Stock, the Company shall round such fraction of a share of Common Stock up to the nearest whole share; provided that no shares of Common Stock shall be issued at a discount to its par value.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 If the Company fails or refuses to deliver any legal opinion required to be delivered by it (or to cause its counsel to deliver any such opinion) under this Note or the other Transaction Documents, or required to permit the removal of any restrictive legend or the issuance of Conversion Shares without a restrictive legend, and the Holder obtains such legal opinion at its own expense, the Company shall promptly reimburse the Holder for all reasonable costs and expenses (including reasonable attorneys’ fees) incurred by the Holder in connection therewith, and, at the Holder’s election, any such amount not so reimbursed shall be added to, and shall thereafter constitute, outstanding Principal under this Note for all purposes (including, without limitation, the accrual of Default Interest under Section 2 and the application of the Default Principal Increase under Section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Conversion Shares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(x) the portion of the Principal to be converted, prepaid or otherwise with respect to which this determination is being made and (y) all accrued and unpaid Interest with respect to such portion of the Principal amount and (z) all other amounts then due and owing under this Note with respect to such portion of the Principal (including, without limitation, any Default Principal Increase, any liquidated damages, and any costs, fees and expenses reimbursable to the Holder, in each case to the extent allocable to such portion of the Principal).</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 xml:space="preserve">Conversion Price” </w:t>
      </w:r>
      <w:r>
        <w:rPr>
          <w:rFonts w:ascii="Times New Roman;Times;Serif" w:hAnsi="Times New Roman;Times;Serif"/>
          <w:b w:val="false"/>
          <w:i w:val="false"/>
          <w:caps w:val="false"/>
          <w:smallCaps w:val="false"/>
          <w:sz w:val="20"/>
        </w:rPr>
        <w:t>means $2.75 per share (the “Fixed Conversion Price”), subject to adjustment as set forth in this Note. The Conversion Price shall not at any time fall below the par value of the Common Stock.</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Conversion Shares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deliver to the Company (whether via facsimile, electronic mail or otherwise), for receipt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If required pursuant to Section 3(c)(iii) hereof, within two Trading Days following a conversion of this Note as aforesaid, the Holder shall surrender this Note to a nationally recognized overnight delivery service for delivery to the Company (or an indemnification undertaking with respect to this Note in the case of its loss, theft or destruction as contemplated by Section 12(b)). On (i) the same Trading Day on which the Company has received a Conversion Notice, in the case of a Conversion Notice received by the Company at or prior to 12:00 p.m., New York time, on a Trading Day, and (ii) 11:00 a.m., New York time, on the Trading Day immediately following the date on which the Company has received a Conversion Notice, in the case of a Conversion Notice received by the Company after 12:00 p.m., New York time, or on a day that is not a Trading Day (or such earlier date as required pursuant to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 applicable law, rule or regulation for the settlement of a trade initiated on the applicable Conversion Date of such Common Stock issuable pursuant to such Conversion Notice), the Company shall (1) provided that its transfer agent is participating in the DTC Fast Automated Securities Transfer Program, credit such aggregate number of shares of Common Stock to which the Holder shall be entitled pursuant to such conversion to the Holder’s or its designee’s balance account with DTC through its Deposit/Withdrawal at Custodian system or (2) if its transfer agent is not participating in the DTC Fast Automated Securities Transfer Program, upon the request of the Holder, issue and deliver (via reputable overnight courier) to the address as specified in the Conversion Notice, a certificate, registered in the name of the Holder or its designee, for the number of shares of Common Stock to which the Holder shall be entitled pursuant to such conversion.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Trading Days after receipt of this Note and at its own expense, issue and deliver to the Holder (or its designee) a new Note (in accordance with Section 12(d)) representing the outstanding Principal not converted. The Person or Persons entitled to receive the Conversion Shares shall be treated for all purposes as the record holder or holders of such Common Stock on the Conversion Date. If the Company fails, for any reason or for no reason, to deliver to the Holder the Conversion Shares to which the Holder is entitled by the applicable delivery deadline set forth in this Section 3(c)(i) (a “</w:t>
      </w:r>
      <w:r>
        <w:rPr>
          <w:rFonts w:ascii="Times New Roman;Times;Serif" w:hAnsi="Times New Roman;Times;Serif"/>
          <w:b/>
          <w:i w:val="false"/>
          <w:caps w:val="false"/>
          <w:smallCaps w:val="false"/>
          <w:sz w:val="20"/>
        </w:rPr>
        <w:t>Delivery Failure</w:t>
      </w:r>
      <w:r>
        <w:rPr>
          <w:rFonts w:ascii="Times New Roman;Times;Serif" w:hAnsi="Times New Roman;Times;Serif"/>
          <w:b w:val="false"/>
          <w:i w:val="false"/>
          <w:caps w:val="false"/>
          <w:smallCaps w:val="false"/>
          <w:sz w:val="20"/>
        </w:rPr>
        <w:t>”), then, in addition to all other remedies available to the Holder, the Company shall pay to the Holder, in cash, the product of (x) the number of such Conversion Shares and (y) the difference between the highest trade price and the lowest trade price of the Common Stock on the Principal Market during the period beginning on the applicable Conversion Date and ending on the date on which such Conversion Shares are delivered to the Holder’s prime broker and are available to be sold by the Holder. The Company agrees to maintain, at all times while this Note remains outstanding, a transfer agent that is a participant in the DTC Fast Automated Securities Transfer Program. In addition, if, on or after the applicable delivery deadline, the Holder is required by its broker to purchase (in an open market transaction or otherwise), or the Holder’s brokerage firm otherwise purchases, Common Stock to deliver in satisfaction of a sale by the Holder of Conversion Shares that the Holder anticipated receiving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at the Holder’s election, (A) pay in cash to the Holder the amount, if any, by which the Holder’s total purchase price (including brokerage commissions, if any) for the Common Stock so purchased exceeds the product of (x) the aggregate number of Conversion Shares that the Company was required to deliver multiplied by (y) the price at which the sell order giving rise to such Buy-In was executed, and (B) either reinstate the portion of this Note and equivalent number of Conversion Shares for which such conversion was not honored (in which case such conversion shall be deemed rescinded) or deliver to the Holder the number of shares of Common Stock that would have been issued had the Company timely complied with its delivery obligations hereunder. Nothing herein shall prohibit the Holder from seeking to enforce damages pursuant to any other Section hereof or under applicable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 of the Note and the principal amount of the Note (the “</w:t>
      </w:r>
      <w:r>
        <w:rPr>
          <w:rFonts w:ascii="Times New Roman;Times;Serif" w:hAnsi="Times New Roman;Times;Serif"/>
          <w:b/>
          <w:i w:val="false"/>
          <w:caps w:val="false"/>
          <w:smallCaps w:val="false"/>
          <w:sz w:val="20"/>
        </w:rPr>
        <w:t>Registered Note</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 or holders of the Note shall treat each Person whose name is recorded in the Register as the owner of a Note for all purposes (including, without limitation, the right to receive payments of Principal and Interest hereunder) notwithstanding notice to the contrary. The Registered Note may, subject to Section 22 hereof, be assigned, transferred or sold in whole or in part only by registration of such assignment or sale on the Register. Upon its receipt of a written request to assign, transfer or sell all or part of the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12, provided that if the Company does not so record an assignment, transfer or sale (as the case may be) of all or part of any Registered Note within two (2) Trading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or (B) the Holder has provided the Company with prior written notice (which notice may be included in a Conversion Notice) requesting reissuance of this Note upon physical surrender of this Note. The Holder and the Company shall maintain records showing the Principal and Interest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and Interest converted and/or paid (as the case may be) and the dates of such conversions, and/or payments (as the case may be) within three (3) Trading Days of such occurrence, then the Register shall be automatically deemed updated to reflect such occurrence.</w:t>
      </w:r>
    </w:p>
    <w:p>
      <w:pPr>
        <w:pStyle w:val="TextBody"/>
        <w:bidi w:val="0"/>
        <w:spacing w:before="0" w:after="0"/>
        <w:ind w:left="7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Limitations on Conversions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Beneficial Ownership</w:t>
      </w:r>
      <w:r>
        <w:rPr>
          <w:rFonts w:ascii="Times New Roman;Times;Serif" w:hAnsi="Times New Roman;Times;Serif"/>
          <w:b w:val="false"/>
          <w:i w:val="false"/>
          <w:caps w:val="false"/>
          <w:smallCaps w:val="false"/>
          <w:sz w:val="20"/>
        </w:rPr>
        <w:t>. The Company shall not effect the conversion of any portion of this Note, and the Holder shall not have the right to convert any portion of this Note pursuant to the terms and conditions of this Note and any such conversion shall be null and void and treated as if never made, to the extent that after giving effect to such conversion,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Common Stock outstanding immediately after giving effect to such conversion.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conversion of this Note with respect to which the determination of such sentence is being made, but shall exclude Common Stock which would be issuable upon (A) conversion of the remaining, nonconverted portion of this Note beneficially owned by the Holder or any of the other Attribution Parties and (B) exercise or conversion of the unexercised or nonconverted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3(d)(i). For purposes of this Section 3(d)(i), beneficial ownership shall be calculated in accordance with Section 13(d) of the Exchange Act. For purposes of determining the number of outstanding Common Stock the Holder may acquire upon the conversion of this Note without exceeding the Maximum Percentage, the Holder may rely on the number of outstanding Common Stock as reflected in (x) the Company’s most recent Annual Report on Form 10-K, Report on Form 8-K or other public filing with the SEC, as the case may be, (y) a more recent public announcement by the Company or (z) any other written notice by the Company or the Transfer Agent, if any,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3(d)(i), to exceed the Maximum Percentage, the Holder must notify the Company of a reduced number of shares of Common Stock to be purchased pursuant to such Conversion Notice. For any reason at any time, upon the written or oral request of the Holder, the Company shall within one (1) Trading Day confirm orally and in writing or by electronic mail to the Holder the number of shares of Common Stock then outstanding. In any case, the number of outstanding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Common Stock to the Holder upon conversion of this Note results in the Holder and the other Attribution Parties being deemed to beneficially own, in the aggregate, more than the Maximum Percentage of the number of outstanding Common Stock (as determined under Section 13(d) of the Exchange Act), the number of shares so issued by which the Holder’s and the other Attribution Parties’ aggregate beneficial ownership exceeds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the Holder shall not have the power to vote or to transfer the Excess Shares. For purposes of clarity, the Excess Shares shall not be deemed to be beneficially owned by the Holder for any purpose including for purposes of Section 13(d) or Rule 16a-1(a)(1) of the Exchange Act. No prior inability to convert this Note pursuant to this paragraph shall have any effect on the applicability of the provisions of this paragraph with respect to any subsequent determination of convertibility. The provisions of this paragraph shall be construed and implemented in a manner otherwise than in strict conformity with the terms of this Section 3(d)(i) to the extent necessary to correct this paragraph (or any portion of this paragraph) which may be defective or inconsistent with the intended beneficial ownership limitation contained in this Section 3(d)(i) or to make changes or supplements necessary or desirable to properly give effect to such limitation. The Holder, upon notice to the Company, may increase or decrease the Maximum Percentage provisions of this Section, provided that the Maximum Percentage in no event exceeds 9.99% of the number of shares of Common Stock outstanding immediately after giving effect to the issuance of shares of Common Stock upon conversion of this Note held by the Holder, and the provisions of this Section shall continue to apply. Any increase in the Maximum Percentage will not be effective until sixty-one (61) Calendar Days after such notice is delivered to the Company. The limitation contained in this paragraph may not be waived and shall apply to a successor holder of this Note.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Notwithstanding anything to the contrary contained in this Note, unless and until Stockholder Approval is obtained, the Company shall not issue any shares of Common Stock upon conversion of this Note to the extent that such issuance, when aggregated with all other shares of Common Stock issued or issuable pursuant to the Transaction Documents, would exceed the Exchange Cap. Any portion of this Note that is not convertible as a result of the operation of this Section shall remain outstanding and shall become convertible at such time, if ever, as such conversion would no longer cause the Exchange Cap to be exceeded, or upon Stockholder Approval being obtained, whichever occurs first.</w:t>
      </w:r>
    </w:p>
    <w:p>
      <w:pPr>
        <w:pStyle w:val="TextBody"/>
        <w:bidi w:val="0"/>
        <w:spacing w:before="0" w:after="0"/>
        <w:ind w:left="7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Company’s default under this Note or the other Transaction Documents, including a failure to pay to the Holder any amount of Principal, Interest, any prepayment price or any other amount when and as due under this Note or the other Transaction Documents, it being understood and agreed that any such failure to pay shall constitute an immediate Event of Default without any requirement of notice, demand or cure period;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default by the Company or any of its Subsidiaries in the payment when due of any principal or interest on any Indebtedness (other than this Note) in an aggregate outstanding principal amount in excess of $[●], or the occurrence of any event or condition that results in, or that with the giving of notice or the passage of time, or both, would permit the holder or holders of such Indebtedness (or any trustee or agent on behalf of such holder or holders) to accelerate the maturity of such Indebtedness prior to its stated maturity, in each case without such default, event or condition having been cured or waived, or such Indebtedness having been discharged, within any applicable cure period provided with respect thereto;</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fails to issue Common Stock without any restrictive legend or to remove any restrictive legend on any certificate (including by book entry) for any Common Stock issued to the Holder pursuant to this Note within three (3) Trading Days after (A) receipt by the Company of an executed Conversion Notice or (B) if the Holder has shares with a restrictive legend upon the Holder’s written notice to remove such legend, in either case together with an opinion of counsel to the Holder that no restrictive legend is required;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materially false or inaccurate certification by the Company as to whether any Event of Default has occurred;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occurrence of a Public Information Failure;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bankruptcy, insolvency, reorganization or liquidation proceedings or other proceedings for the relief of debtors shall be instituted by or against the Company and, if instituted against the Company by a third party, shall not be dismissed within thirty (30) days of their initiation;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commencement by the Company of a voluntary case or proceeding under any applicable federal, state or foreign bankruptcy, insolvency, reorganization or other similar law or of any other case or proceeding to be adjudicated a bankrupt or insolvent, or the consent by it to the entry of a decree, order, judgment or other similar document in respect of the Company in an involuntary case or proceeding under any applicable federal, state or foreign bankruptcy, insolvency, reorganization or other similar law or to the commencement of any bankruptcy or insolvency case or proceeding against it, or the filing by it of a petition or answer or consent seeking reorganization or relief under any applicable federal, state or foreign law, or the consent by it to the filing of such petition or to the appointment of or taking possession by a custodian, receiver, liquidator, assignee, trustee, sequestrator or other similar official of the Company of any substantial part of its property, or the making by it of an assignment for the benefit of creditors, or the execution of a composition of debts, or the occurrence of any other similar federal, state or foreign proceeding, or the admission by it in writing of its inability to pay its debts generally as they become due, the taking of corporate action by the Company in furtherance of any such action or the taking of any action by any Person to commence a Uniform Commercial Code foreclosure sale or any other similar action under federal, state or foreign law; 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entry by a court of (i) a decree, order, judgment or other similar document in respect of the Company of a voluntary or involuntary case or proceeding under any applicable federal, state or foreign bankruptcy, insolvency, reorganization or other similar law or (ii) a decree, order, judgment or other similar document adjudging the Company as bankrupt or insolvent, or approving as properly filed a petition seeking liquidation, reorganization, arrangement, adjustment or composition of or in respect of the Company under any applicable federal, state or foreign law or (iii) a decree, order, judgment or other similar document appointing a custodian, receiver, liquidator, assignee, trustee, sequestrator or other similar official of the Company of any substantial part of its property, or ordering the winding up or liquidation of its affairs, and the continuance of any such decree, order, judgment or other similar document or any such other decree, order, judgment or other similar document unstayed and in effect for a period of thirty (30) consecutive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other than as specifically set forth in another clause of this Section 4(a), the Company breaches any representation or warranty in any material respect (other than representations or warranties subject to materiality limitations, which may not be breached in any respect) or any covenant or other term or condition of this Note or any other Transaction Document, except, in the case of a breach of a covenant or other term or condition that is curable, only if such breach remains uncured for a period of ten (10) consecutive Trading Days;</w:t>
      </w:r>
    </w:p>
    <w:p>
      <w:pPr>
        <w:pStyle w:val="TextBody"/>
        <w:bidi w:val="0"/>
        <w:spacing w:before="0" w:after="0"/>
        <w:ind w:left="72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or the Company shall deny in writing that it has any liability or obligation purported to be created under any Transaction Document, subject to a cure period of ten (10) consecutive Trading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the Company shall fail to be current in its filings under the Securities Act of 1933, as amended, and the Exchange Act, including, without limitation, any reports on Form 10-K for the fiscal year ending on December 31, 2025;</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Common Stock shall be delisted from the Principal Market or suspended from the Principal Market and such suspension shall continue for more than five (5) consecutive Trading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the Company replaces, removes, terminates or fails to maintain its transfer agent, or appoints any successor or additional transfer agent that is not a participant in good standing in the DTC Fast Automated Securities Transfer Program;</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the occurrence of any Material Adverse Effect; provided, however, that such Material Adverse Effect shall constitute an Event of Default under this clause (xiv) only if it materially impairs the Company’s ability to conduct its business in the ordinary course or impairs the Company’s ability to pay or perform its obligations under this Note when and as due;</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Company fails at any time to reserve and keep available out of its authorized and unissued Common Stock the full number of shares of Common Stock required to be reserved pursuant to Section 8;</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Company’s transfer agent ceases to participate in, or the Common Stock cease to be eligible for, the DTC Fast Automated Securities Transfer Program or processing through the Deposit/Withdrawal at Custodian system, or the Common Stock otherwise cease to be eligible for deposit at, or become subject to any restriction, “chill” or freeze imposed by, The Depository Trust Company, subject to a cure period of ten (10) consecutive Trading Days.</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Notice of an Event of Default</w:t>
      </w:r>
      <w:r>
        <w:rPr>
          <w:rFonts w:ascii="Times New Roman;Times;Serif" w:hAnsi="Times New Roman;Times;Serif"/>
          <w:b w:val="false"/>
          <w:i w:val="false"/>
          <w:caps w:val="false"/>
          <w:smallCaps w:val="false"/>
          <w:sz w:val="20"/>
        </w:rPr>
        <w:t>. Upon the occurrence of an Event of Default with respect to this Note, the Company shall immediately, and in no event more than one (1) Calendar Day of its discovery of such Event of Default, deliver written notice thereof via electronic mail to the Holder.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Immediately upon the occurrence of any Event of Default, the outstanding Principal of this Note shall automatically be increased by twenty percent (20%) (the “</w:t>
      </w:r>
      <w:r>
        <w:rPr>
          <w:rFonts w:ascii="Times New Roman;Times;Serif" w:hAnsi="Times New Roman;Times;Serif"/>
          <w:b/>
          <w:i w:val="false"/>
          <w:caps w:val="false"/>
          <w:smallCaps w:val="false"/>
          <w:sz w:val="20"/>
        </w:rPr>
        <w:t>Default Principal Increase</w:t>
      </w:r>
      <w:r>
        <w:rPr>
          <w:rFonts w:ascii="Times New Roman;Times;Serif" w:hAnsi="Times New Roman;Times;Serif"/>
          <w:b w:val="false"/>
          <w:i w:val="false"/>
          <w:caps w:val="false"/>
          <w:smallCaps w:val="false"/>
          <w:sz w:val="20"/>
        </w:rPr>
        <w:t>”), without any further action by the Holder or the Company, and such increased amount shall thereafter constitute Principal for all purposes of this Note (including, without limitation, accrual of Default Interest under Section 2). The Default Principal Increase shall be in addition to, and not in lieu of, the Default Interest payable under Section 2 and any other rights or remedies available to the Holder. Upon the occurrence of an Event of Default and at any time thereafter, Holder may at its option: (a) declare the entire Principal Amount, together with all accrued Interest thereon, immediately due and payable, and (b) exercise any or all of its rights, powers, or remedies under the Transaction Documents or applicable law or available in equity. All rights and remedies of the Holder under this Note and the other Transaction Documents, at law and in equity, are cumulative and not alternative, and the exercise of any one right or remedy shall not preclude the exercise of any other. The Company shall reimburse the Holder for all costs of collection and enforcement (including reasonable attorneys’ fees and expenses) incurred by the Holder in connection with any Event of Default or any breach by the Company of this Note or any other Transaction Document.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ADJUSTMENTS OF THE CONVERSION PRICE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Adjustments for Recapitalization</w:t>
      </w:r>
      <w:r>
        <w:rPr>
          <w:rFonts w:ascii="Times New Roman;Times;Serif" w:hAnsi="Times New Roman;Times;Serif"/>
          <w:b w:val="false"/>
          <w:i w:val="false"/>
          <w:caps w:val="false"/>
          <w:smallCaps w:val="false"/>
          <w:sz w:val="20"/>
        </w:rPr>
        <w:t>. If at any time or from time to time there shall be a recapitalization of the Common Stock, provision shall be made so that the Holder shall thereafter be entitled to receive upon conversion of the Note the number of shares of stock or other securities or property of the Company or otherwise, to which a holder of Common Stock deliverable upon conversion would have been entitled on such recapitalization. In any such case, appropriate adjustment shall be made in the application of the provisions of this Section 5(a) with respect to the rights of the Holder after the recapitalization to the end that the provisions of this Section 5(a) (including, without limitation, provisions for adjustments of the Conversion Price and the number of shares of Common Stock issuable upon conversion of the Note) shall be applicable after that event as nearly equivalent as may be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Adjustment for Stock Splits and Combinations</w:t>
      </w:r>
      <w:r>
        <w:rPr>
          <w:rFonts w:ascii="Times New Roman;Times;Serif" w:hAnsi="Times New Roman;Times;Serif"/>
          <w:b w:val="false"/>
          <w:i w:val="false"/>
          <w:caps w:val="false"/>
          <w:smallCaps w:val="false"/>
          <w:sz w:val="20"/>
        </w:rPr>
        <w:t>. If the Company shall at any time or from time to time after the Issuance Date effect a subdivision of the outstanding Common Stock, the Conversion Price in effect immediately before that subdivision shall be proportionately decreased so that the number of shares of Common Stock issuable on conversion of this Note shall be increased in proportion to such increase in the aggregate number of shares of Common Stock outstanding. If the Company shall at any time or from time to time after the Issuance Date combine the outstanding Common Stock, the Conversion Price in effect immediately before the combination shall be proportionately increased so that the number of shares of Common Stock issuable on conversion of the Note shall be decreased in proportion to such decrease in the aggregate number of shares of Common Stock outstanding. Any adjustment under this subsection shall become effective at the close of business on the date the subdivision or combination becomes effective.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5 shall be made by rounding to the nearest cent or the nearest 1/100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a share, as applicable. The number of shares of Common Stock outstanding at any given time shall not include shares owned or held by or for the account of the Company, and the disposition of any such shares shall be considered an issue or sale of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The Company may at any time during the term of this Note, with the prior written consent of the Holder, reduce the then current Conversion Price of the Note to any amount and for any period of time deemed appropriate by the board of directors of the Company; provided that in no event shall the Conversion Price be reduced below the par value of the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the Company’s Certificate of Incorporation or other charter documents, bylaws or through any reorganization, transfer of assets, consolidation, merger, dissolution, issue or sale of securities, or any other voluntary action, avoid or seek to avoid the observance or performance of any of the terms of this Note or the other Transaction Documents, and will at all times in good faith carry out all of the provisions of this Note and the other Transaction Documents and take all action as may be required to protect the rights of the Holder of this Note. Without limiting the generality of the foregoing or any other provision of this Note or the other Transaction Documents, the Company (a) shall not increase the par value of any Common Stock receivable upon conversion of this Note above the Conversion Price then in effect, and (b) shall take all such actions as may be necessary or appropriate in order that the Company may validly and legally issue fully paid and non-assessable Common Stock upon the conversion of this Note. In addition, for so long as any portion of this Note remains outstanding, the Company shall not, directly or indirectly, declare, pay, set aside or make, or agree to declare, pay, set aside or make, any dividend or other distribution (whether in cash, securities, property or otherwise) on, or any redemption, repurchase or other acquisition of, any of its Common Stock or other equity securities, in each case without the prior written consent of the Holder, except for in connection with any reverse share split effected in order to bring the Company into compliance with the applicable listing rules of the Principal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VARIABLE RATE TRANSACTION PROTECTION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so long as any portion of the Note remains outstanding, the Company shall not, directly or indirectly, issue, offer, sell, grant any option or right to purchase, or otherwise dispose of (or announce any issuance, offer, sale, grant of any option or right to purchase, or other disposition of) any equity security or equity-linked security, including any debt, preferred shares or other instrument or security that is, at any time during its life and under any circumstances, convertible into or exercisable or exchangeable for Common Stock or Common Stock Equivalents, at a conversion, exercise or exchange rate or other price that is based upon and/or varies with the trading prices of, or quotations for, Common Stock at any time after the initial issuance of such debt, preferred shares or other instrument or security, or with a floating conversion, exercise or exchange price or a conversion, exercise or exchange price subject to being reset at some future date after the initial issuance of such debt, preferred shares or other instrument or security, or that is subject to or may be adjusted as a result of a subsequent issuance or offering of Common Stock or Common Stock Equivalents, including by way of one or more reset(s) to a fixed price, or that is subject to or contains any put, call, redemption, buy-back, price-reset or other similar provision or mechanism (including, without limitation, a “Black-Scholes” put or call right) that provides for the issuance of additional equity securities of the Company or the payment of cash by the Company, and any of the foregoing offerings or issuances (any such security or agreement, a “</w:t>
      </w:r>
      <w:r>
        <w:rPr>
          <w:rFonts w:ascii="Times New Roman;Times;Serif" w:hAnsi="Times New Roman;Times;Serif"/>
          <w:b/>
          <w:i w:val="false"/>
          <w:caps w:val="false"/>
          <w:smallCaps w:val="false"/>
          <w:sz w:val="20"/>
        </w:rPr>
        <w:t>Variable Rate 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neither the Warrants nor the issuance of Common Stock thereunder shall constitute a Variable Rate Transaction, and (y) the existing agreement with CP BF Lending in effect as of the Issuance Date, as amended, restated, refinanced or replaced (each, an “</w:t>
      </w:r>
      <w:r>
        <w:rPr>
          <w:rFonts w:ascii="Times New Roman;Times;Serif" w:hAnsi="Times New Roman;Times;Serif"/>
          <w:b/>
          <w:i w:val="false"/>
          <w:caps w:val="false"/>
          <w:smallCaps w:val="false"/>
          <w:sz w:val="20"/>
        </w:rPr>
        <w:t>Existing VRT</w:t>
      </w:r>
      <w:r>
        <w:rPr>
          <w:rFonts w:ascii="Times New Roman;Times;Serif" w:hAnsi="Times New Roman;Times;Serif"/>
          <w:b w:val="false"/>
          <w:i w:val="false"/>
          <w:caps w:val="false"/>
          <w:smallCaps w:val="false"/>
          <w:sz w:val="20"/>
        </w:rPr>
        <w:t>”) shall not constitute a Variable Rate Transaction for purposes of this Section 7(a). In addition, for so long as any portion of the Note remains outstanding, the Company shall not have in force and effect any Variable Rate Transaction other than any Existing VRT (including the continuation, but not the amendment, modification or extension of any Existing VRT in any manner that would increase the amounts payable thereunder, extend the term thereof, or otherwise increase the obligations of the Company or expand the rights of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Holder acknowledge that the actual damages likely to result from the Company’s entry into a Variable Rate Transaction in breach of Section 7(a), including from the resulting dilutive impact and loss of exclusivity value, are difficult to ascertain with precision, such that the amount set forth in this Section 7(b) represents the Parties’ reasonable good-faith estimate of such damages and not a penalty. Accordingly, upon such aforementioned breach of Section 7(a), then the Company shall pay the Holder $250,000, as liquidated damages and not a penalty, with respect to each such Variable Rate Transaction, where such liquidated damages shall be payable, at the Company’s election, either with Common Stock (where such Common Stock shall be delivered by the Company to the Holder as reasonably instructed by the Holder) or the lawful money of the U.S. by wire transfer of immediately available funds to such account as the Holder may designate from time to time) within three (3) Business Days of the earlier of (x) the Company’s entry into such Variable Rate Transaction, or (y) the Holder’s actual knowledge thereof; accordingly, the Company shall provide the Holder with written notice of the Company’s entry into any Variable Rate Transaction within one (1) Business Day thereof (and such notice shall include providing the Holder with a copy of the agreements entered into by the Company in connection with such Variable Rate Transaction). The payment by the Company of this liquidated damages amount shall be in addition to all other obligations of the Company set forth in the Transaction Documents to which the Company is a party, and shall similarly be in addition to all the rights and remedies enjoyed by the Holder in the Transaction Documents, and shall not serve to waive, limit, proscribe, mitigate, reduce or in any way impede the other rights and remedies enjoyed by the Holder, including, but not limited to, the right to seek injunctive relief set forth in Section 7(c).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Holder shall be entitled to seek specific performance and/or injunctive relief, whether preliminary or permanent, against the Company to preclude any actual or threatened Variable Rate Transaction, which remedy shall be in addition to, and not in lieu of, any right to collect damages under Section 7(b) or otherwise. The Company acknowledges and agrees that any breach or threatened breach of Section 7(a) would cause the Holder irreparable harm for which monetary damages would not be an adequate remedy, notwithstanding the availability of the liquidated damages payable pursuant to Section 7(b), which the Company and Holder agree addresses a distinct component of the harm arising from such a breach and does not fully compensate the Holder for the harm caused by the actual or continued existence of a Variable Rate Transaction. The Company reserves all defenses otherwise available to it in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 So long as the Note remains outstanding, the Company shall at all times reserve at least 300% of the number of shares of Common Stock as shall from time to time be necessary to effect the conversion of the Note then outstanding (without regard to any limitations on conversions and assuming such Note remains outstanding until the Maturity Date) at the Conversion Price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Subject to the Holder’s right to convert the Note pursuant to Section 3, the Company may, upon not less than five (5) Trading Days’ prior written notice to the Holder (during which period the Holder may elect to convert any or all of the outstanding Principal and accrued Interest), prepay all or any portion of the Outstanding Amount at a price equal to 110% of the portion of the Outstanding Amount so prepaid. As used in this Note, the “</w:t>
      </w:r>
      <w:r>
        <w:rPr>
          <w:rFonts w:ascii="Times New Roman;Times;Serif" w:hAnsi="Times New Roman;Times;Serif"/>
          <w:b/>
          <w:i w:val="false"/>
          <w:caps w:val="false"/>
          <w:smallCaps w:val="false"/>
          <w:sz w:val="20"/>
        </w:rPr>
        <w:t>Outstanding Amount</w:t>
      </w:r>
      <w:r>
        <w:rPr>
          <w:rFonts w:ascii="Times New Roman;Times;Serif" w:hAnsi="Times New Roman;Times;Serif"/>
          <w:b w:val="false"/>
          <w:i w:val="false"/>
          <w:caps w:val="false"/>
          <w:smallCaps w:val="false"/>
          <w:sz w:val="20"/>
        </w:rPr>
        <w:t>” means, as of any date of determination, the sum of (i) the then-outstanding Principal, plus (ii) all accrued and unpaid Interest thereon through such date, plus (iii) all other amounts then due and owing under this Note and the other Transaction Documents (including, without limitation, any Default Principal Increase, any accrued and unpaid Default Interest, any liquidated damages and any costs, fees and expenses reimbursable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MANDATORY PREPAYMENT FROM FUTURE CAPITAL RAISES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at any time while any portion of this Note remains outstanding, the Company (or any of its subsidiaries) consummates any financing or capital raise (whether through the issuance of debt, equity, equity-linked securities or any combination thereof, and whether in a public offering, private placement, registered direct offering, PIPE, at-the-market offering or otherwise) (each, a “</w:t>
      </w:r>
      <w:r>
        <w:rPr>
          <w:rFonts w:ascii="Times New Roman;Times;Serif" w:hAnsi="Times New Roman;Times;Serif"/>
          <w:b/>
          <w:i w:val="false"/>
          <w:caps w:val="false"/>
          <w:smallCaps w:val="false"/>
          <w:sz w:val="20"/>
        </w:rPr>
        <w:t>Subsequent Financing</w:t>
      </w:r>
      <w:r>
        <w:rPr>
          <w:rFonts w:ascii="Times New Roman;Times;Serif" w:hAnsi="Times New Roman;Times;Serif"/>
          <w:b w:val="false"/>
          <w:i w:val="false"/>
          <w:caps w:val="false"/>
          <w:smallCaps w:val="false"/>
          <w:sz w:val="20"/>
        </w:rPr>
        <w:t>”), then, unless such Subsequent Financing constitutes a Qualified Public Offering, the Company shall apply, at the closing of such Subsequent Financing and prior to the Company’s receipt of any net proceeds thereof, fifty percent (50%) of the net cash proceeds actually received by the Company from such Subsequent Financing to the prepayment of the outstanding Principal and accrued and unpaid Interest of this Note at a price equal to 100% of the sum of (i) the Principal so prepaid plus (ii) all accrued and unpaid Interest thereon through the prepayment date plus (iii) all other amounts then due and owing under this Note and the other Transaction Documents in respect of the portion so prepaid (including, without limitation, any Default Principal Increase, any accrued and unpaid Default Interest, any liquidated damages and any costs, fees and expenses reimbursable to the Holder). The Company shall provide the Holder with prior written notice of any Subsequent Financing not later than two (2) Trading Days prior to the closing thereof, together with reasonable detail regarding the net cash proceeds and material terms of such Subsequent Financing. The Holder may, by written notice delivered to the Company at any time prior to the closing of a Subsequent Financing, elect to have all or any portion of the amounts payable under this Section 10(a) satisfied directly out of the net cash proceeds of such Subsequent Financing at the closing thereof, in which case the Company shall cause such amounts to be paid to the Holder by wire transfer of immediately available funds concurrently with, and as a condition to, the closing of such Subsequent Financing. Any amounts payable under this Section 10(a) that are not so satisfied at such closing shall be paid in cash by wire transfer of immediately available funds to an account designated in writing by the Holder within two (2) Trading Day following the Holder’s written demand. This Section 10(a) is in addition to, and not in lieu of, any other rights or remedies of the Holder under this Note or the other Transaction Documents (including, without limitation, the Holder’s conversion rights under Section 3). For the avoidance of doubt, nothing in this Section 10(a) shall be deemed to permit the Company to solicit, negotiate, enter into or consummate any Subsequent Financing that is otherwise prohibited by, or that requires the prior consent, approval or waiver of the Holder under, this Note or any other Transaction Document (including, without limitation, any standstill or restriction on the Company’s incurrence of indebtedness or issuance of securities), and the Company’s obligations under this Section 10(a) apply in addition to, and not in limitation of, any such restriction or consent, approval or waiver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Mandatory Acceleration Upon Qualified Public Offering. Upon the consummation of a Qualified Public Offering, the Maturity Date of this Note shall automatically be accelerated to the closing date on which the Qualified Public Offering is deemed consummated pursuant to the definition thereof, and the entire outstanding Principal amount of this Note, together with all accrued and unpaid Interest thereon and all other amounts then due and owing under this Note and the other Transaction Documents (including, without limitation, any Default Principal Increase, any accrued and unpaid Default Interest, any liquidated damages and any costs, fees and expenses reimbursable to the Holder), shall become immediately due and payable in full, in cash, at such closing, subject to the Holder’s right to convert this Note, in whole or in part, at any time prior to such closing pursuant to Section 3. The Company shall provide the Holder with prior written notice promptly upon (and in any event within one (1) Trading Day after) the Company’s execution of an underwriting agreement, placement agency agreement or similar agreement with respect to a proposed Qualified Public Offering, together with reasonable detail regarding the anticipated gross proceeds and material terms of such offering, and shall provide the Holder with prompt written notice of the actual gross proceeds received at each closing thereof. This Section 10(b) is in addition to, and not in lieu of, any other rights or remedies of the Holder under this Note or the other Transaction Documents..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AMENDING THE TERMS OF THIS NOTE.</w:t>
      </w:r>
      <w:r>
        <w:rPr>
          <w:rFonts w:ascii="Times New Roman;Times;Serif" w:hAnsi="Times New Roman;Times;Serif"/>
          <w:b w:val="false"/>
          <w:i w:val="false"/>
          <w:caps w:val="false"/>
          <w:smallCaps w:val="false"/>
          <w:sz w:val="20"/>
        </w:rPr>
        <w:t xml:space="preserve"> The prior written consent of the Holder shall be required for any change, waiver or amendment to this Note. Any change, waiver or amendment so approved shall be binding upon all existing and future holders of this Note; provided, however, that no such change, waiver, or amendment, as applied to the Note held by any particular holder of the Note, shall, without the written consent of that particular holder, (i) reduce the amount of Principal, reduce the amount of accrued and unpaid Interest, or extend the Maturity Date, of the Note, (ii) disproportionally and adversely affect any rights under the Note of that particular holder; or (iii) modify any of the provisions of, or impair the right of any holder of the Note under this Section 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REISSUANCE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12(d)), registered as the Holder may request, representing the outstanding Principal being transferred by the Holder and, if less than the entire outstanding Principal is being transferred, a new Note (in accordance with Section 12(d)) to the Holder representing the outstanding Principal not being transferred. The Holder and any assignee, by acceptance of this Note, acknowledge and agree that, by reason of the provisions of Section 3(c)(iii) following conversion or prepayment of any portion of this Note, the outstanding Principal represented by this Note may be less than the Principal stated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xml:space="preserve">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12(d)) representing the outstanding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12(d) and in principal amounts of at least $1,000)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12(a) or Section 12(c), the Principal designated by the Holder which does not exceed the Principal remaining outstanding under this Note immediately prior to such issuance of a new Note), (iii) shall have an issuance date, as indicated on the face of such new Note, which is the same as the Issuance Date of this Note, (iv) shall have the same rights and conditions as this Note, and (v) shall represent accrued and unpaid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All payments due under this Note shall be (i) subordinate and junior in right of payment and priority to all secured Indebtedness of the Company existing as of the Issuance Date and (ii) senior to all other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Restricted Payments and Investments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the Note) whether by way of payment in respect of principal of (or premium, if any) or interest on, such Indebtedness or make any Investment, as applicable, if at the time such payment with respect to such Indebtedness and/or Investment, as applicable, is due or is otherwise made or, after giving effect to such payment, (i) an event constituting an Event of Default has occurred and is continuing, or (ii) an event that with the passage of time and without being cured would constitute an Event of Default has occurred and is continuing.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Restriction on Redemption and Cash Dividends</w:t>
      </w:r>
      <w:r>
        <w:rPr>
          <w:rFonts w:ascii="Times New Roman;Times;Serif" w:hAnsi="Times New Roman;Times;Serif"/>
          <w:b w:val="false"/>
          <w:i w:val="false"/>
          <w:caps w:val="false"/>
          <w:smallCaps w:val="false"/>
          <w:sz w:val="20"/>
        </w:rPr>
        <w:t>. The Company shall not, and the Company shall cause each of its Subsidiaries to not, directly or indirectly, redeem, repurchase for cash any of its capital stock, or declare or pay any cash dividend or distribution on any of its capital stock.</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Restriction on Transfer of Assets</w:t>
      </w:r>
      <w:r>
        <w:rPr>
          <w:rFonts w:ascii="Times New Roman;Times;Serif" w:hAnsi="Times New Roman;Times;Serif"/>
          <w:b w:val="false"/>
          <w:i w:val="false"/>
          <w:caps w:val="false"/>
          <w:smallCaps w:val="false"/>
          <w:sz w:val="20"/>
        </w:rPr>
        <w:t>. The Company shall not, and the Company shall cause each of its Subsidiaries to not, directly or indirectly, sell, lease, license, assign, transfer, spin-off, split-off, close, convey, or otherwise dispose of any assets or rights of the Company or any Subsidiary owned or hereafter acquired whether in a single transaction or a series of related transactions, other than (i) sales, leases, licenses, assignments, transfers, conveyances, and other dispositions of such assets or rights by the Company and its Subsidiaries in the ordinary course of business consistent with its past practice, and (ii) sales of inventory and product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The Company shall not, and the Company shall cause each of its Subsidiaries to not, directly or indirectly, engage in any material line of business substantially different from those lines of business conducted by or publicly contemplated to be conducted by the Company and each of its Subsidiaries on the Issuance Date or any business substantially related or incidental thereto. The Company shall not, and the Company shall cause each of its Subsidiaries to not, directly or indirectly, modify its or their corporate structure or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The Company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The Company shall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Maintenance of Intellectual Property</w:t>
      </w:r>
      <w:r>
        <w:rPr>
          <w:rFonts w:ascii="Times New Roman;Times;Serif" w:hAnsi="Times New Roman;Times;Serif"/>
          <w:b w:val="false"/>
          <w:i w:val="false"/>
          <w:caps w:val="false"/>
          <w:smallCaps w:val="false"/>
          <w:sz w:val="20"/>
        </w:rPr>
        <w:t>. The Company will, and will cause each of its Subsidiaries to, take all action necessary or advisable to maintain all of the Intellectual Property Rights of the Company and/or any of its Subsidiaries that are necessary or material to the conduct of its business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 The Company shall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 (but in no event including less than $1,000,000.00 of director and officer insurance).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The Company shall not, nor shall it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and (ii) the purchase by Joseph Davy of shares of Class B common stock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To the extent that it may lawfully do so, the Company (A) agrees that it will not at any time insist upon, 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The Company and its Subsidiaries shall pay when due all taxes, fees, or other charges of any nature whatsoever (together with any related interest or penalties) now or hereafter imposed or assessed against the Company and its Subsidiaries or their respective assets or upon their ownership, possession, use, operation, or disposition thereof or upon their rents, receipts, or earnings arising therefrom (except where the failure to pay would not, individually or in the aggregate, have a material effect on the Company or any of its Subsidiaries). The Company and its Subsidiaries shall file on or before the due date therefor all personal property tax returns (except where the failure to file would not, individually or in the aggregate, have a material effect on the Company or any of its Subsidiaries). Notwithstanding the foregoing, the Company and its Subsidiaries may contest, in good faith and by appropriate proceedings, taxes for which they maintain adequate reserves therefor in accordance with GAAP.</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writing with an e-mail copy to the last address provided by the Holder or its agents in writing to the Company. The Company shall provide the Holder with prompt written notice of all actions taken pursuant to this Note, including in reasonable detail a description of such action and the reason therefor. Without limiting the generality of the foregoing, the Company will give written notice to the Holder (i) immediately upon any adjustment of the Conversion Price, setting forth in reasonable detail, and certifying, the calculation of such adjustment and (ii) at least 15 days prior to the date on which the Company closes its books or takes a record (A) with respect to any dividend or distribution upon the Common Stock, to which the Holder has consented pursuant to Section 6, or (B) for determining rights to vote with respect to any transaction, dissolution or liquidation, provided in each case that such information shall be made known to the public prior to or in conjunction with such notice being provided to the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irrevocably waives demand, notice, presentment, protest and all other demands and notices in connection with the delivery, acceptance, performance, default or enforcement of this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This Note shall be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Each party agrees that all legal proceedings concerning the interpretation, enforcement and defense of the transactions contemplated by this Note (whether brought against a party hereto or its respective Affiliates, directors, officers, stockholders, employees or agents) shall be commenced exclusively in the state and federal courts sitting in the State of Delaware. Each party hereby irrevocably submits to the exclusive jurisdiction of such courts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Note and agrees that such service shall constitute good and sufficient service of process and notice thereof. Nothing contained herein shall be deemed to limit in any way any right to serve process in any other manner permitted by law. If any party commences an action or proceeding to enforce any provisions of this Note, then the prevailing party in such action or proceeding shall be reimbursed by the other party for its reasonable attorneys’ fees and other costs and expenses incurred in the investigation, preparation and prosecution of such action or proceeding.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such provision which may prove invalid or unenforceable under any law shall not affect the validity or enforceability of any other provision of any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19.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Submission to Dispute Resolution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a dispute relating to the Conversion Price, a fair market value, or the arithmetic calculation of a Conversion Rate (as the case may be) (including, without limitation, a dispute relating to the determination of any of the foregoing), the Company or the Holder (as the case may be) shall submit the dispute to the other party via electronic mail (A) if by the Company, within five (5) Business Days after the occurrence of the circumstances giving rise to such dispute or (B) if by the Holder at any time after the Holder learned of the circumstances giving rise to such dispute. If the Holder and the Company are unable to promptly resolve such dispute relating to such Conversion Price, such fair market value, or the arithmetic calculation of such Conversion Rate (as the case may be) (as the case may be), at any time after the fifth (5th) Business Day following such initial notice by the Company or the Holder (as the case may be) of such dispute to the Company or the Holder (as the case may be), then the Company and the Holder may select an independent, reputable investment bank as mutually agreed upon to resolve such dispute. If the parties cannot agree upon such an investment bank within ten (10) Business Days of the date of the initial notice, the parties shall apply to the Chancery Court of the State of Delaware and the United States District Court for the District of Delaware for the appointment of an arbitrator.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Holder and the Company shall each deliver to such investment bank (or arbitrator) (A) a copy of the initial dispute submission so delivered in accordance with the first sentence of this Section 19 and (B) written documentation supporting its position with respect to such dispute, in each case, no later than 5:00 p.m. (New York time) by the fifth (5th) Business Day immediately following the date on which the Holder selected such investment bank (the “</w:t>
      </w:r>
      <w:r>
        <w:rPr>
          <w:rFonts w:ascii="Times New Roman;Times;Serif" w:hAnsi="Times New Roman;Times;Serif"/>
          <w:b/>
          <w:i w:val="false"/>
          <w:caps w:val="false"/>
          <w:smallCaps w:val="false"/>
          <w:sz w:val="20"/>
        </w:rPr>
        <w:t>Dispute Submission Deadline</w:t>
      </w:r>
      <w:r>
        <w:rPr>
          <w:rFonts w:ascii="Times New Roman;Times;Serif" w:hAnsi="Times New Roman;Times;Serif"/>
          <w:b w:val="false"/>
          <w:i w:val="false"/>
          <w:caps w:val="false"/>
          <w:smallCaps w:val="false"/>
          <w:sz w:val="20"/>
        </w:rPr>
        <w:t>”) (the documents referred to in the immediately preceding clauses (A) and (B) are collectively referred to herein as the “</w:t>
      </w:r>
      <w:r>
        <w:rPr>
          <w:rFonts w:ascii="Times New Roman;Times;Serif" w:hAnsi="Times New Roman;Times;Serif"/>
          <w:b/>
          <w:i w:val="false"/>
          <w:caps w:val="false"/>
          <w:smallCaps w:val="false"/>
          <w:sz w:val="20"/>
        </w:rPr>
        <w:t>Required Dispute Documentation</w:t>
      </w:r>
      <w:r>
        <w:rPr>
          <w:rFonts w:ascii="Times New Roman;Times;Serif" w:hAnsi="Times New Roman;Times;Serif"/>
          <w:b w:val="false"/>
          <w:i w:val="false"/>
          <w:caps w:val="false"/>
          <w:smallCaps w:val="false"/>
          <w:sz w:val="20"/>
        </w:rPr>
        <w:t>”) (it being understood and agreed that if either the Holder or the Company fails to so deliver all of the Required Dispute Documentation by the Dispute Submission Deadline, then the party who fails to so submit all of the Required Dispute Documentation shall no longer be entitled to (and hereby waives its right to) deliver or submit any written documentation or other support to such investment bank (or arbitrator) with respect to such dispute and such investment bank shall resolve such dispute based solely on the Required Dispute Documentation that was delivered to such investment bank (or arbitrator) prior to the Dispute Submission Deadline). Unless otherwise agreed to in writing by both the Company and the Holder or otherwise requested by such investment bank (or arbitrator), neither the Company nor the Holder shall be entitled to deliver or submit any written documentation or other support to such investment bank (or arbitrator) in connection with such dispute (other than the Required Dispute Documentation).</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the Holder shall cause such investment bank (or arbitrator) to determine the resolution of such dispute and notify the Company and the Holder of such resolution no later than ten (10) Business Days immediately following the Dispute Submission Deadline. The fees and expenses of such investment bank (or arbitrator) shall be borne by the losing party, and such investment bank’s (or arbitrator’s) resolution of such dispute shall be final and binding upon all parties absent manifest error.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The Company expressly acknowledges and agrees that (i) this Section 19 constitutes an agreement to arbitrate between the Company and the Holder (and constitutes an arbitration agreement) under § 5701, et seq. of the Delaware Code Title 10) and that both the Company and the Holder are authorized to apply for an order to compel arbitration pursuant to Delaware Code Title 10 § 5703 in order to compel compliance with this Section 19, (ii) the terms of this Note and each other applicable Transaction Document shall serve as the basis for the selected investment bank’s resolution of the applicable dispute, such investment bank shall be entitled (and is hereby expressly authorized) to make all findings, determinations, and the like that such investment bank determines are required to be made by such investment bank in connection with its resolution of such dispute and in resolving such dispute such investment bank shall apply such findings, determinations and the like to the terms of this Note and any other applicable Transaction Documents, and (iii) nothing in this Section 19 shall limit the Holder or the Company from obtaining any injunctive relief or other equitable remedies (including, without limitation, with respect to any matters described in this Section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MAXIMUM PAYMENTS</w:t>
      </w:r>
      <w:r>
        <w:rPr>
          <w:rFonts w:ascii="Times New Roman;Times;Serif" w:hAnsi="Times New Roman;Times;Serif"/>
          <w:b w:val="false"/>
          <w:i w:val="false"/>
          <w:caps w:val="false"/>
          <w:smallCaps w:val="false"/>
          <w:sz w:val="20"/>
        </w:rPr>
        <w:t>. 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Neither this Note nor the rights contained herein may be assigned, by operation of law or otherwise, by either party without the prior written consent of the other; provided, however, that this Note and/or the rights contained herein may be assigned without the Company’s consent by the Holder to any other entity who controls, is controlled by or is under common control with the Holder.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words and terms shall have the following meanings:</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(as that term is used in Section 13(d) of the Exchange Act) together with the Holder or any of the foregoing and (iv) any other Persons whose beneficial ownership of the Company’s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 for each Conversion Notice tendered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Class A common stock of the Company, $0.0001 par value per share, and any other class of securities into which such securities may hereafter be reclassified or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means, unless and until Stockholder Approval is obtained, a number of shares of Common Stock equal to nineteen and ninety-nine hundredths percent (19.99%) of the shares of Common Stock issued and outstanding immediately prior to the execution of the Securities Purchase Agreement (subject to equitable adjustment for any stock split, stock dividend, stock combination, recapitalization or similar transaction affecting the Common Stock after the date hereof), reduced by the aggregate number of shares of Common Stock issued or issuable pursuant to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Investmen</w:t>
      </w:r>
      <w:r>
        <w:rPr>
          <w:rFonts w:ascii="Times New Roman;Times;Serif" w:hAnsi="Times New Roman;Times;Serif"/>
          <w:b w:val="false"/>
          <w:i w:val="false"/>
          <w:caps w:val="false"/>
          <w:smallCaps w:val="false"/>
          <w:sz w:val="20"/>
        </w:rPr>
        <w:t>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have the meaning set forth in the Securities Purchase Agreement; provided, however, that such Material Adverse Effect shall constitute an Event of Default under this clause (xiv) only if it materially impairs (x) the Company’s ability to conduct its business in the ordinary course or (y) the Company’s ability to pay or perform its obligations under this Note when and as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Qualified Public Offering</w:t>
      </w:r>
      <w:r>
        <w:rPr>
          <w:rFonts w:ascii="Times New Roman;Times;Serif" w:hAnsi="Times New Roman;Times;Serif"/>
          <w:b w:val="false"/>
          <w:i w:val="false"/>
          <w:caps w:val="false"/>
          <w:smallCaps w:val="false"/>
          <w:sz w:val="20"/>
        </w:rPr>
        <w:t>” means the closing of a public offering of the Company’s Common Stock (or other equity or equity-linked securities) pursuant to an effective registration statement filed under the Securities Act of 1933, as amended, whether such offering is underwritten on a firm commitment basis, underwritten on a best efforts basis, or sold through one or more placement agents acting as agent for the Company (including, without limitation, a registered direct offering), in each case resulting in aggregate gross proceeds to the Company, before deduction of underwriting discounts, commissions, placement agent fees and offering expenses, of not less than $5,000,000. If such offering involves more than one closing (including, without limitation, a closing pursuant to the exercise of an over-allotment option), the gross proceeds of all such closings shall be aggregated for purposes of determining whether the $5,000,000 threshold has been met, and the Qualified Public Offering shall be deemed to have been consummated upon the closing at which such aggregate threshold is first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means that certain Securities Purchase Agreement, dated as of September 4, 2026, by and among the Company, the Holder and the other purchasers party thereto.</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Nasdaq Stock Market LLC (or any successor entity) from the stockholders of the Company, or board of directors in lieu thereof, with respect to the issuance of the Conversion Shares upon conversion of this Note, including without limitation: (i) to issue in excess of twenty percent (20%) of the outstanding shares of Common Stock at a deemed discount to the Nasdaq Minimum Price (as defined in Nasdaq Listing Rule 5635(d)(1)(A)) immediately prior to execution of the Securities Purchase Agreement; (ii) to consent to the voluntary reduction of the Conversion Price described in this Note; and (iii) to permit the issuance of shares of Common Stock under this Note and the other Transaction Documents in excess of the Exchange Cap.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any Person in which the Company on the Issuance Date, directly or indirectly, (i) owns or acquires at least a majority of the outstanding capital stock or holds any equity or similar interest of such Person having, by their terms, voting power to elect a majority of the board of directors or others performing similar functions for such Person, (ii) is a general partner or manager, or (iii) otherwise controls or operates all or substantially all of the business, operations, or administration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 p.m., New York time) unless such day is otherwise designated as a Trading Day in writing by the Holder or (y) with respect to all determinations other than price determinations relating to the Common Stock, any day on which The Nasdaq Stock Market LLC (or any successor thereto) is open for trading of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Note, the Securities Purchase Agreement, the Warrants, the Placement Agent Agreement, the Lock-Up Agreement, and all exhibits and schedules thereto and hereto and any other documents or agreements executed in connection with the transactions contemplated hereunder.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4"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firstLine="720"/>
        <w:jc w:val="left"/>
        <w:rPr>
          <w:caps w:val="false"/>
          <w:smallCaps w:val="false"/>
        </w:rPr>
      </w:pPr>
      <w:r>
        <w:rPr>
          <w:caps w:val="false"/>
          <w:smallCaps w:val="false"/>
        </w:rPr>
        <w:t> </w:t>
      </w:r>
    </w:p>
    <w:tbl>
      <w:tblPr>
        <w:tblW w:w="3034" w:type="dxa"/>
        <w:jc w:val="left"/>
        <w:tblInd w:w="0" w:type="dxa"/>
        <w:tblLayout w:type="fixed"/>
        <w:tblCellMar>
          <w:top w:w="0" w:type="dxa"/>
          <w:left w:w="0" w:type="dxa"/>
          <w:bottom w:w="0" w:type="dxa"/>
          <w:right w:w="0" w:type="dxa"/>
        </w:tblCellMar>
      </w:tblPr>
      <w:tblGrid>
        <w:gridCol w:w="75"/>
        <w:gridCol w:w="652"/>
        <w:gridCol w:w="2307"/>
      </w:tblGrid>
      <w:tr>
        <w:trPr/>
        <w:tc>
          <w:tcPr>
            <w:tcW w:w="75" w:type="dxa"/>
            <w:tcBorders/>
            <w:vAlign w:val="center"/>
          </w:tcPr>
          <w:p>
            <w:pPr>
              <w:pStyle w:val="TableContents"/>
              <w:bidi w:val="0"/>
              <w:spacing w:before="0" w:after="283"/>
              <w:jc w:val="left"/>
              <w:rPr/>
            </w:pPr>
            <w:r>
              <w:rPr/>
              <w:t> </w:t>
            </w:r>
          </w:p>
        </w:tc>
        <w:tc>
          <w:tcPr>
            <w:tcW w:w="29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BANZAI INTERNATIONAL, INC.</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pPr>
            <w:r>
              <w:rPr/>
              <w:t> </w:t>
            </w:r>
          </w:p>
        </w:tc>
        <w:tc>
          <w:tcPr>
            <w:tcW w:w="2307"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3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Davy</w:t>
            </w:r>
          </w:p>
        </w:tc>
      </w:tr>
      <w:tr>
        <w:trPr/>
        <w:tc>
          <w:tcPr>
            <w:tcW w:w="75" w:type="dxa"/>
            <w:tcBorders/>
            <w:vAlign w:val="center"/>
          </w:tcPr>
          <w:p>
            <w:pPr>
              <w:pStyle w:val="TableContents"/>
              <w:bidi w:val="0"/>
              <w:spacing w:before="0" w:after="283"/>
              <w:jc w:val="left"/>
              <w:rPr/>
            </w:pPr>
            <w:r>
              <w:rPr/>
              <w:t> </w:t>
            </w:r>
          </w:p>
        </w:tc>
        <w:tc>
          <w:tcPr>
            <w:tcW w:w="6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Convertible Promissory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BANZAI INTERNATIONAL,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Class A common stock, $0.0001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 _______________________________________________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to be converted: _________________________________________________________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accrued and unpaid Interest to be converted: ___________________________________________</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CONVERSION AMOUNT TO BE CONVERTED: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the following information: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 ___________________________________________________________________________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 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extBody"/>
        <w:bidi w:val="0"/>
        <w:spacing w:before="0" w:after="0"/>
        <w:ind w:left="0" w:right="0" w:firstLine="36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230"/>
        <w:gridCol w:w="815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w:t>
            </w:r>
          </w:p>
        </w:tc>
        <w:tc>
          <w:tcPr>
            <w:tcW w:w="81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Check here if requesting delivery as a certificate to the following name and to the following address:</w:t>
            </w:r>
          </w:p>
        </w:tc>
      </w:tr>
    </w:tbl>
    <w:p>
      <w:pPr>
        <w:pStyle w:val="TextBody"/>
        <w:bidi w:val="0"/>
        <w:spacing w:before="0" w:after="0"/>
        <w:ind w:left="0" w:right="0" w:firstLine="360"/>
        <w:jc w:val="left"/>
        <w:rPr>
          <w:caps w:val="false"/>
          <w:smallCaps w:val="false"/>
        </w:rPr>
      </w:pPr>
      <w:r>
        <w:rPr>
          <w:caps w:val="false"/>
          <w:smallCaps w:val="false"/>
        </w:rPr>
        <w:t> </w:t>
      </w:r>
    </w:p>
    <w:tbl>
      <w:tblPr>
        <w:tblW w:w="905" w:type="dxa"/>
        <w:jc w:val="left"/>
        <w:tblInd w:w="0" w:type="dxa"/>
        <w:tblLayout w:type="fixed"/>
        <w:tblCellMar>
          <w:top w:w="0" w:type="dxa"/>
          <w:left w:w="0" w:type="dxa"/>
          <w:bottom w:w="0" w:type="dxa"/>
          <w:right w:w="0" w:type="dxa"/>
        </w:tblCellMar>
      </w:tblPr>
      <w:tblGrid>
        <w:gridCol w:w="75"/>
        <w:gridCol w:w="695"/>
        <w:gridCol w:w="135"/>
      </w:tblGrid>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Issue to:</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13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60"/>
        <w:gridCol w:w="230"/>
        <w:gridCol w:w="665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here if requesting delivery by Deposit/Withdrawal at Custodian as follows: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 _____________________________________________________________________________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 _______________________________________________________________________________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 ____________________________________________________________________________</w:t>
      </w:r>
    </w:p>
    <w:p>
      <w:pPr>
        <w:pStyle w:val="TextBody"/>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____________,__________</w:t>
      </w:r>
    </w:p>
    <w:p>
      <w:pPr>
        <w:pStyle w:val="TextBody"/>
        <w:bidi w:val="0"/>
        <w:spacing w:before="0" w:after="0"/>
        <w:ind w:left="0" w:right="0" w:hanging="0"/>
        <w:jc w:val="left"/>
        <w:rPr>
          <w:caps w:val="false"/>
          <w:smallCaps w:val="false"/>
        </w:rPr>
      </w:pPr>
      <w:r>
        <w:rPr>
          <w:caps w:val="false"/>
          <w:smallCaps w:val="false"/>
        </w:rPr>
        <w:t> </w:t>
      </w:r>
    </w:p>
    <w:tbl>
      <w:tblPr>
        <w:tblW w:w="2300" w:type="dxa"/>
        <w:jc w:val="left"/>
        <w:tblInd w:w="0" w:type="dxa"/>
        <w:tblLayout w:type="fixed"/>
        <w:tblCellMar>
          <w:top w:w="0" w:type="dxa"/>
          <w:left w:w="0" w:type="dxa"/>
          <w:bottom w:w="28" w:type="dxa"/>
          <w:right w:w="0" w:type="dxa"/>
        </w:tblCellMar>
      </w:tblPr>
      <w:tblGrid>
        <w:gridCol w:w="2225"/>
        <w:gridCol w:w="75"/>
      </w:tblGrid>
      <w:tr>
        <w:trPr/>
        <w:tc>
          <w:tcPr>
            <w:tcW w:w="222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2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Registered Holder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70" w:type="dxa"/>
        <w:jc w:val="left"/>
        <w:tblInd w:w="0" w:type="dxa"/>
        <w:tblLayout w:type="fixed"/>
        <w:tblCellMar>
          <w:top w:w="0" w:type="dxa"/>
          <w:left w:w="0" w:type="dxa"/>
          <w:bottom w:w="0" w:type="dxa"/>
          <w:right w:w="0" w:type="dxa"/>
        </w:tblCellMar>
      </w:tblPr>
      <w:tblGrid>
        <w:gridCol w:w="875"/>
        <w:gridCol w:w="120"/>
        <w:gridCol w:w="75"/>
      </w:tblGrid>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ID:</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Facsimile:</w:t>
            </w:r>
          </w:p>
        </w:tc>
        <w:tc>
          <w:tcPr>
            <w:tcW w:w="1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8" w:name="ex4-2.htm"/>
      <w:bookmarkStart w:id="29" w:name="ksex42"/>
      <w:bookmarkEnd w:id="28"/>
      <w:bookmarkEnd w:id="2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10" w:type="dxa"/>
        <w:tblLayout w:type="fixed"/>
        <w:tblCellMar>
          <w:top w:w="144" w:type="dxa"/>
          <w:left w:w="144" w:type="dxa"/>
          <w:bottom w:w="144" w:type="dxa"/>
          <w:right w:w="144"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COMMON WARRANT TO PURCHASE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w:t>
      </w:r>
    </w:p>
    <w:p>
      <w:pPr>
        <w:pStyle w:val="TextBody"/>
        <w:bidi w:val="0"/>
        <w:spacing w:before="0" w:after="0"/>
        <w:jc w:val="center"/>
        <w:rPr>
          <w:caps w:val="false"/>
          <w:smallCaps w:val="false"/>
        </w:rPr>
      </w:pPr>
      <w:r>
        <w:rPr>
          <w:caps w:val="false"/>
          <w:smallCaps w:val="false"/>
        </w:rPr>
        <w:t> </w:t>
      </w:r>
    </w:p>
    <w:tbl>
      <w:tblPr>
        <w:tblW w:w="5335" w:type="dxa"/>
        <w:jc w:val="left"/>
        <w:tblInd w:w="0" w:type="dxa"/>
        <w:tblLayout w:type="fixed"/>
        <w:tblCellMar>
          <w:top w:w="0" w:type="dxa"/>
          <w:left w:w="0" w:type="dxa"/>
          <w:bottom w:w="0" w:type="dxa"/>
          <w:right w:w="0" w:type="dxa"/>
        </w:tblCellMar>
      </w:tblPr>
      <w:tblGrid>
        <w:gridCol w:w="2030"/>
        <w:gridCol w:w="3305"/>
      </w:tblGrid>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779,221</w:t>
            </w:r>
          </w:p>
        </w:tc>
        <w:tc>
          <w:tcPr>
            <w:tcW w:w="33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Exercise Date: September 4, 2026</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30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 September 4,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WARRANT TO PURCHASE COMMON STOCK </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u w:val="single"/>
        </w:rPr>
        <w:t>Warrant</w:t>
      </w:r>
      <w:r>
        <w:rPr>
          <w:rFonts w:ascii="Times New Roman;Times;Serif" w:hAnsi="Times New Roman;Times;Serif"/>
          <w:b w:val="false"/>
          <w:i w:val="false"/>
          <w:caps w:val="false"/>
          <w:smallCaps w:val="false"/>
          <w:sz w:val="20"/>
        </w:rPr>
        <w:t>”) certifies that, for value received, Evergreen Capital Management LLC or its assigns (the “</w:t>
      </w:r>
      <w:r>
        <w:rPr>
          <w:rFonts w:ascii="Times New Roman;Times;Serif" w:hAnsi="Times New Roman;Times;Serif"/>
          <w:b/>
          <w:i w:val="false"/>
          <w:caps w:val="false"/>
          <w:smallCaps w:val="false"/>
          <w:sz w:val="20"/>
          <w:u w:val="single"/>
        </w:rPr>
        <w:t>Holder</w:t>
      </w:r>
      <w:r>
        <w:rPr>
          <w:rFonts w:ascii="Times New Roman;Times;Serif" w:hAnsi="Times New Roman;Times;Serif"/>
          <w:b w:val="false"/>
          <w:i w:val="false"/>
          <w:caps w:val="false"/>
          <w:smallCaps w:val="false"/>
          <w:sz w:val="20"/>
        </w:rPr>
        <w:t>”) is entitled, upon the terms and subject to the limitations on exercise and the conditions hereinafter set forth, at any time on or after the Initial Exercise Date and on or prior to 5:00 p.m. (New York City time) on the date that is the fifth anniversary of the Issuance Date (the “</w:t>
      </w:r>
      <w:r>
        <w:rPr>
          <w:rFonts w:ascii="Times New Roman;Times;Serif" w:hAnsi="Times New Roman;Times;Serif"/>
          <w:b/>
          <w:i w:val="false"/>
          <w:caps w:val="false"/>
          <w:smallCaps w:val="false"/>
          <w:sz w:val="20"/>
          <w:u w:val="single"/>
        </w:rPr>
        <w:t>Termination Date</w:t>
      </w:r>
      <w:r>
        <w:rPr>
          <w:rFonts w:ascii="Times New Roman;Times;Serif" w:hAnsi="Times New Roman;Times;Serif"/>
          <w:b w:val="false"/>
          <w:i w:val="false"/>
          <w:caps w:val="false"/>
          <w:smallCaps w:val="false"/>
          <w:sz w:val="20"/>
        </w:rPr>
        <w:t>”) but not thereafter, to subscribe for and purchase from Banzai International,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up to 779,221 shares (as subject to adjustment hereunder, the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of Common Stock. Subject to the provisions of Section 2.3, the purchase price of one (1) share of Common Stock under this Warrant shall be equal to the Exercise Price, as defined in Section 2.2.</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Warrant or in the Securities Purchase Agreement dated September 4, 2026 by and among the Company and the investors (the “</w:t>
            </w:r>
            <w:r>
              <w:rPr>
                <w:rFonts w:ascii="Times New Roman;Times;Serif" w:hAnsi="Times New Roman;Times;Serif"/>
                <w:b/>
                <w:i w:val="false"/>
                <w:caps w:val="false"/>
                <w:smallCaps w:val="false"/>
                <w:sz w:val="20"/>
                <w:u w:val="single"/>
              </w:rPr>
              <w:t>Purchasers</w:t>
            </w:r>
            <w:r>
              <w:rPr>
                <w:rFonts w:ascii="Times New Roman;Times;Serif" w:hAnsi="Times New Roman;Times;Serif"/>
                <w:b w:val="false"/>
                <w:i w:val="false"/>
                <w:caps w:val="false"/>
                <w:smallCaps w:val="false"/>
                <w:sz w:val="20"/>
              </w:rPr>
              <w:t>”) referred to therein (the “</w:t>
            </w:r>
            <w:r>
              <w:rPr>
                <w:rFonts w:ascii="Times New Roman;Times;Serif" w:hAnsi="Times New Roman;Times;Serif"/>
                <w:b/>
                <w:i w:val="false"/>
                <w:caps w:val="false"/>
                <w:smallCaps w:val="false"/>
                <w:sz w:val="20"/>
                <w:u w:val="single"/>
              </w:rPr>
              <w:t>Securities Purchase Agreement</w:t>
            </w:r>
            <w:r>
              <w:rPr>
                <w:rFonts w:ascii="Times New Roman;Times;Serif" w:hAnsi="Times New Roman;Times;Serif"/>
                <w:b w:val="false"/>
                <w:i w:val="false"/>
                <w:caps w:val="false"/>
                <w:smallCaps w:val="false"/>
                <w:sz w:val="20"/>
              </w:rPr>
              <w:t>”), the following terms have the meanings indicated in this Section 1:</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Anti-Dilution Trigger Event</w:t>
      </w:r>
      <w:r>
        <w:rPr>
          <w:rFonts w:ascii="Times New Roman;Times;Serif" w:hAnsi="Times New Roman;Times;Serif"/>
          <w:b w:val="false"/>
          <w:i w:val="false"/>
          <w:caps w:val="false"/>
          <w:smallCaps w:val="false"/>
          <w:sz w:val="20"/>
        </w:rPr>
        <w:t>” means the Company’s failure to pay all outstanding principal, accrued and unpaid interest, and any other amounts then due and owing under the Note in full, in cash, on or before the date that is ninety (90) calendar days after the date of the Initial Closing under the Securities Purchase Agreement.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Bid Price</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2120" w:right="0" w:hanging="719"/>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2120" w:right="0" w:hanging="719"/>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Class A common stock of the Company, $0.0001 par value per share, and any other class of securities into which such securities may hereafter be reclassified or changed.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means, unless and until Stockholder Approval is obtained, a number of shares of Common Stock equal to nineteen and ninety-nine hundredths percent (19.99%) of the shares of Common Stock issued and outstanding immediately prior to the execution of the Securities Purchase Agreement (subject to equitable adjustment for any stock split, stock dividend, stock combination, recapitalization or similar transaction affecting the Common Stock after the date hereof), reduced by the aggregate number of shares of Common Stock issued or issuable pursuant to the other Transaction Documents.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Exempt Issuance</w:t>
      </w:r>
      <w:r>
        <w:rPr>
          <w:rFonts w:ascii="Times New Roman;Times;Serif" w:hAnsi="Times New Roman;Times;Serif"/>
          <w:b w:val="false"/>
          <w:i w:val="false"/>
          <w:caps w:val="false"/>
          <w:smallCaps w:val="false"/>
          <w:sz w:val="20"/>
        </w:rPr>
        <w:t>” means (i) any conventional bank loans that are not convertible into, or exercisable or exchangeable for, shares of Common Stock or Common Stock Equivalents and do not involve any issuance of any shares of Common Stock or Common Stock Equivalents or other security of the Company in connection therewith; (ii) shares of Common Stock or options issued to employees, officers or directors of the Company pursuant to the Company’s equity incentive plans or pursuant to the compensation agreements previously authorized by the Board of Directors; (iii) securities issued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(iv)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one hundred eighty (180) days following the Release Date,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Note</w:t>
      </w:r>
      <w:r>
        <w:rPr>
          <w:rFonts w:ascii="Times New Roman;Times;Serif" w:hAnsi="Times New Roman;Times;Serif"/>
          <w:b w:val="false"/>
          <w:i w:val="false"/>
          <w:caps w:val="false"/>
          <w:smallCaps w:val="false"/>
          <w:sz w:val="20"/>
        </w:rPr>
        <w:t>” means the Convertible Promissory Note issued by the Company to the initial Holder pursuant to the Securities Purchase Agreement, as the same may be amended, restated, or otherwise modified from time to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Release Date</w:t>
      </w:r>
      <w:r>
        <w:rPr>
          <w:rFonts w:ascii="Times New Roman;Times;Serif" w:hAnsi="Times New Roman;Times;Serif"/>
          <w:b w:val="false"/>
          <w:i w:val="false"/>
          <w:caps w:val="false"/>
          <w:smallCaps w:val="false"/>
          <w:sz w:val="20"/>
        </w:rPr>
        <w:t>” means the later of (x) the earlier of (i) the Resale Effective Date or (ii) the date that the Securities can be sold, assigned or transferred without restriction or limitation pursuant to Rule 144 or Rule 144A promulgated under the Securities Act (or a successor rule thereto) or (y) the Stockholder Approval Notice Time.</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Resale Effective Date</w:t>
      </w:r>
      <w:r>
        <w:rPr>
          <w:rFonts w:ascii="Times New Roman;Times;Serif" w:hAnsi="Times New Roman;Times;Serif"/>
          <w:b w:val="false"/>
          <w:i w:val="false"/>
          <w:caps w:val="false"/>
          <w:smallCaps w:val="false"/>
          <w:sz w:val="20"/>
        </w:rPr>
        <w:t>” means the earliest of the date that (a) one or more Resale Registration Statements registering for resale all Warrant Shares have been declared effective by the Commission, (b) all of the Warrant Shares have been sold pursuant to Rule 144 or may be sold pursuant to Rule 144 without volume or manner-of-sale restrictions, (c) following the one year anniversary of the Closing Date provided that the applicable holder of Warrant Shares is not an Affiliate of the Company, or (d) all of the Warrant Shares may be sold pursuant to an exemption from registration under Section 4(a)(1) of the Securities Act without volume or manner-of-sale restrictions and Hunter Taubman Fischer &amp; Li LLC has delivered to such holders a standing written unqualified opinion that resales may then be made by such holders of the Warrant Shares pursuant to such exemption which opinion shall be in form and substance reasonably acceptable to such 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Nasdaq Stock Market LLC (or any successor entity) from the stockholders of the Company, or board of directors in lieu thereof, with respect to issuance of all of the Warrants and the Warrant Shares upon the exercise thereof, including without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1.18.1. to issue in excess of twenty percent (20%) of the outstanding shares of Common Stock at a deemed discount to the Nasdaq Minimum Price (as defined in Nasdaq Listing Rule 5635(d)(1)(A)) immediately prior to execution of the Securities Purchase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 to consent to the voluntary adjustment, from time to time, of the exercise price of any and all currently outstanding warrants pursuant to Section 3.8.</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 to permit the issuance of shares of Common Stock under this Warrant and the other Transaction Documents in excess of the Exchange Cap.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Stockholder Approval Notice Time</w:t>
      </w:r>
      <w:r>
        <w:rPr>
          <w:rFonts w:ascii="Times New Roman;Times;Serif" w:hAnsi="Times New Roman;Times;Serif"/>
          <w:b w:val="false"/>
          <w:i w:val="false"/>
          <w:caps w:val="false"/>
          <w:smallCaps w:val="false"/>
          <w:sz w:val="20"/>
        </w:rPr>
        <w:t>” means the time of public availability of the Current Report on Form 8-K filed by the Company with the Securities and Exchange Commission giving public notice of Stockholder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and shall, where applicable, also include any direct or indirect subsidiary of the Company formed or acquired after the date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the Securities Purchase Agreement dated September 4, 2026, these Warrants, such other Warrants as contemplated in the Securities Purchase Agreement, the Placement Agent Agreement, the Lock-Up Agreement and all exhibits and schedules thereto and hereto and any other documents or agreements executed in connection with the transactions contemplated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10004-1561 and an email address of cstmail@continentalstock.com, and any successor transfer agent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this Warrant and other Common Stock purchase warrants issued by the Company pursuant to the Securities Purchase Agreement.</w:t>
      </w:r>
    </w:p>
    <w:p>
      <w:pPr>
        <w:pStyle w:val="TextBody"/>
        <w:bidi w:val="0"/>
        <w:spacing w:before="0" w:after="0"/>
        <w:ind w:left="720" w:right="0" w:hanging="0"/>
        <w:jc w:val="both"/>
        <w:rPr>
          <w:caps w:val="false"/>
          <w:smallCaps w:val="false"/>
        </w:rPr>
      </w:pPr>
      <w:r>
        <w:rPr>
          <w:caps w:val="false"/>
          <w:smallCaps w:val="false"/>
        </w:rPr>
        <w:t> </w:t>
      </w:r>
    </w:p>
    <w:tbl>
      <w:tblPr>
        <w:tblW w:w="1060" w:type="dxa"/>
        <w:jc w:val="left"/>
        <w:tblInd w:w="0" w:type="dxa"/>
        <w:tblLayout w:type="fixed"/>
        <w:tblCellMar>
          <w:top w:w="0" w:type="dxa"/>
          <w:left w:w="0" w:type="dxa"/>
          <w:bottom w:w="0" w:type="dxa"/>
          <w:right w:w="0" w:type="dxa"/>
        </w:tblCellMar>
      </w:tblPr>
      <w:tblGrid>
        <w:gridCol w:w="75"/>
        <w:gridCol w:w="170"/>
        <w:gridCol w:w="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Exercise</w:t>
            </w:r>
            <w:r>
              <w:rPr>
                <w:rFonts w:ascii="Times New Roman;Times;Serif" w:hAnsi="Times New Roman;Times;Serif"/>
                <w:b/>
                <w:i w:val="false"/>
                <w:caps w:val="false"/>
                <w:smallCaps w:val="false"/>
                <w:sz w:val="20"/>
              </w:rPr>
              <w:t>.</w:t>
            </w:r>
          </w:p>
        </w:tc>
      </w:tr>
    </w:tbl>
    <w:p>
      <w:pPr>
        <w:pStyle w:val="TextBody"/>
        <w:bidi w:val="0"/>
        <w:spacing w:before="0" w:after="0"/>
        <w:ind w:left="140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Exercise of Warrant</w:t>
      </w:r>
      <w:r>
        <w:rPr>
          <w:rFonts w:ascii="Times New Roman;Times;Serif" w:hAnsi="Times New Roman;Times;Serif"/>
          <w:b w:val="false"/>
          <w:i w:val="false"/>
          <w:caps w:val="false"/>
          <w:smallCaps w:val="false"/>
          <w:sz w:val="20"/>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xml:space="preserve"> 2.1 (the “</w:t>
      </w:r>
      <w:r>
        <w:rPr>
          <w:rFonts w:ascii="Times New Roman;Times;Serif" w:hAnsi="Times New Roman;Times;Serif"/>
          <w:b/>
          <w:i w:val="false"/>
          <w:caps w:val="false"/>
          <w:smallCaps w:val="false"/>
          <w:sz w:val="20"/>
          <w:u w:val="single"/>
        </w:rPr>
        <w:t>Notice of Exercise</w:t>
      </w:r>
      <w:r>
        <w:rPr>
          <w:rFonts w:ascii="Times New Roman;Times;Serif" w:hAnsi="Times New Roman;Times;Serif"/>
          <w:b w:val="false"/>
          <w:i w:val="false"/>
          <w:caps w:val="false"/>
          <w:smallCaps w:val="false"/>
          <w:sz w:val="20"/>
        </w:rPr>
        <w:t xml:space="preserve">”). Within the earlier of (i) one (1) Trading Day and (ii) the number of Trading Days comprising the Standard Settlement Period (as defined in Section 2.6.1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Times;Serif" w:hAnsi="Times New Roman;Times;Serif"/>
          <w:b/>
          <w:i w:val="false"/>
          <w:caps w:val="false"/>
          <w:smallCaps w:val="false"/>
          <w:sz w:val="20"/>
        </w:rPr>
        <w:t>The Holder 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Warrant Share shall be $2.75, subject to adjustment hereunder (the “</w:t>
      </w:r>
      <w:r>
        <w:rPr>
          <w:rFonts w:ascii="Times New Roman;Times;Serif" w:hAnsi="Times New Roman;Times;Serif"/>
          <w:b/>
          <w:i w:val="false"/>
          <w:caps w:val="false"/>
          <w:smallCaps w:val="false"/>
          <w:sz w:val="20"/>
          <w:u w:val="single"/>
        </w:rPr>
        <w:t>Exercise Price</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Cashless Exercise</w:t>
      </w:r>
      <w:r>
        <w:rPr>
          <w:rFonts w:ascii="Times New Roman;Times;Serif" w:hAnsi="Times New Roman;Times;Serif"/>
          <w:b w:val="false"/>
          <w:i w:val="false"/>
          <w:caps w:val="false"/>
          <w:smallCaps w:val="false"/>
          <w:sz w:val="20"/>
        </w:rPr>
        <w: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0"/>
        <w:gridCol w:w="128"/>
        <w:gridCol w:w="9797"/>
      </w:tblGrid>
      <w:tr>
        <w:trPr/>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tc>
      </w:tr>
      <w:tr>
        <w:trPr/>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both"/>
              <w:rPr>
                <w:caps w:val="false"/>
                <w:smallCaps w:val="false"/>
              </w:rPr>
            </w:pPr>
            <w:r>
              <w:rPr>
                <w:caps w:val="false"/>
                <w:smallCaps w:val="false"/>
              </w:rPr>
              <w:t> </w:t>
            </w:r>
          </w:p>
        </w:tc>
        <w:tc>
          <w:tcPr>
            <w:tcW w:w="97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this Warrant, as adjusted hereunder; and</w:t>
            </w:r>
          </w:p>
        </w:tc>
      </w:tr>
      <w:tr>
        <w:trPr/>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128" w:type="dxa"/>
            <w:tcBorders/>
            <w:vAlign w:val="center"/>
          </w:tcPr>
          <w:p>
            <w:pPr>
              <w:pStyle w:val="TableContents"/>
              <w:bidi w:val="0"/>
              <w:spacing w:before="0" w:after="283"/>
              <w:jc w:val="both"/>
              <w:rPr>
                <w:caps w:val="false"/>
                <w:smallCaps w:val="false"/>
              </w:rPr>
            </w:pPr>
            <w:r>
              <w:rPr>
                <w:caps w:val="false"/>
                <w:smallCaps w:val="false"/>
              </w:rPr>
              <w:t> </w:t>
            </w:r>
          </w:p>
        </w:tc>
        <w:tc>
          <w:tcPr>
            <w:tcW w:w="97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1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Warrant Shares that would be issuable upon exercise of this Warrant in accordance with the terms of this Warrant if such exercise were by means of a cash exercise rather than a cashless exercise.</w:t>
            </w:r>
          </w:p>
        </w:tc>
      </w:tr>
    </w:tbl>
    <w:p>
      <w:pPr>
        <w:pStyle w:val="TextBody"/>
        <w:bidi w:val="0"/>
        <w:spacing w:before="0" w:after="0"/>
        <w:ind w:left="2841" w:right="0" w:hanging="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Automatic Cashless Exercise on Termination Date</w:t>
      </w:r>
      <w:r>
        <w:rPr>
          <w:rFonts w:ascii="Times New Roman;Times;Serif" w:hAnsi="Times New Roman;Times;Serif"/>
          <w:b w:val="false"/>
          <w:i w:val="false"/>
          <w:caps w:val="false"/>
          <w:smallCaps w:val="false"/>
          <w:sz w:val="20"/>
        </w:rPr>
        <w:t>. Notwithstanding anything herein to the contrary, on the Termination Date, this Warrant shall be automatically exercised via cashless exercise pursuant to Section 2.3. If such automatic exercise would result in the Holder exceeding the Beneficial Ownership Limitation, as defined in Section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hereof, then the Company shall hold in abeyance delivery of any Warrant Shares in excess of such Beneficial Ownership Limitation until such time as the Holder notifies the Company that delivery of such Warrant Shares would not exceed the Beneficial Ownership Limitation.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Holding Period for Cashless Exercise</w:t>
      </w:r>
      <w:r>
        <w:rPr>
          <w:rFonts w:ascii="Times New Roman;Times;Serif" w:hAnsi="Times New Roman;Times;Serif"/>
          <w:b w:val="false"/>
          <w:i w:val="false"/>
          <w:caps w:val="false"/>
          <w:smallCaps w:val="false"/>
          <w:sz w:val="20"/>
        </w:rPr>
        <w:t>. If Warrant Shares are issued in a cashless exercise, the parties acknowledge and agree that in accordance with Section 3(a)(9) of the Securities Act, the holding period of the Warrant Shares being issued may be tacked on to the holding period of this Warrant. Without limiting any other provision in the Transaction Documents,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Hunter Taubman Fischer &amp; Li LLC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2.5.</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Mechanics of Exercise</w:t>
      </w:r>
      <w:r>
        <w:rPr>
          <w:rFonts w:ascii="Times New Roman;Times;Serif" w:hAnsi="Times New Roman;Times;Serif"/>
          <w:b/>
          <w:i w:val="false"/>
          <w:caps w:val="false"/>
          <w:smallCaps w:val="false"/>
          <w:sz w:val="20"/>
        </w:rPr>
        <w:t>.</w:t>
      </w:r>
    </w:p>
    <w:p>
      <w:pPr>
        <w:pStyle w:val="TextBody"/>
        <w:bidi w:val="0"/>
        <w:spacing w:before="0" w:after="0"/>
        <w:ind w:left="2120" w:right="0" w:hanging="719"/>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2.6.1. </w:t>
      </w:r>
      <w:r>
        <w:rPr>
          <w:rFonts w:ascii="Times New Roman;Times;Serif" w:hAnsi="Times New Roman;Times;Serif"/>
          <w:b/>
          <w:i w:val="false"/>
          <w:caps w:val="false"/>
          <w:smallCaps w:val="false"/>
          <w:sz w:val="20"/>
          <w:u w:val="single"/>
        </w:rPr>
        <w:t>Delivery of Warrant Shares upon Exercise</w:t>
      </w:r>
      <w:r>
        <w:rPr>
          <w:rFonts w:ascii="Times New Roman;Times;Serif" w:hAnsi="Times New Roman;Times;Serif"/>
          <w:b w:val="false"/>
          <w:i w:val="false"/>
          <w:caps w:val="false"/>
          <w:smallCaps w:val="false"/>
          <w:sz w:val="20"/>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Times;Serif" w:hAnsi="Times New Roman;Times;Serif"/>
          <w:b/>
          <w:i w:val="false"/>
          <w:caps w:val="false"/>
          <w:smallCaps w:val="false"/>
          <w:sz w:val="20"/>
          <w:u w:val="single"/>
        </w:rPr>
        <w:t>DWAC</w:t>
      </w:r>
      <w:r>
        <w:rPr>
          <w:rFonts w:ascii="Times New Roman;Times;Serif" w:hAnsi="Times New Roman;Times;Serif"/>
          <w:b w:val="false"/>
          <w:i w:val="false"/>
          <w:caps w:val="false"/>
          <w:smallCaps w:val="false"/>
          <w:sz w:val="20"/>
        </w:rPr>
        <w:t>”) if the Company is then a participant in such system and either (A) there is an effective registration statement permitting the issuance of the Warrant Shares to or resale of the Warrant Shares by Holder or (B) the Warrant Shares are eligible for resale by the Holder without volume or manner-of-sale limitations pursuant to Rule 144 (assuming cashless exercise of the Warrants), and otherwise by physical delivery of a certificate or by electronic delivery (at the election of 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Times;Serif" w:hAnsi="Times New Roman;Times;Serif"/>
          <w:b/>
          <w:i w:val="false"/>
          <w:caps w:val="false"/>
          <w:smallCaps w:val="false"/>
          <w:sz w:val="20"/>
          <w:u w:val="single"/>
        </w:rPr>
        <w:t>Warrant Share Delivery Date</w:t>
      </w:r>
      <w:r>
        <w:rPr>
          <w:rFonts w:ascii="Times New Roman;Times;Serif" w:hAnsi="Times New Roman;Times;Serif"/>
          <w:b w:val="false"/>
          <w:i w:val="false"/>
          <w:caps w:val="false"/>
          <w:smallCaps w:val="false"/>
          <w:sz w:val="20"/>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immediately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Times;Serif" w:hAnsi="Times New Roman;Times;Serif"/>
          <w:b/>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Securities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2.6.2. </w:t>
      </w:r>
      <w:r>
        <w:rPr>
          <w:rFonts w:ascii="Times New Roman;Times;Serif" w:hAnsi="Times New Roman;Times;Serif"/>
          <w:b/>
          <w:i w:val="false"/>
          <w:caps w:val="false"/>
          <w:smallCaps w:val="false"/>
          <w:sz w:val="20"/>
          <w:u w:val="single"/>
        </w:rPr>
        <w:t>Delivery of New Warrants Upon Exercise</w:t>
      </w:r>
      <w:r>
        <w:rPr>
          <w:rFonts w:ascii="Times New Roman;Times;Serif" w:hAnsi="Times New Roman;Times;Serif"/>
          <w:b w:val="false"/>
          <w:i w:val="false"/>
          <w:caps w:val="false"/>
          <w:smallCaps w:val="false"/>
          <w:sz w:val="20"/>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2.6.3. </w:t>
      </w:r>
      <w:r>
        <w:rPr>
          <w:rFonts w:ascii="Times New Roman;Times;Serif" w:hAnsi="Times New Roman;Times;Serif"/>
          <w:b/>
          <w:i w:val="false"/>
          <w:caps w:val="false"/>
          <w:smallCaps w:val="false"/>
          <w:sz w:val="20"/>
          <w:u w:val="single"/>
        </w:rPr>
        <w:t>Rescission Rights</w:t>
      </w:r>
      <w:r>
        <w:rPr>
          <w:rFonts w:ascii="Times New Roman;Times;Serif" w:hAnsi="Times New Roman;Times;Serif"/>
          <w:b w:val="false"/>
          <w:i w:val="false"/>
          <w:caps w:val="false"/>
          <w:smallCaps w:val="false"/>
          <w:sz w:val="20"/>
        </w:rPr>
        <w:t>. If the Company fails to cause the Transfer Agent to transmit to the Holder the Warrant Shares pursuant to Section 2.6.1 by the Warrant Share Delivery Date, then the Holder will have the right to rescind such exercise.</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2.6.4. </w:t>
      </w:r>
      <w:r>
        <w:rPr>
          <w:rFonts w:ascii="Times New Roman;Times;Serif" w:hAnsi="Times New Roman;Times;Serif"/>
          <w:b/>
          <w:i w:val="false"/>
          <w:caps w:val="false"/>
          <w:smallCaps w:val="false"/>
          <w:sz w:val="20"/>
          <w:u w:val="single"/>
        </w:rPr>
        <w:t>Compensation for Buy-In on Failure to Timely Deliver Warrant Shares upon Exercise</w:t>
      </w:r>
      <w:r>
        <w:rPr>
          <w:rFonts w:ascii="Times New Roman;Times;Serif" w:hAnsi="Times New Roman;Times;Serif"/>
          <w:b w:val="false"/>
          <w:i w:val="false"/>
          <w:caps w:val="false"/>
          <w:smallCaps w:val="false"/>
          <w:sz w:val="20"/>
        </w:rPr>
        <w:t>. In addition to any other rights available to the Holder, if the Company fails to cause the Transfer Agent to transmit to the Holder the Warrant Shares in accordance with the provisions of Section 2.6.1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Times;Serif" w:hAnsi="Times New Roman;Times;Serif"/>
          <w:b/>
          <w:i w:val="false"/>
          <w:caps w:val="false"/>
          <w:smallCaps w:val="false"/>
          <w:sz w:val="20"/>
          <w:u w:val="single"/>
        </w:rPr>
        <w:t>Buy-In</w:t>
      </w:r>
      <w:r>
        <w:rPr>
          <w:rFonts w:ascii="Times New Roman;Times;Serif" w:hAnsi="Times New Roman;Times;Serif"/>
          <w:b w:val="false"/>
          <w:i w:val="false"/>
          <w:caps w:val="false"/>
          <w:smallCaps w:val="false"/>
          <w:sz w:val="20"/>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2.6.5. </w:t>
      </w:r>
      <w:r>
        <w:rPr>
          <w:rFonts w:ascii="Times New Roman;Times;Serif" w:hAnsi="Times New Roman;Times;Serif"/>
          <w:b/>
          <w:i w:val="false"/>
          <w:caps w:val="false"/>
          <w:smallCaps w:val="false"/>
          <w:sz w:val="20"/>
          <w:u w:val="single"/>
        </w:rPr>
        <w:t>No Fractional Shares or Scrip</w:t>
      </w:r>
      <w:r>
        <w:rPr>
          <w:rFonts w:ascii="Times New Roman;Times;Serif" w:hAnsi="Times New Roman;Times;Serif"/>
          <w:b w:val="false"/>
          <w:i w:val="false"/>
          <w:caps w:val="false"/>
          <w:smallCaps w:val="false"/>
          <w:sz w:val="20"/>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2.6.6. </w:t>
      </w:r>
      <w:r>
        <w:rPr>
          <w:rFonts w:ascii="Times New Roman;Times;Serif" w:hAnsi="Times New Roman;Times;Serif"/>
          <w:b/>
          <w:i w:val="false"/>
          <w:caps w:val="false"/>
          <w:smallCaps w:val="false"/>
          <w:sz w:val="20"/>
          <w:u w:val="single"/>
        </w:rPr>
        <w:t>Charges, Taxes and Expenses</w:t>
      </w:r>
      <w:r>
        <w:rPr>
          <w:rFonts w:ascii="Times New Roman;Times;Serif" w:hAnsi="Times New Roman;Times;Serif"/>
          <w:b w:val="false"/>
          <w:i w:val="false"/>
          <w:caps w:val="false"/>
          <w:smallCaps w:val="false"/>
          <w:sz w:val="20"/>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in the event that Warrant Shares are to be issued in a name other than the name of the Holder, this Warrant when surrendered for exercise shall be accompanied by the Assignment Form attached hereto as </w:t>
      </w:r>
      <w:r>
        <w:rPr>
          <w:rFonts w:ascii="Times New Roman;Times;Serif" w:hAnsi="Times New Roman;Times;Serif"/>
          <w:b w:val="false"/>
          <w:i w:val="false"/>
          <w:caps w:val="false"/>
          <w:smallCaps w:val="false"/>
          <w:sz w:val="20"/>
          <w:u w:val="single"/>
        </w:rPr>
        <w:t>Exhibit</w:t>
      </w:r>
      <w:r>
        <w:rPr>
          <w:rFonts w:ascii="Times New Roman;Times;Serif" w:hAnsi="Times New Roman;Times;Serif"/>
          <w:b w:val="false"/>
          <w:i w:val="false"/>
          <w:caps w:val="false"/>
          <w:smallCaps w:val="false"/>
          <w:sz w:val="20"/>
        </w:rPr>
        <w:t xml:space="preserve"> 2.6.6 duly executed by the Holder and the Company may require, as a condition thereto, the payment of a sum sufficient to reimburse it for any transfer tax incidental thereto. The Company shall pay all Transfer Agent fees required for same- Trading Day processing of any Notice of Exercise and all fees to the Depository Trust Company (or another established clearing corporation performing similar functions) required for same-Trading Day electronic delivery of the Warrant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2.6.7. </w:t>
      </w:r>
      <w:r>
        <w:rPr>
          <w:rFonts w:ascii="Times New Roman;Times;Serif" w:hAnsi="Times New Roman;Times;Serif"/>
          <w:b/>
          <w:i w:val="false"/>
          <w:caps w:val="false"/>
          <w:smallCaps w:val="false"/>
          <w:sz w:val="20"/>
          <w:u w:val="single"/>
        </w:rPr>
        <w:t>Closing of Books</w:t>
      </w:r>
      <w:r>
        <w:rPr>
          <w:rFonts w:ascii="Times New Roman;Times;Serif" w:hAnsi="Times New Roman;Times;Serif"/>
          <w:b w:val="false"/>
          <w:i w:val="false"/>
          <w:caps w:val="false"/>
          <w:smallCaps w:val="false"/>
          <w:sz w:val="20"/>
        </w:rPr>
        <w:t>. The Company will not close its stockholder books or records in any manner which prevents the timely exercise of this Warrant, pursuant to the terms hereof.</w:t>
      </w:r>
    </w:p>
    <w:p>
      <w:pPr>
        <w:pStyle w:val="TextBody"/>
        <w:bidi w:val="0"/>
        <w:spacing w:before="0" w:after="0"/>
        <w:ind w:left="72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i w:val="false"/>
          <w:caps w:val="false"/>
          <w:smallCaps w:val="false"/>
          <w:sz w:val="20"/>
          <w:u w:val="single"/>
        </w:rPr>
        <w:t>Holder’s Exercise Limitations</w:t>
      </w:r>
      <w:r>
        <w:rPr>
          <w:rFonts w:ascii="Times New Roman;Times;Serif" w:hAnsi="Times New Roman;Times;Serif"/>
          <w:b w:val="false"/>
          <w:i w:val="false"/>
          <w:caps w:val="false"/>
          <w:smallCaps w:val="false"/>
          <w:sz w:val="20"/>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Times;Serif" w:hAnsi="Times New Roman;Times;Serif"/>
          <w:b/>
          <w:i w:val="false"/>
          <w:caps w:val="false"/>
          <w:smallCaps w:val="false"/>
          <w:sz w:val="20"/>
          <w:u w:val="single"/>
        </w:rPr>
        <w:t>Attribution Parties</w:t>
      </w:r>
      <w:r>
        <w:rPr>
          <w:rFonts w:ascii="Times New Roman;Times;Serif" w:hAnsi="Times New Roman;Times;Serif"/>
          <w:b w:val="false"/>
          <w:i w:val="false"/>
          <w:caps w:val="false"/>
          <w:smallCaps w:val="false"/>
          <w:sz w:val="20"/>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2.7,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2.7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2.7,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Times;Serif" w:hAnsi="Times New Roman;Times;Serif"/>
          <w:b/>
          <w:i w:val="false"/>
          <w:caps w:val="false"/>
          <w:smallCaps w:val="false"/>
          <w:sz w:val="20"/>
          <w:u w:val="single"/>
        </w:rPr>
        <w:t>Beneficial Ownership Limitation</w:t>
      </w:r>
      <w:r>
        <w:rPr>
          <w:rFonts w:ascii="Times New Roman;Times;Serif" w:hAnsi="Times New Roman;Times;Serif"/>
          <w:b w:val="false"/>
          <w:i w:val="false"/>
          <w:caps w:val="false"/>
          <w:smallCaps w:val="false"/>
          <w:sz w:val="20"/>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2.7,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2.7 shall continue to apply. Any increase in the Beneficial Ownership Limitation will not be effective until sixty-one (61) Calendar Days after such notice is delivered to the Company. The provisions of this paragraph shall be construed and implemented in a manner otherwise than in strict conformity with the terms of this Section 2.7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Notwithstanding anything to the contrary contained in this Warrant, unless and until Stockholder Approval is obtained, the Company shall not issue any shares of Common Stock upon exercise of this Warrant to the extent that such issuance, when aggregated with all other shares of Common Stock issued or issuable pursuant to the Transaction Documents, would exceed the Exchange Cap. Any portion of this Warrant that is not exercisable as a result of the operation of this Section shall remain outstanding and shall become exercisable at such time, if ever, as such exercise would no longer cause the Exchange Cap to be exceeded, or upon Stockholder Approval being obtained, whichever occurs first.</w:t>
      </w:r>
    </w:p>
    <w:p>
      <w:pPr>
        <w:pStyle w:val="TextBody"/>
        <w:bidi w:val="0"/>
        <w:spacing w:before="0" w:after="0"/>
        <w:ind w:left="72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2050" w:type="dxa"/>
        <w:jc w:val="left"/>
        <w:tblInd w:w="0" w:type="dxa"/>
        <w:tblLayout w:type="fixed"/>
        <w:tblCellMar>
          <w:top w:w="0" w:type="dxa"/>
          <w:left w:w="0" w:type="dxa"/>
          <w:bottom w:w="0" w:type="dxa"/>
          <w:right w:w="0" w:type="dxa"/>
        </w:tblCellMar>
      </w:tblPr>
      <w:tblGrid>
        <w:gridCol w:w="75"/>
        <w:gridCol w:w="170"/>
        <w:gridCol w:w="18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8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Certain Adjustments</w:t>
            </w:r>
            <w:r>
              <w:rPr>
                <w:rFonts w:ascii="Times New Roman;Times;Serif" w:hAnsi="Times New Roman;Times;Serif"/>
                <w:b/>
                <w:i w:val="false"/>
                <w:caps w:val="false"/>
                <w:smallCaps w:val="false"/>
                <w:sz w:val="20"/>
              </w:rPr>
              <w:t>.</w:t>
            </w:r>
          </w:p>
        </w:tc>
      </w:tr>
    </w:tbl>
    <w:p>
      <w:pPr>
        <w:pStyle w:val="TextBody"/>
        <w:bidi w:val="0"/>
        <w:spacing w:before="0" w:after="0"/>
        <w:ind w:left="140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Stock Dividends and Splits</w:t>
      </w:r>
      <w:r>
        <w:rPr>
          <w:rFonts w:ascii="Times New Roman;Times;Serif" w:hAnsi="Times New Roman;Times;Serif"/>
          <w:b w:val="false"/>
          <w:i w:val="false"/>
          <w:caps w:val="false"/>
          <w:smallCaps w:val="false"/>
          <w:sz w:val="20"/>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Subsequent Equity Sales</w:t>
      </w:r>
      <w:r>
        <w:rPr>
          <w:rFonts w:ascii="Times New Roman;Times;Serif" w:hAnsi="Times New Roman;Times;Serif"/>
          <w:b w:val="false"/>
          <w:i w:val="false"/>
          <w:caps w:val="false"/>
          <w:smallCaps w:val="false"/>
          <w:sz w:val="20"/>
        </w:rPr>
        <w:t>. If, at any time from and after the occurrence of the Anti- Dilution Trigger Event and continuing thereafter until the Termination Date (such period, the “</w:t>
      </w:r>
      <w:r>
        <w:rPr>
          <w:rFonts w:ascii="Times New Roman;Times;Serif" w:hAnsi="Times New Roman;Times;Serif"/>
          <w:b/>
          <w:i w:val="false"/>
          <w:caps w:val="false"/>
          <w:smallCaps w:val="false"/>
          <w:sz w:val="20"/>
          <w:u w:val="single"/>
        </w:rPr>
        <w:t>Subsequent Issuance Adjustment Period</w:t>
      </w:r>
      <w:r>
        <w:rPr>
          <w:rFonts w:ascii="Times New Roman;Times;Serif" w:hAnsi="Times New Roman;Times;Serif"/>
          <w:b w:val="false"/>
          <w:i w:val="false"/>
          <w:caps w:val="false"/>
          <w:smallCaps w:val="false"/>
          <w:sz w:val="20"/>
        </w:rPr>
        <w:t>”),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3.2, is deemed to have issued or sold, any shares of Common Stock or Common Stock Equivalents for a consideration per share less than a price equal to the Exercise Price in effect immediately prior to such issue or sale or deemed issuance or sale (such Exercise Price then in effect is referred to as the “</w:t>
      </w:r>
      <w:r>
        <w:rPr>
          <w:rFonts w:ascii="Times New Roman;Times;Serif" w:hAnsi="Times New Roman;Times;Serif"/>
          <w:b/>
          <w:i w:val="false"/>
          <w:caps w:val="false"/>
          <w:smallCaps w:val="false"/>
          <w:sz w:val="20"/>
          <w:u w:val="single"/>
        </w:rPr>
        <w:t>Applicable Price</w:t>
      </w:r>
      <w:r>
        <w:rPr>
          <w:rFonts w:ascii="Times New Roman;Times;Serif" w:hAnsi="Times New Roman;Times;Serif"/>
          <w:b w:val="false"/>
          <w:i w:val="false"/>
          <w:caps w:val="false"/>
          <w:smallCaps w:val="false"/>
          <w:sz w:val="20"/>
        </w:rPr>
        <w:t>”) (the foregoing a “</w:t>
      </w:r>
      <w:r>
        <w:rPr>
          <w:rFonts w:ascii="Times New Roman;Times;Serif" w:hAnsi="Times New Roman;Times;Serif"/>
          <w:b/>
          <w:i w:val="false"/>
          <w:caps w:val="false"/>
          <w:smallCaps w:val="false"/>
          <w:sz w:val="20"/>
          <w:u w:val="single"/>
        </w:rPr>
        <w:t>Dilutive Issuance</w:t>
      </w:r>
      <w:r>
        <w:rPr>
          <w:rFonts w:ascii="Times New Roman;Times;Serif" w:hAnsi="Times New Roman;Times;Serif"/>
          <w:b w:val="false"/>
          <w:i w:val="false"/>
          <w:caps w:val="false"/>
          <w:smallCaps w:val="false"/>
          <w:sz w:val="20"/>
        </w:rPr>
        <w:t>”), then simultaneously with the consummation (or, if earlier, the announcement) of such Dilutive Issuance, the Exercise Price then in effect shall be reduced to an amount equal to the lower of (a) the Dilutive Issuance price or (b) the lowest VWAP during the five (5) consecutive Trading Days immediately following the Dilutive Issuance (such lower price, the “</w:t>
      </w:r>
      <w:r>
        <w:rPr>
          <w:rFonts w:ascii="Times New Roman;Times;Serif" w:hAnsi="Times New Roman;Times;Serif"/>
          <w:b/>
          <w:i w:val="false"/>
          <w:caps w:val="false"/>
          <w:smallCaps w:val="false"/>
          <w:sz w:val="20"/>
          <w:u w:val="single"/>
        </w:rPr>
        <w:t>Base Share Price</w:t>
      </w:r>
      <w:r>
        <w:rPr>
          <w:rFonts w:ascii="Times New Roman;Times;Serif" w:hAnsi="Times New Roman;Times;Serif"/>
          <w:b w:val="false"/>
          <w:i w:val="false"/>
          <w:caps w:val="false"/>
          <w:smallCaps w:val="false"/>
          <w:sz w:val="20"/>
        </w:rPr>
        <w:t>”). Notwithstanding the foregoing, no adjustments shall be made, paid or issued under this Section 3.2 in respect of an Exempt Issuance. For the avoidance of doubt, in the event the Exercise Price has been adjusted pursuant to this Section 3.2 and the Dilutive Issuance that triggered such adjustment does not occur, is not consummated, is unwound or is cancelled after the facts for any reason whatsoever, in no event shall the Exercise Price be readjusted to the Exercise Price that would have been in effect if such Dilutive Issuance had not occurred or been consummated. For all purposes of the foregoing, the following shall be applicable: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val="false"/>
          <w:caps w:val="false"/>
          <w:smallCaps w:val="false"/>
          <w:sz w:val="20"/>
          <w:u w:val="single"/>
        </w:rPr>
        <w:t>Issuance of Options</w:t>
      </w:r>
      <w:r>
        <w:rPr>
          <w:rFonts w:ascii="Times New Roman;Times;Serif" w:hAnsi="Times New Roman;Times;Serif"/>
          <w:b w:val="false"/>
          <w:i w:val="false"/>
          <w:caps w:val="false"/>
          <w:smallCaps w:val="false"/>
          <w:sz w:val="20"/>
        </w:rPr>
        <w:t>. If, during the Subsequent Issuance Adjustment Period, the Company in any manner grants or sells any Options and the lowest price per share for which one share of Common Stock is issuable upon the exercise of any such Option or upon conversion, exercise or exchange of any convertible securities (“</w:t>
      </w:r>
      <w:r>
        <w:rPr>
          <w:rFonts w:ascii="Times New Roman;Times;Serif" w:hAnsi="Times New Roman;Times;Serif"/>
          <w:b/>
          <w:i w:val="false"/>
          <w:caps w:val="false"/>
          <w:smallCaps w:val="false"/>
          <w:sz w:val="20"/>
          <w:u w:val="single"/>
        </w:rPr>
        <w:t>Convertible Securities</w:t>
      </w:r>
      <w:r>
        <w:rPr>
          <w:rFonts w:ascii="Times New Roman;Times;Serif" w:hAnsi="Times New Roman;Times;Serif"/>
          <w:b w:val="false"/>
          <w:i w:val="false"/>
          <w:caps w:val="false"/>
          <w:smallCaps w:val="false"/>
          <w:sz w:val="20"/>
        </w:rPr>
        <w:t>”) issuable upon exercise of any such Option (such shares of Common Stock issuable upon such exercise of any Option or upon conversion, exercise or exchange of any Convertible Securities, the “</w:t>
      </w:r>
      <w:r>
        <w:rPr>
          <w:rFonts w:ascii="Times New Roman;Times;Serif" w:hAnsi="Times New Roman;Times;Serif"/>
          <w:b/>
          <w:i w:val="false"/>
          <w:caps w:val="false"/>
          <w:smallCaps w:val="false"/>
          <w:sz w:val="20"/>
          <w:u w:val="single"/>
        </w:rPr>
        <w:t>Convertible Securities Shares</w:t>
      </w:r>
      <w:r>
        <w:rPr>
          <w:rFonts w:ascii="Times New Roman;Times;Serif" w:hAnsi="Times New Roman;Times;Serif"/>
          <w:b w:val="false"/>
          <w:i w:val="false"/>
          <w:caps w:val="false"/>
          <w:smallCaps w:val="false"/>
          <w:sz w:val="20"/>
        </w:rPr>
        <w:t>”) is less than the Applicable Price, then such shares of Common Stock shall be deemed to be outstanding and to have been issued and sold by the Company at the time of the granting or sale of such Option for such price per share. For purposes of this Section 3.2.1, the “lowest price per share for which one share of Common Stock is issuable upon the exercise of any such Option or upon conversion, exercise or exchange of any Convertible Securities issuable upon exercise of any such Option” shall be equal to (A) the sum of (1) the lowest amount of consideration (if any) received or receivable by the Company with respect to any one Convertible Securities Share upon the granting or sale of such Option, upon exercise of such Option and upon conversion, exercise or exchange of any Convertible Security issuable upon exercise of such Option and (2) the lowest exercise price set forth in such Option for which one Convertible Securities Share is issuable upon the exercise of any such Option or upon conversion, exercise or exchange of any Convertible Securities issuable upon exercise of any such Option, minus (B) the sum of all amounts paid or payable to the holder of such Option (or any other Person), with respect to any one Convertible Securities Share, upon the granting or sale of such Option, upon exercise of such Option and upon conversion, exercise or exchange of any Convertible Security issuable upon exercise of such Option plus the value of any other consideration received or receivable by, or benefit conferred on, the holder of such Option (or any other Person), with respect to any one Convertible Securities Share. Except as contemplated below, no further adjustment of the Exercise Price shall be made upon the actual issuance of such Convertible Securities Share or of such Convertible Securities upon the exercise of such Options or upon the actual issuance of such Convertible Securities Share upon conversion, exercise or exchange of such Convertible Securities.</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val="false"/>
          <w:caps w:val="false"/>
          <w:smallCaps w:val="false"/>
          <w:sz w:val="20"/>
          <w:u w:val="single"/>
        </w:rPr>
        <w:t>Issuance of Convertible Securities</w:t>
      </w:r>
      <w:r>
        <w:rPr>
          <w:rFonts w:ascii="Times New Roman;Times;Serif" w:hAnsi="Times New Roman;Times;Serif"/>
          <w:b w:val="false"/>
          <w:i w:val="false"/>
          <w:caps w:val="false"/>
          <w:smallCaps w:val="false"/>
          <w:sz w:val="20"/>
        </w:rPr>
        <w:t>. If, during the Subsequent Issuance Adjustment Period , the Company in any manner issues or sells any Convertible Securities and the lowest price per share for which one Convertible Securities Share is issuable upon the conversion, exercise or exchange thereof is less than the Applicable Price, then such Convertible Securities Share shall be deemed to be outstanding and to have been issued and sold by the Company at the time of the issuance or sale of such Convertible Securities for such price per share. For the purposes of this Section 3.2.2, the “lowest price per share for which one Convertible Securities Share is issuable upon the conversion, exercise or exchange thereof” shall be equal to (A) the sum of (1) the lowest amount of consideration (if any) received or receivable by the Company with respect to one Convertible Securities Share upon the issuance or sale of the Convertible Security and upon conversion, exercise or exchange of such Convertible Security and (2) the lowest conversion price set forth in such Convertible Security for which one Convertible Securities Share is issuable upon conversion, exercise or exchange thereof, minus (B) the sum of all amounts paid or payable to the holder of such Convertible Security (or any other Person), with respect to any one Convertible Securities Share, upon the issuance or sale of such Convertible Security plus the value of any other consideration received or receivable by, or benefit conferred on, the holder of such Convertible Security (or any other Person), with respect to any one Convertible Securities Share. Except as contemplated below, no further adjustment of the Exercise Price shall be made upon the actual issuance of such Convertible Securities Share upon conversion, exercise or exchange of such Convertible Securities, and if any such issue or sale of such Convertible Securities is made upon exercise of any Options for which adjustment of the Exercise Price has been or is to be made pursuant to other provisions of this Section 3.2, except as contemplated below, no further adjustment of the Exercise Price shall be made by reason of such issue or sale.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val="false"/>
          <w:caps w:val="false"/>
          <w:smallCaps w:val="false"/>
          <w:sz w:val="20"/>
          <w:u w:val="single"/>
        </w:rPr>
        <w:t>Change in Option Price or Rate of Conversion</w:t>
      </w:r>
      <w:r>
        <w:rPr>
          <w:rFonts w:ascii="Times New Roman;Times;Serif" w:hAnsi="Times New Roman;Times;Serif"/>
          <w:b w:val="false"/>
          <w:i w:val="false"/>
          <w:caps w:val="false"/>
          <w:smallCaps w:val="false"/>
          <w:sz w:val="20"/>
        </w:rPr>
        <w:t>. If, during the Subsequent Issuance Adjustment Period ,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an event referred to in Section 3.1),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For purposes of this Section 3.2.3, if the terms of any Option or Convertible Security that was outstanding as of the date of issuance of this Warrant are increased or decreased in the manner described in the immediately preceding sentence, then such Option or Convertible Security and the Convertible Securities Share deemed issuable upon exercise, conversion or exchange thereof shall be deemed to have been issued as of the date of such increase or decrease. No adjustment pursuant to this Section 3.2 shall be made if such adjustment would result in an increase of the Exercise Price then in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val="false"/>
          <w:caps w:val="false"/>
          <w:smallCaps w:val="false"/>
          <w:sz w:val="20"/>
          <w:u w:val="single"/>
        </w:rPr>
        <w:t>Calculation of Consideration Received</w:t>
      </w:r>
      <w:r>
        <w:rPr>
          <w:rFonts w:ascii="Times New Roman;Times;Serif" w:hAnsi="Times New Roman;Times;Serif"/>
          <w:b w:val="false"/>
          <w:i w:val="false"/>
          <w:caps w:val="false"/>
          <w:smallCaps w:val="false"/>
          <w:sz w:val="20"/>
        </w:rPr>
        <w:t>. If any Option or Convertible Security is issued in connection with the issuance or sale or deemed issuance or sale of any other securities of the Company (the “</w:t>
      </w:r>
      <w:r>
        <w:rPr>
          <w:rFonts w:ascii="Times New Roman;Times;Serif" w:hAnsi="Times New Roman;Times;Serif"/>
          <w:b/>
          <w:i w:val="false"/>
          <w:caps w:val="false"/>
          <w:smallCaps w:val="false"/>
          <w:sz w:val="20"/>
          <w:u w:val="single"/>
        </w:rPr>
        <w:t>Primary Security</w:t>
      </w:r>
      <w:r>
        <w:rPr>
          <w:rFonts w:ascii="Times New Roman;Times;Serif" w:hAnsi="Times New Roman;Times;Serif"/>
          <w:b w:val="false"/>
          <w:i w:val="false"/>
          <w:caps w:val="false"/>
          <w:smallCaps w:val="false"/>
          <w:sz w:val="20"/>
        </w:rPr>
        <w:t>”, and such Option or Convertible Security, the “</w:t>
      </w:r>
      <w:r>
        <w:rPr>
          <w:rFonts w:ascii="Times New Roman;Times;Serif" w:hAnsi="Times New Roman;Times;Serif"/>
          <w:b/>
          <w:i w:val="false"/>
          <w:caps w:val="false"/>
          <w:smallCaps w:val="false"/>
          <w:sz w:val="20"/>
          <w:u w:val="single"/>
        </w:rPr>
        <w:t>Secondary Securities</w:t>
      </w:r>
      <w:r>
        <w:rPr>
          <w:rFonts w:ascii="Times New Roman;Times;Serif" w:hAnsi="Times New Roman;Times;Serif"/>
          <w:b w:val="false"/>
          <w:i w:val="false"/>
          <w:caps w:val="false"/>
          <w:smallCaps w:val="false"/>
          <w:sz w:val="20"/>
        </w:rPr>
        <w:t>” and together with the Primary Security, each a “</w:t>
      </w:r>
      <w:r>
        <w:rPr>
          <w:rFonts w:ascii="Times New Roman;Times;Serif" w:hAnsi="Times New Roman;Times;Serif"/>
          <w:b/>
          <w:i w:val="false"/>
          <w:caps w:val="false"/>
          <w:smallCaps w:val="false"/>
          <w:sz w:val="20"/>
          <w:u w:val="single"/>
        </w:rPr>
        <w:t>Unit</w:t>
      </w:r>
      <w:r>
        <w:rPr>
          <w:rFonts w:ascii="Times New Roman;Times;Serif" w:hAnsi="Times New Roman;Times;Serif"/>
          <w:b w:val="false"/>
          <w:i w:val="false"/>
          <w:caps w:val="false"/>
          <w:smallCaps w:val="false"/>
          <w:sz w:val="20"/>
        </w:rPr>
        <w:t>”), together comprising one integrated transaction, the aggregate consideration per share with respect to such Primary Security shall be deemed to be the lowest of (x) the purchase price of such Unit, (y) if such Primary Security is an Option and/or Convertible Security, the lowest price per share for which one share of Common Stock is at any time issuable upon the exercise or conversion of the Primary Security in accordance with Section 3.2.1 or 3.2.2 above and (z) the lowest VWAP of the shares of Common Stock on any Trading Day during the five (5) consecutive Trading Days immediately following the public announcement of such Dilutive Issuance (for the avoidance of doubt, if such public announcement is released prior to the opening of the Principal Market on a Trading Day, such Trading Day shall be the first Trading Day in such five (5) Trading Day period). If any shares of Common Stock, Options or Convertible Securities are issued or sold or deemed to have been issued or sold for cash, the consideration received therefor will be deemed to be the net amount of cash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market value of such portion of the net assets and business of the non-surviving entity as is attributable to such shares of Common Stock, Options or Convertible Securities (as the case may be). The fair market value of any consideration other than cash or publicly traded securities will be determined jointly by the Company and the Holder. If such parties are unable to reach agreement within ten (10) Business Days after the occurrence of an event requiring valuation (the “</w:t>
      </w:r>
      <w:r>
        <w:rPr>
          <w:rFonts w:ascii="Times New Roman;Times;Serif" w:hAnsi="Times New Roman;Times;Serif"/>
          <w:b/>
          <w:i w:val="false"/>
          <w:caps w:val="false"/>
          <w:smallCaps w:val="false"/>
          <w:sz w:val="20"/>
          <w:u w:val="single"/>
        </w:rPr>
        <w:t>Valuation Event</w:t>
      </w:r>
      <w:r>
        <w:rPr>
          <w:rFonts w:ascii="Times New Roman;Times;Serif" w:hAnsi="Times New Roman;Times;Serif"/>
          <w:b w:val="false"/>
          <w:i w:val="false"/>
          <w:caps w:val="false"/>
          <w:smallCaps w:val="false"/>
          <w:sz w:val="20"/>
        </w:rPr>
        <w:t>”), the fair market value of such consideration will be determined within five (5) Business Days after the tenth (10th) Business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val="false"/>
          <w:caps w:val="false"/>
          <w:smallCaps w:val="false"/>
          <w:sz w:val="20"/>
          <w:u w:val="single"/>
        </w:rPr>
        <w:t>Record Date</w:t>
      </w:r>
      <w:r>
        <w:rPr>
          <w:rFonts w:ascii="Times New Roman;Times;Serif" w:hAnsi="Times New Roman;Times;Serif"/>
          <w:b w:val="false"/>
          <w:i w:val="false"/>
          <w:caps w:val="false"/>
          <w:smallCaps w:val="false"/>
          <w:sz w:val="20"/>
        </w:rPr>
        <w:t>. If, during the Subsequent Issuance Adjustment Period , the Company takes a record of stockholders for the purpose of entitling them (A) to receive a dividend or other distribution payable in shares of Common Stock, Options or in Convertible Securities or (B) to subscribe for or purchase shares of Common Stock, Options or Convertible Securities, then such record date will be deemed to be the date of the issue or sale of shares of Common Stock deemed to have been issued or sold upon the declaration of such dividend or the making of such other distribution or the date of the granting of such right of subscription or purchase (as the case may be).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Subsequent Rights Offerings</w:t>
      </w:r>
      <w:r>
        <w:rPr>
          <w:rFonts w:ascii="Times New Roman;Times;Serif" w:hAnsi="Times New Roman;Times;Serif"/>
          <w:b w:val="false"/>
          <w:i w:val="false"/>
          <w:caps w:val="false"/>
          <w:smallCaps w:val="false"/>
          <w:sz w:val="20"/>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Times;Serif" w:hAnsi="Times New Roman;Times;Serif"/>
          <w:b/>
          <w:i w:val="false"/>
          <w:caps w:val="false"/>
          <w:smallCaps w:val="false"/>
          <w:sz w:val="20"/>
          <w:u w:val="single"/>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spacing w:before="0" w:after="0"/>
        <w:ind w:left="720" w:right="0" w:hanging="719"/>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i w:val="false"/>
          <w:caps w:val="false"/>
          <w:smallCaps w:val="false"/>
          <w:sz w:val="20"/>
          <w:u w:val="single"/>
        </w:rPr>
        <w:t>Pro Rata Distributions</w:t>
      </w:r>
      <w:r>
        <w:rPr>
          <w:rFonts w:ascii="Times New Roman;Times;Serif" w:hAnsi="Times New Roman;Times;Serif"/>
          <w:b w:val="false"/>
          <w:i w:val="false"/>
          <w:caps w:val="false"/>
          <w:smallCaps w:val="false"/>
          <w:sz w:val="20"/>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Times;Serif" w:hAnsi="Times New Roman;Times;Serif"/>
          <w:b/>
          <w:i w:val="false"/>
          <w:caps w:val="false"/>
          <w:smallCaps w:val="false"/>
          <w:sz w:val="20"/>
          <w:u w:val="single"/>
        </w:rPr>
        <w:t>Distribution</w:t>
      </w:r>
      <w:r>
        <w:rPr>
          <w:rFonts w:ascii="Times New Roman;Times;Serif" w:hAnsi="Times New Roman;Times;Serif"/>
          <w:b w:val="false"/>
          <w:i w:val="false"/>
          <w:caps w:val="false"/>
          <w:smallCaps w:val="false"/>
          <w:sz w:val="20"/>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Times;Serif" w:hAnsi="Times New Roman;Times;Serif"/>
          <w:b/>
          <w:i w:val="false"/>
          <w:caps w:val="false"/>
          <w:smallCaps w:val="false"/>
          <w:sz w:val="20"/>
          <w:u w:val="single"/>
        </w:rPr>
        <w:t>Fundamental Transaction</w:t>
      </w:r>
      <w:r>
        <w:rPr>
          <w:rFonts w:ascii="Times New Roman;Times;Serif" w:hAnsi="Times New Roman;Times;Serif"/>
          <w:b w:val="false"/>
          <w:i w:val="false"/>
          <w:caps w:val="false"/>
          <w:smallCaps w:val="false"/>
          <w:sz w:val="20"/>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2.7 on the exercise of this Warrant), the number of shares of Common Stock of the successor or acquiring corporation or of the Company, if it is the surviving corporation, and any additional consideration (the “</w:t>
      </w:r>
      <w:r>
        <w:rPr>
          <w:rFonts w:ascii="Times New Roman;Times;Serif" w:hAnsi="Times New Roman;Times;Serif"/>
          <w:b/>
          <w:i w:val="false"/>
          <w:caps w:val="false"/>
          <w:smallCaps w:val="false"/>
          <w:sz w:val="20"/>
          <w:u w:val="single"/>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Warrant is exercisable immediately prior to such Fundamental Transaction (without regard to any limitation in Section 2.7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Trading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stock/shares of the Successor Entity (which Entity may be the Company following such Fundamental Transaction) in such Fundamental Transaction. “</w:t>
      </w:r>
      <w:r>
        <w:rPr>
          <w:rFonts w:ascii="Times New Roman;Times;Serif" w:hAnsi="Times New Roman;Times;Serif"/>
          <w:b/>
          <w:i w:val="false"/>
          <w:caps w:val="false"/>
          <w:smallCaps w:val="false"/>
          <w:sz w:val="20"/>
          <w:u w:val="single"/>
        </w:rPr>
        <w:t>Black Scholes Value</w:t>
      </w:r>
      <w:r>
        <w:rPr>
          <w:rFonts w:ascii="Times New Roman;Times;Serif" w:hAnsi="Times New Roman;Times;Serif"/>
          <w:b w:val="false"/>
          <w:i w:val="false"/>
          <w:caps w:val="false"/>
          <w:smallCaps w:val="false"/>
          <w:sz w:val="20"/>
        </w:rPr>
        <w:t>” means the value of this Warrant based on the Black-Scholes Option Pricing Model obtained from the “OV” function on Bloomberg, L.P. (“</w:t>
      </w:r>
      <w:r>
        <w:rPr>
          <w:rFonts w:ascii="Times New Roman;Times;Serif" w:hAnsi="Times New Roman;Times;Serif"/>
          <w:b/>
          <w:i w:val="false"/>
          <w:caps w:val="false"/>
          <w:smallCaps w:val="false"/>
          <w:sz w:val="20"/>
          <w:u w:val="single"/>
        </w:rPr>
        <w:t>Bloomberg</w:t>
      </w:r>
      <w:r>
        <w:rPr>
          <w:rFonts w:ascii="Times New Roman;Times;Serif" w:hAnsi="Times New Roman;Times;Serif"/>
          <w:b w:val="false"/>
          <w:i w:val="false"/>
          <w:caps w:val="false"/>
          <w:smallCaps w:val="false"/>
          <w:sz w:val="20"/>
        </w:rPr>
        <w:t>”) determined as of the Trading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 100% and (2) the 100 day volatility as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3.5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the later of (i) five (5) Business Days after the Holder’s election and (ii) the date of consummation of the Fundamental Transaction. The Company shall cause any successor entity in a Fundamental Transaction in which the Company is not the survivor (the “</w:t>
      </w:r>
      <w:r>
        <w:rPr>
          <w:rFonts w:ascii="Times New Roman;Times;Serif" w:hAnsi="Times New Roman;Times;Serif"/>
          <w:b/>
          <w:i w:val="false"/>
          <w:caps w:val="false"/>
          <w:smallCaps w:val="false"/>
          <w:sz w:val="20"/>
          <w:u w:val="single"/>
        </w:rPr>
        <w:t>Successor Entity</w:t>
      </w:r>
      <w:r>
        <w:rPr>
          <w:rFonts w:ascii="Times New Roman;Times;Serif" w:hAnsi="Times New Roman;Times;Serif"/>
          <w:b w:val="false"/>
          <w:i w:val="false"/>
          <w:caps w:val="false"/>
          <w:smallCaps w:val="false"/>
          <w:sz w:val="20"/>
        </w:rPr>
        <w:t>”) to assume in writing all of the obligations of the Company under this Warrant and the other Transaction Documents in accordance with the provisions of this Section 3.5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prior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3.5 regardless of (i) whether the Company has sufficient authorized shares of Common Stock for the issuance of Warrant Shares and/or (ii) whether a Fundamental Transaction occurs prior to the Initial Exercise Date.</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3 shall be made to the nearest fraction of a cent as in the initial Exercise Price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i w:val="false"/>
          <w:caps w:val="false"/>
          <w:smallCaps w:val="false"/>
          <w:sz w:val="20"/>
          <w:u w:val="single"/>
        </w:rPr>
        <w:t>Notice to Holder</w:t>
      </w:r>
      <w:r>
        <w:rPr>
          <w:rFonts w:ascii="Times New Roman;Times;Serif" w:hAnsi="Times New Roman;Times;Serif"/>
          <w:b/>
          <w:i w:val="false"/>
          <w:caps w:val="false"/>
          <w:smallCaps w:val="false"/>
          <w:sz w:val="20"/>
        </w:rPr>
        <w:t>.</w:t>
      </w:r>
    </w:p>
    <w:p>
      <w:pPr>
        <w:pStyle w:val="TextBody"/>
        <w:bidi w:val="0"/>
        <w:spacing w:before="0" w:after="0"/>
        <w:ind w:left="2120" w:right="0" w:hanging="719"/>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3.7.1. </w:t>
      </w:r>
      <w:r>
        <w:rPr>
          <w:rFonts w:ascii="Times New Roman;Times;Serif" w:hAnsi="Times New Roman;Times;Serif"/>
          <w:b/>
          <w:i w:val="false"/>
          <w:caps w:val="false"/>
          <w:smallCaps w:val="false"/>
          <w:sz w:val="20"/>
          <w:u w:val="single"/>
        </w:rPr>
        <w:t>Adjustment to Exercise Price</w:t>
      </w:r>
      <w:r>
        <w:rPr>
          <w:rFonts w:ascii="Times New Roman;Times;Serif" w:hAnsi="Times New Roman;Times;Serif"/>
          <w:b w:val="false"/>
          <w:i w:val="false"/>
          <w:caps w:val="false"/>
          <w:smallCaps w:val="false"/>
          <w:sz w:val="20"/>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3.7.2. </w:t>
      </w:r>
      <w:r>
        <w:rPr>
          <w:rFonts w:ascii="Times New Roman;Times;Serif" w:hAnsi="Times New Roman;Times;Serif"/>
          <w:b/>
          <w:i w:val="false"/>
          <w:caps w:val="false"/>
          <w:smallCaps w:val="false"/>
          <w:sz w:val="20"/>
          <w:u w:val="single"/>
        </w:rPr>
        <w:t>Notice to Allow Exercise by Holder</w:t>
      </w:r>
      <w:r>
        <w:rPr>
          <w:rFonts w:ascii="Times New Roman;Times;Serif" w:hAnsi="Times New Roman;Times;Serif"/>
          <w:b w:val="false"/>
          <w:i w:val="false"/>
          <w:caps w:val="false"/>
          <w:smallCaps w:val="false"/>
          <w:sz w:val="20"/>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Trading Market and the consent of the Holder, the Company may at any time during the term of this Warrant reduce the then current Exercise Price to any amount and for any period of time deemed appropriate by the Board of Directors.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shall hold a special meeting of stockholders (which may also be at the annual meeting of stockholders; such meeting, the “</w:t>
      </w:r>
      <w:r>
        <w:rPr>
          <w:rFonts w:ascii="Times New Roman;Times;Serif" w:hAnsi="Times New Roman;Times;Serif"/>
          <w:b/>
          <w:i w:val="false"/>
          <w:caps w:val="false"/>
          <w:smallCaps w:val="false"/>
          <w:sz w:val="20"/>
          <w:u w:val="single"/>
        </w:rPr>
        <w:t>Stockholder Approval Meeting</w:t>
      </w:r>
      <w:r>
        <w:rPr>
          <w:rFonts w:ascii="Times New Roman;Times;Serif" w:hAnsi="Times New Roman;Times;Serif"/>
          <w:b w:val="false"/>
          <w:i w:val="false"/>
          <w:caps w:val="false"/>
          <w:smallCaps w:val="false"/>
          <w:sz w:val="20"/>
        </w:rPr>
        <w:t>”) at the earliest practicable date after the date hereof, but in no event later than sixty (60) Calendar Days after the Closing Date for the purpose of obtaining Stockholder Approval, if required to effect the purpose thereof, with the recommendation of the Board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Stockholder Approval, and officers, directors, and shareholders subject to the Lock-Up Agreement shall cast their proxies in favor of such proposal. The Stockholder Approval Meeting shall not be held between 9:30 a.m. (New York City time) and 4:02 p.m. (New York City time) on any Trading Day, and the Company shall file a Current Report on Form 8-K announcing the voting results of the Stockholder Approval Meeting prior to 9:00 a.m. (New York City time) on the Trading Day immediately following the Stockholder Approval Meeting (i.e., the same Trading Day if the Stockholder Approval Meeting is held prior to 9:30 a.m. (New York City time) on a Trading Day). If the Company does not obtain Stockholder Approval at the first meeting, the Company shall call a meeting every sixty (60) days thereafter to seek Stockholder Approval until the earlier of the date Stockholder Approval is obtained or these Warrants are no longer outstanding.</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2080" w:type="dxa"/>
        <w:jc w:val="left"/>
        <w:tblInd w:w="0" w:type="dxa"/>
        <w:tblLayout w:type="fixed"/>
        <w:tblCellMar>
          <w:top w:w="0" w:type="dxa"/>
          <w:left w:w="0" w:type="dxa"/>
          <w:bottom w:w="0" w:type="dxa"/>
          <w:right w:w="0" w:type="dxa"/>
        </w:tblCellMar>
      </w:tblPr>
      <w:tblGrid>
        <w:gridCol w:w="75"/>
        <w:gridCol w:w="170"/>
        <w:gridCol w:w="18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8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Transfer of Warrant</w:t>
            </w:r>
            <w:r>
              <w:rPr>
                <w:rFonts w:ascii="Times New Roman;Times;Serif" w:hAnsi="Times New Roman;Times;Serif"/>
                <w:b/>
                <w:i w:val="false"/>
                <w:caps w:val="false"/>
                <w:smallCaps w:val="false"/>
                <w:sz w:val="20"/>
              </w:rPr>
              <w:t>.</w:t>
            </w:r>
          </w:p>
        </w:tc>
      </w:tr>
    </w:tbl>
    <w:p>
      <w:pPr>
        <w:pStyle w:val="TextBody"/>
        <w:bidi w:val="0"/>
        <w:spacing w:before="0" w:after="0"/>
        <w:ind w:left="140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Transferability</w:t>
      </w:r>
      <w:r>
        <w:rPr>
          <w:rFonts w:ascii="Times New Roman;Times;Serif" w:hAnsi="Times New Roman;Times;Serif"/>
          <w:b w:val="false"/>
          <w:i w:val="false"/>
          <w:caps w:val="false"/>
          <w:smallCaps w:val="false"/>
          <w:sz w:val="20"/>
        </w:rPr>
        <w:t xml:space="preserve">. Subject to compliance with any applicable securities laws and the conditions set forth in Section 4.4 hereof,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Times;Serif" w:hAnsi="Times New Roman;Times;Serif"/>
          <w:b w:val="false"/>
          <w:i w:val="false"/>
          <w:caps w:val="false"/>
          <w:smallCaps w:val="false"/>
          <w:sz w:val="20"/>
          <w:u w:val="single"/>
        </w:rPr>
        <w:t xml:space="preserve">Exhibit </w:t>
      </w:r>
      <w:r>
        <w:rPr>
          <w:rFonts w:ascii="Times New Roman;Times;Serif" w:hAnsi="Times New Roman;Times;Serif"/>
          <w:b w:val="false"/>
          <w:i w:val="false"/>
          <w:caps w:val="false"/>
          <w:smallCaps w:val="false"/>
          <w:sz w:val="20"/>
        </w:rPr>
        <w:t>2.6.6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New Warrants</w:t>
      </w:r>
      <w:r>
        <w:rPr>
          <w:rFonts w:ascii="Times New Roman;Times;Serif" w:hAnsi="Times New Roman;Times;Serif"/>
          <w:b w:val="false"/>
          <w:i w:val="false"/>
          <w:caps w:val="false"/>
          <w:smallCaps w:val="false"/>
          <w:sz w:val="20"/>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The Company shall register this Warrant, upon records to be maintained by the Company for that purpose (the “</w:t>
      </w:r>
      <w:r>
        <w:rPr>
          <w:rFonts w:ascii="Times New Roman;Times;Serif" w:hAnsi="Times New Roman;Times;Serif"/>
          <w:b/>
          <w:i w:val="false"/>
          <w:caps w:val="false"/>
          <w:smallCaps w:val="false"/>
          <w:sz w:val="20"/>
          <w:u w:val="single"/>
        </w:rPr>
        <w:t>Warrant Register</w:t>
      </w:r>
      <w:r>
        <w:rPr>
          <w:rFonts w:ascii="Times New Roman;Times;Serif" w:hAnsi="Times New Roman;Times;Serif"/>
          <w:b w:val="false"/>
          <w:i w:val="false"/>
          <w:caps w:val="false"/>
          <w:smallCaps w:val="false"/>
          <w:sz w:val="20"/>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Transfer Restrictions</w:t>
      </w:r>
      <w:r>
        <w:rPr>
          <w:rFonts w:ascii="Times New Roman;Times;Serif" w:hAnsi="Times New Roman;Times;Serif"/>
          <w:b w:val="false"/>
          <w:i w:val="false"/>
          <w:caps w:val="false"/>
          <w:smallCaps w:val="false"/>
          <w:sz w:val="20"/>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the Company may require, as a condition of allowing such transfer, that (x) the transferor (other than in connection with a transfer to an Affiliate of the transferor) provide to the Company an opinion of counsel to the effect that such transfer does not require registration of such transferred Warrant under the Securities Act and (y) that the transferee agree in writing to be bound by the terms of the Securities Purchase Agreement, with all the rights and obligations of a Purchaser under such agreements.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Representation by the Holder</w:t>
      </w:r>
      <w:r>
        <w:rPr>
          <w:rFonts w:ascii="Times New Roman;Times;Serif" w:hAnsi="Times New Roman;Times;Serif"/>
          <w:b w:val="false"/>
          <w:i w:val="false"/>
          <w:caps w:val="false"/>
          <w:smallCaps w:val="false"/>
          <w:sz w:val="20"/>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pStyle w:val="TextBody"/>
        <w:bidi w:val="0"/>
        <w:spacing w:before="0" w:after="0"/>
        <w:ind w:left="720" w:right="0" w:hanging="0"/>
        <w:jc w:val="both"/>
        <w:rPr>
          <w:caps w:val="false"/>
          <w:smallCaps w:val="false"/>
        </w:rPr>
      </w:pPr>
      <w:r>
        <w:rPr>
          <w:caps w:val="false"/>
          <w:smallCaps w:val="false"/>
        </w:rPr>
        <w:t> </w:t>
      </w:r>
    </w:p>
    <w:tbl>
      <w:tblPr>
        <w:tblW w:w="1525" w:type="dxa"/>
        <w:jc w:val="left"/>
        <w:tblInd w:w="0" w:type="dxa"/>
        <w:tblLayout w:type="fixed"/>
        <w:tblCellMar>
          <w:top w:w="0" w:type="dxa"/>
          <w:left w:w="0" w:type="dxa"/>
          <w:bottom w:w="0" w:type="dxa"/>
          <w:right w:w="0" w:type="dxa"/>
        </w:tblCellMar>
      </w:tblPr>
      <w:tblGrid>
        <w:gridCol w:w="75"/>
        <w:gridCol w:w="170"/>
        <w:gridCol w:w="12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2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tc>
      </w:tr>
    </w:tbl>
    <w:p>
      <w:pPr>
        <w:pStyle w:val="TextBody"/>
        <w:bidi w:val="0"/>
        <w:spacing w:before="0" w:after="0"/>
        <w:ind w:left="1400" w:right="0" w:hanging="72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No Rights as Stockholder until Exercise; No Settlement in Cash</w:t>
      </w:r>
      <w:r>
        <w:rPr>
          <w:rFonts w:ascii="Times New Roman;Times;Serif" w:hAnsi="Times New Roman;Times;Serif"/>
          <w:b w:val="false"/>
          <w:i w:val="false"/>
          <w:caps w:val="false"/>
          <w:smallCaps w:val="false"/>
          <w:sz w:val="20"/>
        </w:rPr>
        <w:t>. This Warrant does not entitle the Holder to any voting rights, dividends or other rights as a stockholder of the Company prior to the exercise hereof as set forth in Section 2.6.1, except as expressly set forth in Section 3. Without limiting any rights of a Holder to receive Warrant Shares on a “cashless exercise” pursuant to Section 2.3 or to receive cash payments pursuant to Section 2.6.1 and Section 2.6.4 herein, in no event shall the Company be required to net cash settle an exercise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Loss, Theft, Destruction or Mutilation of Warrant</w:t>
      </w:r>
      <w:r>
        <w:rPr>
          <w:rFonts w:ascii="Times New Roman;Times;Serif" w:hAnsi="Times New Roman;Times;Serif"/>
          <w:b w:val="false"/>
          <w:i w:val="false"/>
          <w:caps w:val="false"/>
          <w:smallCaps w:val="false"/>
          <w:sz w:val="20"/>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Trading Day, then such action may be taken, or such right may be exercised, on the next succeeding Trading Day.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Authorized Shares</w:t>
      </w:r>
      <w:r>
        <w:rPr>
          <w:rFonts w:ascii="Times New Roman;Times;Serif" w:hAnsi="Times New Roman;Times;Serif"/>
          <w:b/>
          <w:i w:val="false"/>
          <w:caps w:val="false"/>
          <w:smallCaps w:val="false"/>
          <w:sz w:val="20"/>
        </w:rPr>
        <w:t>.</w:t>
      </w:r>
    </w:p>
    <w:p>
      <w:pPr>
        <w:pStyle w:val="TextBody"/>
        <w:bidi w:val="0"/>
        <w:spacing w:before="0" w:after="0"/>
        <w:ind w:left="2120" w:right="0" w:hanging="719"/>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5.4.1. </w:t>
      </w:r>
      <w:r>
        <w:rPr>
          <w:rFonts w:ascii="Times New Roman;Times;Serif" w:hAnsi="Times New Roman;Times;Serif"/>
          <w:b/>
          <w:i w:val="false"/>
          <w:caps w:val="false"/>
          <w:smallCaps w:val="false"/>
          <w:sz w:val="20"/>
          <w:u w:val="single"/>
        </w:rPr>
        <w:t>Reservation of Authorized and Unissued Shares</w:t>
      </w:r>
      <w:r>
        <w:rPr>
          <w:rFonts w:ascii="Times New Roman;Times;Serif" w:hAnsi="Times New Roman;Times;Serif"/>
          <w:b w:val="false"/>
          <w:i w:val="false"/>
          <w:caps w:val="false"/>
          <w:smallCaps w:val="false"/>
          <w:sz w:val="20"/>
        </w:rPr>
        <w:t>. The Company covenants that, while the Warrant is outstanding, it will reserve from its authorized and unissued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shares of Common Stock available to honor the exercise of Warrants, the Company shall allocate the available number of Warrant Shares on a pro rata basis among all Holders exercising Warrants, until such time as the Company has a sufficient number of authorized Common Stock to issue all Warrant Shares in full.</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5.4.2. </w:t>
      </w:r>
      <w:r>
        <w:rPr>
          <w:rFonts w:ascii="Times New Roman;Times;Serif" w:hAnsi="Times New Roman;Times;Serif"/>
          <w:b/>
          <w:i w:val="false"/>
          <w:caps w:val="false"/>
          <w:smallCaps w:val="false"/>
          <w:sz w:val="20"/>
          <w:u w:val="single"/>
        </w:rPr>
        <w:t>Noncircumvention</w:t>
      </w:r>
      <w:r>
        <w:rPr>
          <w:rFonts w:ascii="Times New Roman;Times;Serif" w:hAnsi="Times New Roman;Times;Serif"/>
          <w:b w:val="false"/>
          <w:i w:val="false"/>
          <w:caps w:val="false"/>
          <w:smallCaps w:val="false"/>
          <w:sz w:val="20"/>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5.4.3. </w:t>
      </w:r>
      <w:r>
        <w:rPr>
          <w:rFonts w:ascii="Times New Roman;Times;Serif" w:hAnsi="Times New Roman;Times;Serif"/>
          <w:b/>
          <w:i w:val="false"/>
          <w:caps w:val="false"/>
          <w:smallCaps w:val="false"/>
          <w:sz w:val="20"/>
          <w:u w:val="single"/>
        </w:rPr>
        <w:t>Authorizations, Exemptions and Consents</w:t>
      </w:r>
      <w:r>
        <w:rPr>
          <w:rFonts w:ascii="Times New Roman;Times;Serif" w:hAnsi="Times New Roman;Times;Serif"/>
          <w:b w:val="false"/>
          <w:i w:val="false"/>
          <w:caps w:val="false"/>
          <w:smallCaps w:val="false"/>
          <w:sz w:val="20"/>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Restrictions</w:t>
      </w:r>
      <w:r>
        <w:rPr>
          <w:rFonts w:ascii="Times New Roman;Times;Serif" w:hAnsi="Times New Roman;Times;Serif"/>
          <w:b w:val="false"/>
          <w:i w:val="false"/>
          <w:caps w:val="false"/>
          <w:smallCaps w:val="false"/>
          <w:sz w:val="20"/>
        </w:rPr>
        <w:t>. The Holder acknowledges that the Warrant Shares acquired upon the exercise of this Warrant, if not registered, and the Holder does not utilize cashless exercise, will have restrictions upon resale imposed by state and federal securities laws.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Nonwaiver and Expenses</w:t>
      </w:r>
      <w:r>
        <w:rPr>
          <w:rFonts w:ascii="Times New Roman;Times;Serif" w:hAnsi="Times New Roman;Times;Serif"/>
          <w:b w:val="false"/>
          <w:i w:val="false"/>
          <w:caps w:val="false"/>
          <w:smallCaps w:val="false"/>
          <w:sz w:val="20"/>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or the Securities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435 Ericksen Ave NE, Suite 250, Bainbridge Island, WA 98110, United States, Attention: Joseph Davy, Chief Executive Officer, email address: joe@banzai.io,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Calendar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 public information regarding the Company or any Subsidiaries, the Company shall simultaneously file such notice with the Commission pursuant to a Current Report on Form 8-K.</w:t>
      </w:r>
    </w:p>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Limitation of Liability</w:t>
      </w:r>
      <w:r>
        <w:rPr>
          <w:rFonts w:ascii="Times New Roman;Times;Serif" w:hAnsi="Times New Roman;Times;Serif"/>
          <w:b w:val="false"/>
          <w:i w:val="false"/>
          <w:caps w:val="false"/>
          <w:smallCaps w:val="false"/>
          <w:sz w:val="20"/>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This Warrant may be modified or amended or the provisions hereof waived with the written consent of the Company, on the one hand, and a majority-in- interest of Holders of the Warrants, on the other hand. No modification or amendment of the provisions hereof may be waived in a manner that is more favorable to other holder(s) of Warrants, as applicable, or to treat any holder(s) of Warrants in a manner that is in any respect not equal to the treatment of all other holder(s) of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used in this Warrant are for the convenience of reference only and shall not, for any purpose, be deemed a part of this Warrant.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93"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93"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Investor PIPE Common Warrant Signature Page Follows]</w:t>
      </w:r>
    </w:p>
    <w:p>
      <w:pPr>
        <w:pStyle w:val="TextBody"/>
        <w:bidi w:val="0"/>
        <w:spacing w:before="0" w:after="0"/>
        <w:ind w:left="193"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93"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Investor PIPE Common Warrant Signature Page]</w:t>
      </w:r>
    </w:p>
    <w:p>
      <w:pPr>
        <w:pStyle w:val="TextBody"/>
        <w:bidi w:val="0"/>
        <w:spacing w:before="0" w:after="0"/>
        <w:ind w:left="193"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PIPE Common Warrant to be executed by its officer thereunto duly authorized as of the date first above indicated.</w:t>
      </w:r>
    </w:p>
    <w:p>
      <w:pPr>
        <w:pStyle w:val="TextBody"/>
        <w:bidi w:val="0"/>
        <w:spacing w:before="0" w:after="0"/>
        <w:ind w:left="0" w:right="0" w:firstLine="720"/>
        <w:jc w:val="both"/>
        <w:rPr>
          <w:caps w:val="false"/>
          <w:smallCaps w:val="false"/>
        </w:rPr>
      </w:pPr>
      <w:r>
        <w:rPr>
          <w:caps w:val="false"/>
          <w:smallCaps w:val="false"/>
        </w:rPr>
        <w:t> </w:t>
      </w:r>
    </w:p>
    <w:tbl>
      <w:tblPr>
        <w:tblW w:w="3475" w:type="dxa"/>
        <w:jc w:val="left"/>
        <w:tblInd w:w="0" w:type="dxa"/>
        <w:tblLayout w:type="fixed"/>
        <w:tblCellMar>
          <w:top w:w="0" w:type="dxa"/>
          <w:left w:w="0" w:type="dxa"/>
          <w:bottom w:w="0" w:type="dxa"/>
          <w:right w:w="0" w:type="dxa"/>
        </w:tblCellMar>
      </w:tblPr>
      <w:tblGrid>
        <w:gridCol w:w="75"/>
        <w:gridCol w:w="590"/>
        <w:gridCol w:w="2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1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Davy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EXERCISE</w:t>
      </w:r>
    </w:p>
    <w:p>
      <w:pPr>
        <w:pStyle w:val="TextBody"/>
        <w:bidi w:val="0"/>
        <w:spacing w:before="0" w:after="0"/>
        <w:ind w:left="193" w:right="0" w:hanging="0"/>
        <w:jc w:val="center"/>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335"/>
        <w:gridCol w:w="279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27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tc>
      </w:tr>
    </w:tbl>
    <w:p>
      <w:pPr>
        <w:pStyle w:val="TextBody"/>
        <w:bidi w:val="0"/>
        <w:spacing w:before="0" w:after="0"/>
        <w:ind w:left="10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undersigned hereby elects to purchase </w:t>
      </w:r>
      <w:r>
        <w:rPr>
          <w:rFonts w:ascii="Times New Roman;Times;Serif" w:hAnsi="Times New Roman;Times;Serif"/>
          <w:b w:val="false"/>
          <w:i w:val="false"/>
          <w:caps w:val="false"/>
          <w:smallCaps w:val="false"/>
          <w:sz w:val="20"/>
          <w:u w:val="single"/>
        </w:rPr>
        <w:tab/>
      </w:r>
      <w:r>
        <w:rPr>
          <w:rFonts w:ascii="Times New Roman;Times;Serif" w:hAnsi="Times New Roman;Times;Serif"/>
          <w:b w:val="false"/>
          <w:i w:val="false"/>
          <w:caps w:val="false"/>
          <w:smallCaps w:val="false"/>
          <w:sz w:val="20"/>
        </w:rPr>
        <w:t xml:space="preserve"> Warrant Shares of the Company pursuant to the terms of the attached Warrant (only if exercised in full), and tenders herewith payment of the exercise price in full, together with all applicable transfer taxes, if any.</w:t>
      </w:r>
    </w:p>
    <w:p>
      <w:pPr>
        <w:pStyle w:val="TextBody"/>
        <w:bidi w:val="0"/>
        <w:spacing w:before="0" w:after="0"/>
        <w:ind w:left="104"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Payment shall take the form of (check applicable box):</w:t>
      </w:r>
    </w:p>
    <w:p>
      <w:pPr>
        <w:pStyle w:val="TextBody"/>
        <w:bidi w:val="0"/>
        <w:spacing w:before="0" w:after="0"/>
        <w:ind w:left="104"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65"/>
        <w:gridCol w:w="9780"/>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lawful money of the United States.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caps w:val="false"/>
                <w:smallCaps w:val="false"/>
              </w:rPr>
            </w:pPr>
            <w:r>
              <w:rPr>
                <w:caps w:val="false"/>
                <w:smallCaps w:val="false"/>
              </w:rPr>
              <w:t> </w:t>
            </w:r>
          </w:p>
        </w:tc>
        <w:tc>
          <w:tcPr>
            <w:tcW w:w="97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7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permitted the cancellation of such number of Warrant Shares as is necessary, in accordance with the formula set forth in Section 2.3, to exercise this Warrant with respect to the maximum number of Warrant Shares purchasable pursuant to the cashless exercise procedure set forth in Section 2.3.</w:t>
            </w:r>
          </w:p>
        </w:tc>
      </w:tr>
    </w:tbl>
    <w:p>
      <w:pPr>
        <w:pStyle w:val="TextBody"/>
        <w:bidi w:val="0"/>
        <w:spacing w:before="0" w:after="0"/>
        <w:ind w:left="1545"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Please issue said Warrant Shares in the name of the undersigned or in such other name as is specified below:</w:t>
      </w:r>
    </w:p>
    <w:p>
      <w:pPr>
        <w:pStyle w:val="TextBody"/>
        <w:bidi w:val="0"/>
        <w:spacing w:before="0" w:after="0"/>
        <w:ind w:left="104" w:right="0" w:firstLine="72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Shares shall be delivered to the following DWAC Account Number: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undersigned is an “accredited investor” as defined in Regulation D promulgated under the Securities Act of 1933, as amended.</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Investor PIPE Common Warrant Exercise Notice – Investor Signature Page]</w:t>
      </w:r>
    </w:p>
    <w:p>
      <w:pPr>
        <w:pStyle w:val="TextBody"/>
        <w:bidi w:val="0"/>
        <w:spacing w:before="0" w:after="0"/>
        <w:ind w:left="193" w:right="0" w:hanging="0"/>
        <w:jc w:val="center"/>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4445"/>
        <w:gridCol w:w="60"/>
      </w:tblGrid>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Investing Entity: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 of Investing Entity: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4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2.6.6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FORM</w:t>
      </w:r>
    </w:p>
    <w:p>
      <w:pPr>
        <w:pStyle w:val="TextBody"/>
        <w:bidi w:val="0"/>
        <w:spacing w:before="0" w:after="0"/>
        <w:ind w:left="193"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assign the foregoing Warrant, execute this form and supply required information. Do not use this form to exercise the Warrant to purchase shares of Common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the foregoing Warrant and all rights evidenced thereby are hereby assigned to</w:t>
      </w:r>
    </w:p>
    <w:p>
      <w:pPr>
        <w:pStyle w:val="TextBody"/>
        <w:bidi w:val="0"/>
        <w:spacing w:before="0" w:after="0"/>
        <w:jc w:val="center"/>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1595"/>
        <w:gridCol w:w="60"/>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Number:</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Signature:</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Address:</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4"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bookmarkStart w:id="30" w:name="ex10-1.htm"/>
      <w:bookmarkStart w:id="31" w:name="ksex101"/>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is dated as of September 4, 2026, between Banzai International,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(including their respective successors and assigns, each a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subject to the terms and conditions set forth in this Agreement and pursuant to Section 4(a)(2) of the Securities Act of 1933, as amended (the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and Rule 506 promulgated thereunder,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 IN CONSIDERATION</w:t>
      </w:r>
      <w:r>
        <w:rPr>
          <w:rFonts w:ascii="Times New Roman;Times;Serif" w:hAnsi="Times New Roman;Times;Serif"/>
          <w:b w:val="false"/>
          <w:i w:val="false"/>
          <w:caps w:val="false"/>
          <w:smallCaps w:val="false"/>
          <w:sz w:val="20"/>
        </w:rPr>
        <w:t xml:space="preserve">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Definitions</w:t>
            </w:r>
            <w:r>
              <w:rPr>
                <w:rFonts w:ascii="Times New Roman;Times;Serif" w:hAnsi="Times New Roman;Times;Serif"/>
                <w:sz w:val="20"/>
              </w:rPr>
              <w:t>. In addition to the terms defined elsewhere in this Agreement, for all purposes of this Agreement, the following terms have the meanings set forth in this Section 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4.5.</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3.2.4.</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shall have the meaning ascribed to such term in Section 3.2.36.</w:t>
      </w:r>
    </w:p>
    <w:p>
      <w:pPr>
        <w:pStyle w:val="TextBody"/>
        <w:bidi w:val="0"/>
        <w:spacing w:before="0" w:after="283"/>
        <w:jc w:val="left"/>
        <w:rPr/>
      </w:pPr>
      <w:r>
        <w:rPr/>
        <w:t xml:space="preserve">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u w:val="single"/>
        </w:rPr>
        <w:t>Business Day</w:t>
      </w:r>
      <w:r>
        <w:rPr>
          <w:rFonts w:ascii="Times New Roman;Times;Serif" w:hAnsi="Times New Roman;Times;Serif"/>
          <w:b w:val="false"/>
          <w:i w:val="false"/>
          <w:caps w:val="false"/>
          <w:smallCaps w:val="false"/>
          <w:sz w:val="20"/>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u w:val="single"/>
        </w:rPr>
        <w:t>Buy-In Price</w:t>
      </w:r>
      <w:r>
        <w:rPr>
          <w:rFonts w:ascii="Times New Roman;Times;Serif" w:hAnsi="Times New Roman;Times;Serif"/>
          <w:b w:val="false"/>
          <w:i w:val="false"/>
          <w:caps w:val="false"/>
          <w:smallCaps w:val="false"/>
          <w:sz w:val="20"/>
        </w:rPr>
        <w:t>” shall have the meaning ascribed to such term in Section 4.1.4.</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u w:val="single"/>
        </w:rPr>
        <w:t>Calendar Day</w:t>
      </w:r>
      <w:r>
        <w:rPr>
          <w:rFonts w:ascii="Times New Roman;Times;Serif" w:hAnsi="Times New Roman;Times;Serif"/>
          <w:b w:val="false"/>
          <w:i w:val="false"/>
          <w:caps w:val="false"/>
          <w:smallCaps w:val="false"/>
          <w:sz w:val="20"/>
        </w:rPr>
        <w:t>” means each and every day of the week (Sunday, Monday, Tuesday, Wednesday, Thursday, Friday and Saturday).</w:t>
      </w:r>
    </w:p>
    <w:p>
      <w:pPr>
        <w:pStyle w:val="TextBody"/>
        <w:bidi w:val="0"/>
        <w:spacing w:before="0" w:after="0"/>
        <w:ind w:left="72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Securities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w:t>
      </w:r>
      <w:r>
        <w:rPr>
          <w:rFonts w:ascii="Times New Roman;Times;Serif" w:hAnsi="Times New Roman;Times;Serif"/>
          <w:b/>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w:t>
      </w:r>
      <w:r>
        <w:rPr>
          <w:rFonts w:ascii="Times New Roman;Times;Serif" w:hAnsi="Times New Roman;Times;Serif"/>
          <w:b/>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w:t>
      </w:r>
      <w:r>
        <w:rPr>
          <w:rFonts w:ascii="Times New Roman;Times;Serif" w:hAnsi="Times New Roman;Times;Serif"/>
          <w:b/>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$0.0001 par value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i w:val="false"/>
          <w:caps w:val="false"/>
          <w:smallCaps w:val="false"/>
          <w:sz w:val="20"/>
          <w:u w:val="single"/>
        </w:rPr>
        <w:t>Common Warrants</w:t>
      </w:r>
      <w:r>
        <w:rPr>
          <w:rFonts w:ascii="Times New Roman;Times;Serif" w:hAnsi="Times New Roman;Times;Serif"/>
          <w:b w:val="false"/>
          <w:i w:val="false"/>
          <w:caps w:val="false"/>
          <w:smallCaps w:val="false"/>
          <w:sz w:val="20"/>
        </w:rPr>
        <w:t xml:space="preserve">” means the warrants to purchase shares of Common Stock delivered to the Purchasers at the Closing in accordance with Section 2.1 hereof, which Common Warrants shall be in the form of </w:t>
      </w:r>
      <w:r>
        <w:rPr>
          <w:rFonts w:ascii="Times New Roman;Times;Serif" w:hAnsi="Times New Roman;Times;Serif"/>
          <w:b/>
          <w:i w:val="false"/>
          <w:caps w:val="false"/>
          <w:smallCaps w:val="false"/>
          <w:sz w:val="20"/>
          <w:u w:val="single"/>
        </w:rPr>
        <w:t xml:space="preserve">Exhibit </w:t>
      </w:r>
      <w:r>
        <w:rPr>
          <w:rFonts w:ascii="Times New Roman;Times;Serif" w:hAnsi="Times New Roman;Times;Serif"/>
          <w:b/>
          <w:i w:val="false"/>
          <w:caps w:val="false"/>
          <w:smallCaps w:val="false"/>
          <w:sz w:val="20"/>
        </w:rPr>
        <w:t>1.16</w:t>
      </w:r>
      <w:r>
        <w:rPr>
          <w:rFonts w:ascii="Times New Roman;Times;Serif" w:hAnsi="Times New Roman;Times;Serif"/>
          <w:b/>
          <w:i w:val="false"/>
          <w:caps w:val="false"/>
          <w:smallCaps w:val="false"/>
          <w:sz w:val="20"/>
          <w:u w:val="single"/>
        </w:rPr>
        <w:t>.1</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i w:val="false"/>
          <w:caps w:val="false"/>
          <w:smallCaps w:val="false"/>
          <w:sz w:val="20"/>
          <w:u w:val="single"/>
        </w:rPr>
        <w:t>Company Counsel</w:t>
      </w:r>
      <w:r>
        <w:rPr>
          <w:rFonts w:ascii="Times New Roman;Times;Serif" w:hAnsi="Times New Roman;Times;Serif"/>
          <w:b w:val="false"/>
          <w:i w:val="false"/>
          <w:caps w:val="false"/>
          <w:smallCaps w:val="false"/>
          <w:sz w:val="20"/>
        </w:rPr>
        <w:t>” means with respect to U.S. federal securities law and New York law, Hunter Taubman Fischer &amp; Li LLC, 950 Third Avenue, 19th Floor, New York, NY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w:t>
      </w:r>
      <w:r>
        <w:rPr>
          <w:rFonts w:ascii="Times New Roman;Times;Serif" w:hAnsi="Times New Roman;Times;Serif"/>
          <w:b/>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Calendar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w:t>
      </w:r>
      <w:r>
        <w:rPr>
          <w:rFonts w:ascii="Times New Roman;Times;Serif" w:hAnsi="Times New Roman;Times;Serif"/>
          <w:b/>
          <w:i w:val="false"/>
          <w:caps w:val="false"/>
          <w:smallCaps w:val="false"/>
          <w:sz w:val="20"/>
          <w:u w:val="single"/>
        </w:rPr>
        <w:t>Disqualification Event</w:t>
      </w:r>
      <w:r>
        <w:rPr>
          <w:rFonts w:ascii="Times New Roman;Times;Serif" w:hAnsi="Times New Roman;Times;Serif"/>
          <w:b w:val="false"/>
          <w:i w:val="false"/>
          <w:caps w:val="false"/>
          <w:smallCaps w:val="false"/>
          <w:sz w:val="20"/>
        </w:rPr>
        <w:t>” shall have the meaning ascribed to such term in Section 3.2.38.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w:t>
      </w:r>
      <w:r>
        <w:rPr>
          <w:rFonts w:ascii="Times New Roman;Times;Serif" w:hAnsi="Times New Roman;Times;Serif"/>
          <w:b/>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3.2.13.</w:t>
      </w:r>
    </w:p>
    <w:p>
      <w:pPr>
        <w:pStyle w:val="TextBody"/>
        <w:bidi w:val="0"/>
        <w:spacing w:before="0" w:after="0"/>
        <w:jc w:val="left"/>
        <w:rPr/>
      </w:pPr>
      <w:r>
        <w:rPr/>
        <w:t xml:space="preserve">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w:t>
      </w:r>
      <w:r>
        <w:rPr>
          <w:rFonts w:ascii="Times New Roman;Times;Serif" w:hAnsi="Times New Roman;Times;Serif"/>
          <w:b/>
          <w:i w:val="false"/>
          <w:caps w:val="false"/>
          <w:smallCaps w:val="false"/>
          <w:sz w:val="20"/>
          <w:u w:val="single"/>
        </w:rPr>
        <w:t>Exchange Cap</w:t>
      </w:r>
      <w:r>
        <w:rPr>
          <w:rFonts w:ascii="Times New Roman;Times;Serif" w:hAnsi="Times New Roman;Times;Serif"/>
          <w:b w:val="false"/>
          <w:i w:val="false"/>
          <w:caps w:val="false"/>
          <w:smallCaps w:val="false"/>
          <w:sz w:val="20"/>
        </w:rPr>
        <w:t>” means, unless and until Stockholder Approval is obtained, a number of shares of Common Stock equal to nineteen and ninety-nine hundredths percent (19.99%) of the shares of Common Stock issued and outstanding immediately prior to the execution of this Agreement (subject to equitable adjustment for any stock split, stock dividend, stock combination, recapitalization or similar transaction affecting the Common Stock after the date hereof), reduced by the aggregate number of shares of Common Stock issued or issuable pursuant to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w:t>
      </w:r>
      <w:r>
        <w:rPr>
          <w:rFonts w:ascii="Times New Roman;Times;Serif" w:hAnsi="Times New Roman;Times;Serif"/>
          <w:b/>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w:t>
      </w:r>
      <w:r>
        <w:rPr>
          <w:rFonts w:ascii="Times New Roman;Times;Serif" w:hAnsi="Times New Roman;Times;Serif"/>
          <w:b/>
          <w:i w:val="false"/>
          <w:caps w:val="false"/>
          <w:smallCaps w:val="false"/>
          <w:sz w:val="20"/>
          <w:u w:val="single"/>
        </w:rPr>
        <w:t>Federal Reserve</w:t>
      </w:r>
      <w:r>
        <w:rPr>
          <w:rFonts w:ascii="Times New Roman;Times;Serif" w:hAnsi="Times New Roman;Times;Serif"/>
          <w:b w:val="false"/>
          <w:i w:val="false"/>
          <w:caps w:val="false"/>
          <w:smallCaps w:val="false"/>
          <w:sz w:val="20"/>
        </w:rPr>
        <w:t>” shall have the meaning ascribed to such term in Section 3.2.36.</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3.2.2.</w:t>
      </w:r>
    </w:p>
    <w:p>
      <w:pPr>
        <w:pStyle w:val="TextBody"/>
        <w:bidi w:val="0"/>
        <w:spacing w:before="0" w:after="283"/>
        <w:jc w:val="left"/>
        <w:rPr/>
      </w:pPr>
      <w:r>
        <w:rPr/>
        <w:t xml:space="preserve">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3.2.22.</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w:t>
      </w:r>
      <w:r>
        <w:rPr>
          <w:rFonts w:ascii="Times New Roman;Times;Serif" w:hAnsi="Times New Roman;Times;Serif"/>
          <w:b/>
          <w:i w:val="false"/>
          <w:caps w:val="false"/>
          <w:smallCaps w:val="false"/>
          <w:sz w:val="20"/>
          <w:u w:val="single"/>
        </w:rPr>
        <w:t>Issuer Covered Person</w:t>
      </w:r>
      <w:r>
        <w:rPr>
          <w:rFonts w:ascii="Times New Roman;Times;Serif" w:hAnsi="Times New Roman;Times;Serif"/>
          <w:b w:val="false"/>
          <w:i w:val="false"/>
          <w:caps w:val="false"/>
          <w:smallCaps w:val="false"/>
          <w:sz w:val="20"/>
        </w:rPr>
        <w:t>” shall have the meaning ascribed to such term in Section 3.2.38.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shall have the meaning ascribed to such term in Section 3.2.41.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w:t>
      </w:r>
      <w:r>
        <w:rPr>
          <w:rFonts w:ascii="Times New Roman;Times;Serif" w:hAnsi="Times New Roman;Times;Serif"/>
          <w:b/>
          <w:i w:val="false"/>
          <w:caps w:val="false"/>
          <w:smallCaps w:val="false"/>
          <w:sz w:val="20"/>
          <w:u w:val="single"/>
        </w:rPr>
        <w:t>Legend Removal Date</w:t>
      </w:r>
      <w:r>
        <w:rPr>
          <w:rFonts w:ascii="Times New Roman;Times;Serif" w:hAnsi="Times New Roman;Times;Serif"/>
          <w:b w:val="false"/>
          <w:i w:val="false"/>
          <w:caps w:val="false"/>
          <w:smallCaps w:val="false"/>
          <w:sz w:val="20"/>
        </w:rPr>
        <w:t>” shall have the meaning ascribed to such term in Section 4.1.3.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w:t>
      </w:r>
      <w:r>
        <w:rPr>
          <w:rFonts w:ascii="Times New Roman;Times;Serif" w:hAnsi="Times New Roman;Times;Serif"/>
          <w:b/>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w:t>
      </w:r>
      <w:r>
        <w:rPr>
          <w:rFonts w:ascii="Times New Roman;Times;Serif" w:hAnsi="Times New Roman;Times;Serif"/>
          <w:b/>
          <w:i w:val="false"/>
          <w:caps w:val="false"/>
          <w:smallCaps w:val="false"/>
          <w:sz w:val="20"/>
          <w:u w:val="single"/>
        </w:rPr>
        <w:t>Lock-Up Agreement</w:t>
      </w:r>
      <w:r>
        <w:rPr>
          <w:rFonts w:ascii="Times New Roman;Times;Serif" w:hAnsi="Times New Roman;Times;Serif"/>
          <w:b w:val="false"/>
          <w:i w:val="false"/>
          <w:caps w:val="false"/>
          <w:smallCaps w:val="false"/>
          <w:sz w:val="20"/>
        </w:rPr>
        <w:t xml:space="preserve">” means each Lock-Up Agreement, dated as of the date hereof, by and between the Company and each of the directors, executive officers, employees and stockholders holding at least 10 percent (10%) of the outstanding shares of Common Stock, in the form of </w:t>
      </w:r>
      <w:r>
        <w:rPr>
          <w:rFonts w:ascii="Times New Roman;Times;Serif" w:hAnsi="Times New Roman;Times;Serif"/>
          <w:b/>
          <w:i w:val="false"/>
          <w:caps w:val="false"/>
          <w:smallCaps w:val="false"/>
          <w:sz w:val="20"/>
          <w:u w:val="single"/>
        </w:rPr>
        <w:t xml:space="preserve">Exhibit </w:t>
      </w:r>
      <w:r>
        <w:rPr>
          <w:rFonts w:ascii="Times New Roman;Times;Serif" w:hAnsi="Times New Roman;Times;Serif"/>
          <w:b/>
          <w:i w:val="false"/>
          <w:caps w:val="false"/>
          <w:smallCaps w:val="false"/>
          <w:sz w:val="20"/>
        </w:rPr>
        <w:t>1.34</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w:t>
      </w:r>
      <w:r>
        <w:rPr>
          <w:rFonts w:ascii="Times New Roman;Times;Serif" w:hAnsi="Times New Roman;Times;Serif"/>
          <w:b/>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3.2.8.</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shall have the meaning ascribed to such term in Section 3.2.37.</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w:t>
      </w:r>
      <w:r>
        <w:rPr>
          <w:rFonts w:ascii="Times New Roman;Times;Serif" w:hAnsi="Times New Roman;Times;Serif"/>
          <w:b/>
          <w:i w:val="false"/>
          <w:caps w:val="false"/>
          <w:smallCaps w:val="false"/>
          <w:sz w:val="20"/>
          <w:u w:val="single"/>
        </w:rPr>
        <w:t>Note</w:t>
      </w:r>
      <w:r>
        <w:rPr>
          <w:rFonts w:ascii="Times New Roman;Times;Serif" w:hAnsi="Times New Roman;Times;Serif"/>
          <w:b w:val="false"/>
          <w:i w:val="false"/>
          <w:caps w:val="false"/>
          <w:smallCaps w:val="false"/>
          <w:sz w:val="20"/>
        </w:rPr>
        <w:t>” means the Convertible Promissory Note issued by the Company to each Purchaser pursuant to Section 2.1, in the form attached hereto as Exhibit 1.38, as the same may be amended, restated, or otherwise modified from time to time (including pursuant to Section 2.1), and, where the context requires, collectively, the Notes issued to all of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w:t>
      </w:r>
      <w:r>
        <w:rPr>
          <w:rFonts w:ascii="Times New Roman;Times;Serif" w:hAnsi="Times New Roman;Times;Serif"/>
          <w:b/>
          <w:i w:val="false"/>
          <w:caps w:val="false"/>
          <w:smallCaps w:val="false"/>
          <w:sz w:val="20"/>
          <w:u w:val="single"/>
        </w:rPr>
        <w:t>Note Shares</w:t>
      </w:r>
      <w:r>
        <w:rPr>
          <w:rFonts w:ascii="Times New Roman;Times;Serif" w:hAnsi="Times New Roman;Times;Serif"/>
          <w:b w:val="false"/>
          <w:i w:val="false"/>
          <w:caps w:val="false"/>
          <w:smallCaps w:val="false"/>
          <w:sz w:val="20"/>
        </w:rPr>
        <w:t>” means all shares of Common Stock issuable upon conversion of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 shall have the meaning ascribed to such term in Section 3.2.34.</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i w:val="false"/>
          <w:caps w:val="false"/>
          <w:smallCaps w:val="false"/>
          <w:sz w:val="20"/>
          <w:u w:val="single"/>
        </w:rPr>
        <w:t>Placement Agent</w:t>
      </w:r>
      <w:r>
        <w:rPr>
          <w:rFonts w:ascii="Times New Roman;Times;Serif" w:hAnsi="Times New Roman;Times;Serif"/>
          <w:b w:val="false"/>
          <w:i w:val="false"/>
          <w:caps w:val="false"/>
          <w:smallCaps w:val="false"/>
          <w:sz w:val="20"/>
        </w:rPr>
        <w:t>” means Aegis Capital Corp.</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t>
      </w:r>
      <w:r>
        <w:rPr>
          <w:rFonts w:ascii="Times New Roman;Times;Serif" w:hAnsi="Times New Roman;Times;Serif"/>
          <w:b/>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w:t>
      </w:r>
      <w:r>
        <w:rPr>
          <w:rFonts w:ascii="Times New Roman;Times;Serif" w:hAnsi="Times New Roman;Times;Serif"/>
          <w:b/>
          <w:i w:val="false"/>
          <w:caps w:val="false"/>
          <w:smallCaps w:val="false"/>
          <w:sz w:val="20"/>
          <w:u w:val="single"/>
        </w:rPr>
        <w:t>Public Information Failure</w:t>
      </w:r>
      <w:r>
        <w:rPr>
          <w:rFonts w:ascii="Times New Roman;Times;Serif" w:hAnsi="Times New Roman;Times;Serif"/>
          <w:b w:val="false"/>
          <w:i w:val="false"/>
          <w:caps w:val="false"/>
          <w:smallCaps w:val="false"/>
          <w:sz w:val="20"/>
        </w:rPr>
        <w:t>” shall have the meaning ascribed to such term in Section 4.2.2.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w:t>
      </w:r>
      <w:r>
        <w:rPr>
          <w:rFonts w:ascii="Times New Roman;Times;Serif" w:hAnsi="Times New Roman;Times;Serif"/>
          <w:b/>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w:t>
      </w:r>
      <w:r>
        <w:rPr>
          <w:rFonts w:ascii="Times New Roman;Times;Serif" w:hAnsi="Times New Roman;Times;Serif"/>
          <w:b/>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w:t>
      </w:r>
      <w:r>
        <w:rPr>
          <w:rFonts w:ascii="Times New Roman;Times;Serif" w:hAnsi="Times New Roman;Times;Serif"/>
          <w:b/>
          <w:i w:val="false"/>
          <w:caps w:val="false"/>
          <w:smallCaps w:val="false"/>
          <w:sz w:val="20"/>
          <w:u w:val="single"/>
        </w:rPr>
        <w:t>Resale Effective Date</w:t>
      </w:r>
      <w:r>
        <w:rPr>
          <w:rFonts w:ascii="Times New Roman;Times;Serif" w:hAnsi="Times New Roman;Times;Serif"/>
          <w:b w:val="false"/>
          <w:i w:val="false"/>
          <w:caps w:val="false"/>
          <w:smallCaps w:val="false"/>
          <w:sz w:val="20"/>
        </w:rPr>
        <w:t>” means the earliest of the date that (a) all of the Note Shares and Warrant Shares have been sold pursuant to Rule 144 or may be sold pursuant to Rule 144 without volume or manner-of-sale restrictions, (b) following the one year anniversary of the Closing Date provided that the applicable holder of Note Shares or Warrant Shares is not an Affiliate of the Company, or (c) all of the Note Shares and Warrant Shares may be sold pursuant to an exemption from registration under Section 4(a)(1) of the Securities Act without volume or manner-of-sale restrictions and Company Counsel has delivered to such holders a written opinion in customary form that resales may then be made by such holders of the Note Shares and Warrant Shares pursuant to such exemption which opinion shall be in form and substance reasonably acceptable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w:t>
      </w:r>
      <w:r>
        <w:rPr>
          <w:rFonts w:ascii="Times New Roman;Times;Serif" w:hAnsi="Times New Roman;Times;Serif"/>
          <w:b/>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w:t>
      </w:r>
      <w:r>
        <w:rPr>
          <w:rFonts w:ascii="Times New Roman;Times;Serif" w:hAnsi="Times New Roman;Times;Serif"/>
          <w:b/>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i w:val="false"/>
          <w:caps w:val="false"/>
          <w:smallCaps w:val="false"/>
          <w:sz w:val="20"/>
          <w:u w:val="single"/>
        </w:rPr>
        <w:t>Securities</w:t>
      </w:r>
      <w:r>
        <w:rPr>
          <w:rFonts w:ascii="Times New Roman;Times;Serif" w:hAnsi="Times New Roman;Times;Serif"/>
          <w:b w:val="false"/>
          <w:i w:val="false"/>
          <w:caps w:val="false"/>
          <w:smallCaps w:val="false"/>
          <w:sz w:val="20"/>
        </w:rPr>
        <w:t>” means the Note, the Note Shares, the Warrants and the Warrant Shares purchased or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w:t>
      </w:r>
      <w:r>
        <w:rPr>
          <w:rFonts w:ascii="Times New Roman;Times;Serif" w:hAnsi="Times New Roman;Times;Serif"/>
          <w:b/>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means such approval as may be required by the applicable rules and regulations of The Nasdaq Stock Market LLC (or any successor entity) from the stockholders of the Company, or board of directors in lieu thereof, with respect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 to issue in excess of twenty percent (20%) of the outstanding shares of Common Stock at a deemed discount to the Nasdaq Minimum Price (as defined in Nasdaq Listing Rule 5635(d)(1)(A)) immediately prior to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 to consent to the voluntary adjustment, from time to time, of the exercise price of any and all currently outstanding warrants in the discretion of the Company’s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1.55.3. to permit the issuance of shares of Common Stock under the Note, the Warrants and the other Transaction Documents in excess of the Exchange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w:t>
      </w:r>
      <w:r>
        <w:rPr>
          <w:rFonts w:ascii="Times New Roman;Times;Serif" w:hAnsi="Times New Roman;Times;Serif"/>
          <w:b/>
          <w:i w:val="false"/>
          <w:caps w:val="false"/>
          <w:smallCaps w:val="false"/>
          <w:sz w:val="20"/>
          <w:u w:val="single"/>
        </w:rPr>
        <w:t>Stockholder Approval Notice Time</w:t>
      </w:r>
      <w:r>
        <w:rPr>
          <w:rFonts w:ascii="Times New Roman;Times;Serif" w:hAnsi="Times New Roman;Times;Serif"/>
          <w:b w:val="false"/>
          <w:i w:val="false"/>
          <w:caps w:val="false"/>
          <w:smallCaps w:val="false"/>
          <w:sz w:val="20"/>
        </w:rPr>
        <w:t>” means the time of public availability of the Current Report on Form 8-K filed by the Company with the Securities and Exchange Commission giving public notice of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w:t>
      </w:r>
      <w:r>
        <w:rPr>
          <w:rFonts w:ascii="Times New Roman;Times;Serif" w:hAnsi="Times New Roman;Times;Serif"/>
          <w:b/>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the Securities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w:t>
      </w:r>
      <w:r>
        <w:rPr>
          <w:rFonts w:ascii="Times New Roman;Times;Serif" w:hAnsi="Times New Roman;Times;Serif"/>
          <w:b/>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set forth in Schedule 3.1.1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w:t>
      </w:r>
      <w:r>
        <w:rPr>
          <w:rFonts w:ascii="Times New Roman;Times;Serif" w:hAnsi="Times New Roman;Times;Serif"/>
          <w:b/>
          <w:i w:val="false"/>
          <w:caps w:val="false"/>
          <w:smallCaps w:val="false"/>
          <w:sz w:val="20"/>
          <w:u w:val="single"/>
        </w:rPr>
        <w:t>Trading Day</w:t>
      </w:r>
      <w:r>
        <w:rPr>
          <w:rFonts w:ascii="Times New Roman;Times;Serif" w:hAnsi="Times New Roman;Times;Serif"/>
          <w:b w:val="false"/>
          <w:i w:val="false"/>
          <w:caps w:val="false"/>
          <w:smallCaps w:val="false"/>
          <w:sz w:val="20"/>
        </w:rPr>
        <w:t>” means a Calendar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w:t>
      </w:r>
      <w:r>
        <w:rPr>
          <w:rFonts w:ascii="Times New Roman;Times;Serif" w:hAnsi="Times New Roman;Times;Serif"/>
          <w:b/>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OTCQB, OTCQX, Pink Open Market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Note, the Warrants, the Lock-Up Agreement and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w:t>
      </w:r>
      <w:r>
        <w:rPr>
          <w:rFonts w:ascii="Times New Roman;Times;Serif" w:hAnsi="Times New Roman;Times;Serif"/>
          <w:b/>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NY 10004-1561 and an email address of cstmail@continentalstock.com,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w:t>
      </w:r>
      <w:r>
        <w:rPr>
          <w:rFonts w:ascii="Times New Roman;Times;Serif" w:hAnsi="Times New Roman;Times;Serif"/>
          <w:b/>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OTC Pink (or a similar organization or agency succeeding to its functions of reporting prices), the most recent bid price per share of Common Stock so reported, or (d) in all other cases, the fair market value of the Common Stock as determined by an independent appraiser selected in good faith by the Purchasers of a majority in interest of the Securities then outstanding and reasonably acceptable to the Company, the fees and expenses of which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means the Common Warrants.   1.65. “</w:t>
      </w:r>
      <w:r>
        <w:rPr>
          <w:rFonts w:ascii="Times New Roman;Times;Serif" w:hAnsi="Times New Roman;Times;Serif"/>
          <w:b/>
          <w:i w:val="false"/>
          <w:caps w:val="false"/>
          <w:smallCaps w:val="false"/>
          <w:sz w:val="20"/>
          <w:u w:val="single"/>
        </w:rPr>
        <w:t>Warrant Shares</w:t>
      </w:r>
      <w:r>
        <w:rPr>
          <w:rFonts w:ascii="Times New Roman;Times;Serif" w:hAnsi="Times New Roman;Times;Serif"/>
          <w:b w:val="false"/>
          <w:i w:val="false"/>
          <w:caps w:val="false"/>
          <w:smallCaps w:val="false"/>
          <w:sz w:val="20"/>
        </w:rPr>
        <w:t>” means the shares of Common Stock underlying the Warrants.</w:t>
      </w:r>
    </w:p>
    <w:p>
      <w:pPr>
        <w:pStyle w:val="TextBody"/>
        <w:bidi w:val="0"/>
        <w:spacing w:before="0" w:after="0"/>
        <w:ind w:left="720" w:right="0" w:hanging="0"/>
        <w:jc w:val="left"/>
        <w:rPr/>
      </w:pPr>
      <w:r>
        <w:rPr/>
        <w:t xml:space="preserve">  </w:t>
      </w:r>
    </w:p>
    <w:tbl>
      <w:tblPr>
        <w:tblW w:w="1780" w:type="dxa"/>
        <w:jc w:val="left"/>
        <w:tblInd w:w="0" w:type="dxa"/>
        <w:tblLayout w:type="fixed"/>
        <w:tblCellMar>
          <w:top w:w="0" w:type="dxa"/>
          <w:left w:w="0" w:type="dxa"/>
          <w:bottom w:w="0" w:type="dxa"/>
          <w:right w:w="0" w:type="dxa"/>
        </w:tblCellMar>
      </w:tblPr>
      <w:tblGrid>
        <w:gridCol w:w="170"/>
        <w:gridCol w:w="1610"/>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Purchase and Sale</w:t>
            </w:r>
            <w:r>
              <w:rPr>
                <w:rFonts w:ascii="Times New Roman;Times;Serif" w:hAnsi="Times New Roman;Times;Serif"/>
                <w:sz w:val="20"/>
              </w:rPr>
              <w:t>.</w:t>
            </w:r>
          </w:p>
        </w:tc>
      </w:tr>
    </w:tbl>
    <w:p>
      <w:pPr>
        <w:pStyle w:val="TextBody"/>
        <w:bidi w:val="0"/>
        <w:spacing w:before="0" w:after="0"/>
        <w:ind w:left="88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a Note in the initial aggregate principal amount of $2,142,857.14, subject to increase up to an aggregate principal amount of $3,571,428.57 in accordance with Section 2.3, and a Warrant to purchase up to an aggregate of 779,221 shares of Common Stock, subject to the issuance of additional Warrants in accordance with Section 2.3. At the Closing, the Company shall deliver to each Purchaser its respective Note and Warrant, and the Company and each Purchaser shall deliver the other items set forth in Sections 2.4 and 2.5 deliverable at the Closing. Upon satisfaction of the covenants and conditions set forth in Section 2.6, the Closing shall occur remotely by electronic transfer of the Closing documentation or at such location as the parties shall mutually agree. For the avoidance of doubt, the Closing is the closing of the execution and delivery of the Transaction Documents and the issuance of the Note and the Warrant with respect to Tranche 1, and is separate from each subsequent Tranche Closing.</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i w:val="false"/>
          <w:caps w:val="false"/>
          <w:smallCaps w:val="false"/>
          <w:sz w:val="20"/>
          <w:u w:val="single"/>
        </w:rPr>
        <w:t>Tranches</w:t>
      </w:r>
      <w:r>
        <w:rPr>
          <w:rFonts w:ascii="Times New Roman;Times;Serif" w:hAnsi="Times New Roman;Times;Serif"/>
          <w:b w:val="false"/>
          <w:i w:val="false"/>
          <w:caps w:val="false"/>
          <w:smallCaps w:val="false"/>
          <w:sz w:val="20"/>
        </w:rPr>
        <w:t>. The Purchasers’ Subscription Amounts shall be payable in up to three installments (each, a “</w:t>
      </w:r>
      <w:r>
        <w:rPr>
          <w:rFonts w:ascii="Times New Roman;Times;Serif" w:hAnsi="Times New Roman;Times;Serif"/>
          <w:b/>
          <w:i w:val="false"/>
          <w:caps w:val="false"/>
          <w:smallCaps w:val="false"/>
          <w:sz w:val="20"/>
          <w:u w:val="single"/>
        </w:rPr>
        <w:t>Tranche</w:t>
      </w:r>
      <w:r>
        <w:rPr>
          <w:rFonts w:ascii="Times New Roman;Times;Serif" w:hAnsi="Times New Roman;Times;Serif"/>
          <w:b w:val="false"/>
          <w:i w:val="false"/>
          <w:caps w:val="false"/>
          <w:smallCaps w:val="false"/>
          <w:sz w:val="20"/>
        </w:rPr>
        <w: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i w:val="false"/>
          <w:caps w:val="false"/>
          <w:smallCaps w:val="false"/>
          <w:sz w:val="20"/>
          <w:u w:val="single"/>
        </w:rPr>
        <w:t>Tranche 1</w:t>
      </w:r>
      <w:r>
        <w:rPr>
          <w:rFonts w:ascii="Times New Roman;Times;Serif" w:hAnsi="Times New Roman;Times;Serif"/>
          <w:b w:val="false"/>
          <w:i w:val="false"/>
          <w:caps w:val="false"/>
          <w:smallCaps w:val="false"/>
          <w:sz w:val="20"/>
        </w:rPr>
        <w:t>: an amount equal to $1,500,000 (the “</w:t>
      </w:r>
      <w:r>
        <w:rPr>
          <w:rFonts w:ascii="Times New Roman;Times;Serif" w:hAnsi="Times New Roman;Times;Serif"/>
          <w:b/>
          <w:i w:val="false"/>
          <w:caps w:val="false"/>
          <w:smallCaps w:val="false"/>
          <w:sz w:val="20"/>
          <w:u w:val="single"/>
        </w:rPr>
        <w:t>Initial Tranche Amount</w:t>
      </w:r>
      <w:r>
        <w:rPr>
          <w:rFonts w:ascii="Times New Roman;Times;Serif" w:hAnsi="Times New Roman;Times;Serif"/>
          <w:b w:val="false"/>
          <w:i w:val="false"/>
          <w:caps w:val="false"/>
          <w:smallCaps w:val="false"/>
          <w:sz w:val="20"/>
        </w:rPr>
        <w:t>”), payable upon execution and delivery of this Agreement (such funding, together with the Closing, the “</w:t>
      </w:r>
      <w:r>
        <w:rPr>
          <w:rFonts w:ascii="Times New Roman;Times;Serif" w:hAnsi="Times New Roman;Times;Serif"/>
          <w:b/>
          <w:i w:val="false"/>
          <w:caps w:val="false"/>
          <w:smallCaps w:val="false"/>
          <w:sz w:val="20"/>
          <w:u w:val="single"/>
        </w:rPr>
        <w:t>Initial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i w:val="false"/>
          <w:caps w:val="false"/>
          <w:smallCaps w:val="false"/>
          <w:sz w:val="20"/>
          <w:u w:val="single"/>
        </w:rPr>
        <w:t>Tranche 2</w:t>
      </w:r>
      <w:r>
        <w:rPr>
          <w:rFonts w:ascii="Times New Roman;Times;Serif" w:hAnsi="Times New Roman;Times;Serif"/>
          <w:b w:val="false"/>
          <w:i w:val="false"/>
          <w:caps w:val="false"/>
          <w:smallCaps w:val="false"/>
          <w:sz w:val="20"/>
        </w:rPr>
        <w:t>: an amount equal to $500,000 (the “</w:t>
      </w:r>
      <w:r>
        <w:rPr>
          <w:rFonts w:ascii="Times New Roman;Times;Serif" w:hAnsi="Times New Roman;Times;Serif"/>
          <w:b/>
          <w:i w:val="false"/>
          <w:caps w:val="false"/>
          <w:smallCaps w:val="false"/>
          <w:sz w:val="20"/>
          <w:u w:val="single"/>
        </w:rPr>
        <w:t>Tranche 2 Amount</w:t>
      </w:r>
      <w:r>
        <w:rPr>
          <w:rFonts w:ascii="Times New Roman;Times;Serif" w:hAnsi="Times New Roman;Times;Serif"/>
          <w:b w:val="false"/>
          <w:i w:val="false"/>
          <w:caps w:val="false"/>
          <w:smallCaps w:val="false"/>
          <w:sz w:val="20"/>
        </w:rPr>
        <w:t>”), payable within three (3) Business Days following the Company’s confidential submission to the Commission of a draft registration statement on Form S-1 (or any amendment thereto) relating to a proposed underwritten public offering of Common Stock (such submission, the “</w:t>
      </w:r>
      <w:r>
        <w:rPr>
          <w:rFonts w:ascii="Times New Roman;Times;Serif" w:hAnsi="Times New Roman;Times;Serif"/>
          <w:b/>
          <w:i w:val="false"/>
          <w:caps w:val="false"/>
          <w:smallCaps w:val="false"/>
          <w:sz w:val="20"/>
          <w:u w:val="single"/>
        </w:rPr>
        <w:t>Confidential Filing</w:t>
      </w:r>
      <w:r>
        <w:rPr>
          <w:rFonts w:ascii="Times New Roman;Times;Serif" w:hAnsi="Times New Roman;Times;Serif"/>
          <w:b w:val="false"/>
          <w:i w:val="false"/>
          <w:caps w:val="false"/>
          <w:smallCaps w:val="false"/>
          <w:sz w:val="20"/>
        </w:rPr>
        <w:t>,” and such funding, the “</w:t>
      </w:r>
      <w:r>
        <w:rPr>
          <w:rFonts w:ascii="Times New Roman;Times;Serif" w:hAnsi="Times New Roman;Times;Serif"/>
          <w:b/>
          <w:i w:val="false"/>
          <w:caps w:val="false"/>
          <w:smallCaps w:val="false"/>
          <w:sz w:val="20"/>
          <w:u w:val="single"/>
        </w:rPr>
        <w:t>Tranche 2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i w:val="false"/>
          <w:caps w:val="false"/>
          <w:smallCaps w:val="false"/>
          <w:sz w:val="20"/>
          <w:u w:val="single"/>
        </w:rPr>
        <w:t>Tranche 3</w:t>
      </w:r>
      <w:r>
        <w:rPr>
          <w:rFonts w:ascii="Times New Roman;Times;Serif" w:hAnsi="Times New Roman;Times;Serif"/>
          <w:b w:val="false"/>
          <w:i w:val="false"/>
          <w:caps w:val="false"/>
          <w:smallCaps w:val="false"/>
          <w:sz w:val="20"/>
        </w:rPr>
        <w:t>: an amount equal to $500,000 (the “</w:t>
      </w:r>
      <w:r>
        <w:rPr>
          <w:rFonts w:ascii="Times New Roman;Times;Serif" w:hAnsi="Times New Roman;Times;Serif"/>
          <w:b/>
          <w:i w:val="false"/>
          <w:caps w:val="false"/>
          <w:smallCaps w:val="false"/>
          <w:sz w:val="20"/>
          <w:u w:val="single"/>
        </w:rPr>
        <w:t>Tranche 3 Amount</w:t>
      </w:r>
      <w:r>
        <w:rPr>
          <w:rFonts w:ascii="Times New Roman;Times;Serif" w:hAnsi="Times New Roman;Times;Serif"/>
          <w:b w:val="false"/>
          <w:i w:val="false"/>
          <w:caps w:val="false"/>
          <w:smallCaps w:val="false"/>
          <w:sz w:val="20"/>
        </w:rPr>
        <w:t>”), payable within three (3) Business Days following the public filing of such registration statement on Form S-1 (or any amendment thereto) with the Commission (such filing, the “</w:t>
      </w:r>
      <w:r>
        <w:rPr>
          <w:rFonts w:ascii="Times New Roman;Times;Serif" w:hAnsi="Times New Roman;Times;Serif"/>
          <w:b/>
          <w:i w:val="false"/>
          <w:caps w:val="false"/>
          <w:smallCaps w:val="false"/>
          <w:sz w:val="20"/>
          <w:u w:val="single"/>
        </w:rPr>
        <w:t>Public Filing</w:t>
      </w:r>
      <w:r>
        <w:rPr>
          <w:rFonts w:ascii="Times New Roman;Times;Serif" w:hAnsi="Times New Roman;Times;Serif"/>
          <w:b w:val="false"/>
          <w:i w:val="false"/>
          <w:caps w:val="false"/>
          <w:smallCaps w:val="false"/>
          <w:sz w:val="20"/>
        </w:rPr>
        <w:t>,” and such funding, the “</w:t>
      </w:r>
      <w:r>
        <w:rPr>
          <w:rFonts w:ascii="Times New Roman;Times;Serif" w:hAnsi="Times New Roman;Times;Serif"/>
          <w:b/>
          <w:i w:val="false"/>
          <w:caps w:val="false"/>
          <w:smallCaps w:val="false"/>
          <w:sz w:val="20"/>
          <w:u w:val="single"/>
        </w:rPr>
        <w:t>Tranche 3 Closing</w:t>
      </w:r>
      <w:r>
        <w:rPr>
          <w:rFonts w:ascii="Times New Roman;Times;Serif" w:hAnsi="Times New Roman;Times;Serif"/>
          <w:b w:val="false"/>
          <w:i w:val="false"/>
          <w:caps w:val="false"/>
          <w:smallCaps w:val="false"/>
          <w:sz w:val="20"/>
        </w:rPr>
        <w:t>”; each of the Tranche 2 Closing and the Tranche 3 Closing, together with the Initial Closing, a “</w:t>
      </w:r>
      <w:r>
        <w:rPr>
          <w:rFonts w:ascii="Times New Roman;Times;Serif" w:hAnsi="Times New Roman;Times;Serif"/>
          <w:b/>
          <w:i w:val="false"/>
          <w:caps w:val="false"/>
          <w:smallCaps w:val="false"/>
          <w:sz w:val="20"/>
          <w:u w:val="single"/>
        </w:rPr>
        <w:t>Tranche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i w:val="false"/>
          <w:caps w:val="false"/>
          <w:smallCaps w:val="false"/>
          <w:sz w:val="20"/>
          <w:u w:val="single"/>
        </w:rPr>
        <w:t>Increase Upon Funding of Tranche 2 and Tranche 3</w:t>
      </w:r>
      <w:r>
        <w:rPr>
          <w:rFonts w:ascii="Times New Roman;Times;Serif" w:hAnsi="Times New Roman;Times;Serif"/>
          <w:b w:val="false"/>
          <w:i w:val="false"/>
          <w:caps w:val="false"/>
          <w:smallCaps w:val="false"/>
          <w:sz w:val="20"/>
        </w:rPr>
        <w:t>. Upon the funding of Tranche 2 in accordance with Section 2.2, the outstanding principal amount of each Purchaser’s Note shall automatically, and without any further action on the part of the Company or such Purchaser, be increased by an amount equal to such Purchaser’s pro rata share of $714,285.71, and the Company shall issue to such Purchaser an additional Warrant to purchase up to such Purchaser’s pro rata share of 259,740 shares of Common Stock. Upon the funding of Tranche 3 in accordance with Section 2.2, the outstanding principal amount of each Purchaser’s Note shall automatically, and without any further action on the part of the Company or such Purchaser, be increased by an amount equal to such Purchaser’s pro rata share of $714,285.72, and the Company shall issue to such Purchaser an additional Warrant to purchase up to such Purchaser’s pro rata share of 259,740 shares of Common Stock. Promptly following any such funding, the Company shall, at the Company’s sole cost, execute and deliver to such Purchaser an amended and restated Note reflecting such increase and a Warrant certificate representing such additional Warrant Shares; provided that the failure to deliver any such amended and restated Note or Warrant certificate shall not affect the automatic increases described above.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ind w:left="881" w:right="194" w:firstLine="720"/>
        <w:jc w:val="left"/>
        <w:rPr>
          <w:caps w:val="false"/>
          <w:smallCaps w:val="false"/>
        </w:rPr>
      </w:pPr>
      <w:r>
        <w:rPr>
          <w:caps w:val="false"/>
          <w:smallCaps w:val="false"/>
        </w:rPr>
        <w:t> </w:t>
      </w:r>
    </w:p>
    <w:p>
      <w:pPr>
        <w:pStyle w:val="TextBody"/>
        <w:bidi w:val="0"/>
        <w:ind w:left="881" w:right="194"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The Company shall deliver or cause to be delivered to each Purchaser or the Placement Agent, as appropriate, the following at the times stated: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 on the date hereof:</w:t>
      </w:r>
    </w:p>
    <w:p>
      <w:pPr>
        <w:pStyle w:val="TextBody"/>
        <w:bidi w:val="0"/>
        <w:spacing w:before="0" w:after="283"/>
        <w:jc w:val="left"/>
        <w:rPr/>
      </w:pPr>
      <w:r>
        <w:rPr/>
        <w:t xml:space="preserve">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2.4.1.1.1. this Agreement duly executed by the Company.</w:t>
      </w:r>
    </w:p>
    <w:p>
      <w:pPr>
        <w:pStyle w:val="TextBody"/>
        <w:bidi w:val="0"/>
        <w:spacing w:before="0" w:after="0"/>
        <w:ind w:left="4481" w:right="0" w:hanging="144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2.4.1.1.2. a certificate executed by the Chief Financial Officer of the Company in customary form reasonably satisfactory to the Placement Agent and its counsel.</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2.4.1.1.3. the Lock-Up Agreements.</w:t>
      </w:r>
    </w:p>
    <w:p>
      <w:pPr>
        <w:pStyle w:val="TextBody"/>
        <w:bidi w:val="0"/>
        <w:spacing w:before="0" w:after="0"/>
        <w:ind w:left="4481" w:right="0" w:hanging="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 on or prior to the Closing Date:</w:t>
      </w:r>
    </w:p>
    <w:p>
      <w:pPr>
        <w:pStyle w:val="TextBody"/>
        <w:bidi w:val="0"/>
        <w:spacing w:before="0" w:after="283"/>
        <w:jc w:val="left"/>
        <w:rPr/>
      </w:pPr>
      <w:r>
        <w:rPr/>
        <w:t xml:space="preserve">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2.4.1.2.1. a legal opinion of Company Counsel, addressed to the Placement Agent and the Purchasers, in form and substance reasonably acceptable to the Placement Agent and the Purchasers.</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2.4.1.2.2. a copy of the irrevocable instructions to the Transfer Agent authorizing the reservation and issuance of the Note Shares and the Warrant Shares in accordance with the Transaction Documents.</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2.4.1.2.3. the Company’s wire instructions, on Company letterhead and executed by the Chief Executive Officer or Chief Financial Officer.</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2.4.1.2.4. a duly executed and delivered Officers’ Certificate, in customary form reasonably satisfactory to the Placement Agent and its counsel.</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2.4.1.2.5. the PIPE Common Warrants registered in the name of such Purchaser, to purchase up to such Purchaser’s pro rata portion of 779,221 shares of Common Stock, with an exercise price equal to $2.75 per share, subject to adjustment as provided therein.</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2.4.1.2.6. the Note, registered in the name of such Purchaser, in the initial principal amount equal to such Purchaser’s pro rata portion of $2,142,857.14, subject to adjustment as provided therein.</w:t>
      </w:r>
    </w:p>
    <w:p>
      <w:pPr>
        <w:pStyle w:val="TextBody"/>
        <w:bidi w:val="0"/>
        <w:spacing w:before="0" w:after="0"/>
        <w:ind w:left="3041"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Each Purchaser, and the Placement Agent, as applicable, shall deliver or cause to be delivered to the Company the following at the times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 on the date hereof:</w:t>
      </w:r>
    </w:p>
    <w:p>
      <w:pPr>
        <w:pStyle w:val="TextBody"/>
        <w:bidi w:val="0"/>
        <w:spacing w:before="0" w:after="283"/>
        <w:jc w:val="left"/>
        <w:rPr/>
      </w:pPr>
      <w:r>
        <w:rPr/>
        <w:t xml:space="preserve">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2.4.2.1.1. this Agreement duly executed by such Purchaser.</w:t>
      </w:r>
    </w:p>
    <w:p>
      <w:pPr>
        <w:pStyle w:val="TextBody"/>
        <w:bidi w:val="0"/>
        <w:spacing w:before="0" w:after="0"/>
        <w:ind w:left="4481" w:right="0" w:hanging="144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 on or prior to the Closing Date:</w:t>
      </w:r>
    </w:p>
    <w:p>
      <w:pPr>
        <w:pStyle w:val="TextBody"/>
        <w:bidi w:val="0"/>
        <w:spacing w:before="0" w:after="0"/>
        <w:ind w:left="2880" w:right="0" w:hanging="0"/>
        <w:jc w:val="both"/>
        <w:rPr>
          <w:caps w:val="false"/>
          <w:smallCaps w:val="false"/>
        </w:rPr>
      </w:pPr>
      <w:r>
        <w:rPr>
          <w:caps w:val="false"/>
          <w:smallCaps w:val="false"/>
        </w:rPr>
        <w:t> </w:t>
      </w:r>
    </w:p>
    <w:p>
      <w:pPr>
        <w:pStyle w:val="TextBody"/>
        <w:bidi w:val="0"/>
        <w:spacing w:before="0" w:after="0"/>
        <w:ind w:left="28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2.4.2.2.1. such Purchaser’s Initial Tranche Amount by wire transfer of immediately available funds to the account specified in writing by the Company.</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i w:val="false"/>
          <w:caps w:val="false"/>
          <w:smallCaps w:val="false"/>
          <w:sz w:val="20"/>
          <w:u w:val="single"/>
        </w:rPr>
        <w:t>Funding of Subsequent Tranches</w:t>
      </w:r>
      <w:r>
        <w:rPr>
          <w:rFonts w:ascii="Times New Roman;Times;Serif" w:hAnsi="Times New Roman;Times;Serif"/>
          <w:b w:val="false"/>
          <w:i w:val="false"/>
          <w:caps w:val="false"/>
          <w:smallCaps w:val="false"/>
          <w:sz w:val="20"/>
        </w:rPr>
        <w:t>. With respect to Tranche 2, the Company shall provide written notice to the Purchasers promptly upon the Confidential Filing (a “</w:t>
      </w:r>
      <w:r>
        <w:rPr>
          <w:rFonts w:ascii="Times New Roman;Times;Serif" w:hAnsi="Times New Roman;Times;Serif"/>
          <w:b/>
          <w:i w:val="false"/>
          <w:caps w:val="false"/>
          <w:smallCaps w:val="false"/>
          <w:sz w:val="20"/>
          <w:u w:val="single"/>
        </w:rPr>
        <w:t>Tranche 2 Notice</w:t>
      </w:r>
      <w:r>
        <w:rPr>
          <w:rFonts w:ascii="Times New Roman;Times;Serif" w:hAnsi="Times New Roman;Times;Serif"/>
          <w:b w:val="false"/>
          <w:i w:val="false"/>
          <w:caps w:val="false"/>
          <w:smallCaps w:val="false"/>
          <w:sz w:val="20"/>
        </w:rPr>
        <w:t>”), and each Purchaser shall wire transfer its portion of the Tranche 2 Amount to the account specified in writing by the Company no later than three (3) Business Days after receipt of the Tranche 2 Notice. With respect to Tranche 3, the Company shall provide written notice to the Purchasers promptly upon the Public Filing (a “</w:t>
      </w:r>
      <w:r>
        <w:rPr>
          <w:rFonts w:ascii="Times New Roman;Times;Serif" w:hAnsi="Times New Roman;Times;Serif"/>
          <w:b/>
          <w:i w:val="false"/>
          <w:caps w:val="false"/>
          <w:smallCaps w:val="false"/>
          <w:sz w:val="20"/>
          <w:u w:val="single"/>
        </w:rPr>
        <w:t>Tranche 3 Notice</w:t>
      </w:r>
      <w:r>
        <w:rPr>
          <w:rFonts w:ascii="Times New Roman;Times;Serif" w:hAnsi="Times New Roman;Times;Serif"/>
          <w:b w:val="false"/>
          <w:i w:val="false"/>
          <w:caps w:val="false"/>
          <w:smallCaps w:val="false"/>
          <w:sz w:val="20"/>
        </w:rPr>
        <w:t>”), and each Purchaser shall wire transfer its portion of the Tranche 3 Amount to the account specified in writing by the Company no later than three (3) Business Days after receipt of the Tranche 3 Notice. Each Purchaser shall, upon the Company’s reasonable request, deliver to the Company evidence reasonably satisfactory to the Company of such Purchaser’s financial capacity to fund the remaining Tranches (such as a bank or brokerage statement or a proof-of-funds letter).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i w:val="false"/>
          <w:caps w:val="false"/>
          <w:smallCaps w:val="false"/>
          <w:sz w:val="20"/>
          <w:u w:val="single"/>
        </w:rPr>
        <w:t>Closing Conditions</w:t>
      </w:r>
      <w:r>
        <w:rPr>
          <w:rFonts w:ascii="Times New Roman;Times;Serif" w:hAnsi="Times New Roman;Times;Serif"/>
          <w:b w:val="false"/>
          <w:i w:val="false"/>
          <w:caps w:val="false"/>
          <w:smallCaps w:val="false"/>
          <w:sz w:val="20"/>
        </w:rPr>
        <w:t xml:space="preserv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 The obligations of the Company hereunder in connection with the Closing are subject to each of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2.6.1.2 all obligations, covenants and agreements of each Purchaser required to be performed at or prior to the Closing Date shall have been performed.</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2.6.1.3 the delivery by each Purchaser of the items set forth in Section 2.4.2 of this Agreement.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 The respective obligations of the Purchasers hereunder in connection with the Closing are subject to each of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2.6.2.2 all obligations, covenants and agreements of the Company required to be performed at or prior to the Closing Date shall have been performed.</w:t>
      </w:r>
    </w:p>
    <w:p>
      <w:pPr>
        <w:pStyle w:val="TextBody"/>
        <w:bidi w:val="0"/>
        <w:spacing w:before="0" w:after="0"/>
        <w:ind w:left="21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 the delivery by the Company of the items set forth in Section 2.4.1 of this Agreement.</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2.6.2.4 there shall have been no Material Adverse Effect with respect to the Company since the date hereof.</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2.6.2.5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2.6.3. </w:t>
      </w:r>
      <w:r>
        <w:rPr>
          <w:rFonts w:ascii="Times New Roman;Times;Serif" w:hAnsi="Times New Roman;Times;Serif"/>
          <w:b/>
          <w:i w:val="false"/>
          <w:caps w:val="false"/>
          <w:smallCaps w:val="false"/>
          <w:sz w:val="20"/>
          <w:u w:val="single"/>
        </w:rPr>
        <w:t>Additional Conditions to Tranche 2 and Tranche 3</w:t>
      </w:r>
      <w:r>
        <w:rPr>
          <w:rFonts w:ascii="Times New Roman;Times;Serif" w:hAnsi="Times New Roman;Times;Serif"/>
          <w:b w:val="false"/>
          <w:i w:val="false"/>
          <w:caps w:val="false"/>
          <w:smallCaps w:val="false"/>
          <w:sz w:val="20"/>
        </w:rPr>
        <w:t>. Notwithstanding anything to the contrary in this Agreement, the obligation of each Purchaser to fund the Tranche 2 Amount and the Tranche 3 Amount is further subject to the satisfaction (or waiver in writing by such Purchaser) of each of the following, at or prior to the funding of the applicable Tranche: (i) the accuracy in all material respects (or, to the extent representations or warranties are qualified by materiality or Material Adverse Effect, in all respects) of the representations and warranties of the Company contained herein as of the applicable funding date (unless as of a specific date therein, in which case they shall be accurate as of such date), (ii) all obligations, covenants and agreements of the Company required to be performed at or prior to the applicable funding date shall have been performed, (iii) no Material Adverse Effect shall have occurred and be continuing, (iv) no Event of Default (as defined in the Note) shall have occurred and be continuing under the Note, and (v) with respect to Tranche 2, the Confidential Filing shall have occurred, and with respect to Tranche 3, the Public Filing shall have occurred.</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170"/>
        <w:gridCol w:w="279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Representations and Warranties</w:t>
            </w:r>
            <w:r>
              <w:rPr>
                <w:rFonts w:ascii="Times New Roman;Times;Serif" w:hAnsi="Times New Roman;Times;Serif"/>
                <w:sz w:val="20"/>
              </w:rPr>
              <w:t>.</w:t>
            </w:r>
          </w:p>
        </w:tc>
      </w:tr>
    </w:tbl>
    <w:p>
      <w:pPr>
        <w:pStyle w:val="TextBody"/>
        <w:bidi w:val="0"/>
        <w:spacing w:before="0" w:after="0"/>
        <w:ind w:left="88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Schedule 3.1.1.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Each of the Company and its operating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however, that “</w:t>
      </w:r>
      <w:r>
        <w:rPr>
          <w:rFonts w:ascii="Times New Roman;Times;Serif" w:hAnsi="Times New Roman;Times;Serif"/>
          <w:b/>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not include any event, occurrence, fact, condition or change, directly or indirectly, arising out of or attributable to: (i) the announcement, pendency or completion of the transactions contemplated by the Transaction Documents or (ii) any action required or permitted by the Transaction Documents or any action taken (or omitted to be taken) with the written consent of or at the written request of Purchaser). As to all Company and Subsidiary power, authority and qualification,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notice and/or application(s) to each applicable Trading Market for the issuance and sale of the Securities and the listing of the Note Shares and Warrant Shares for trading thereon in the time and manner required thereby, (iii) the filing of Form D with the Commission, (iv) the Stockholder Approval and such other filings as are required to be made under applicable state securities laws (the “</w:t>
      </w:r>
      <w:r>
        <w:rPr>
          <w:rFonts w:ascii="Times New Roman;Times;Serif" w:hAnsi="Times New Roman;Times;Serif"/>
          <w:b/>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i w:val="false"/>
          <w:caps w:val="false"/>
          <w:smallCaps w:val="false"/>
          <w:sz w:val="20"/>
          <w:u w:val="single"/>
        </w:rPr>
        <w:t>Issuance of the Securities</w:t>
      </w:r>
      <w:r>
        <w:rPr>
          <w:rFonts w:ascii="Times New Roman;Times;Serif" w:hAnsi="Times New Roman;Times;Serif"/>
          <w:b w:val="false"/>
          <w:i w:val="false"/>
          <w:caps w:val="false"/>
          <w:smallCaps w:val="false"/>
          <w:sz w:val="20"/>
        </w:rPr>
        <w:t>. The Securities are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The Note Shares and the Warrant Shares, when issued in accordance with the terms of the Transaction Documents, will be validly issued, fully paid and nonassessable (which means that no further sums are required to be paid by the holders thereof in connection with the issue thereof), free and clear of all Liens imposed by the Company other than restrictions on transfer provided for in the Transaction Documents and applicable law. As of the date hereof, the Company has reserved and the Company shall continue to reserve and keep available at all times, free of preemptive rights, a sufficient number of shares of Common Stock for the purpose of enabling the Company to issue the maximum number of Note Shares issuable upon conversion of the Note and the maximum number of Warrant Shares issuable upon exercise of the Warrants, without regard to any limitations upon conversion of the Note or exercise of the Warrants and assuming conversion of the Note at the Conversion Price (as defined in the Note) and exercise of the Warrants at the Exercise Price (as defined in the Warrants) (as adjusted for forward and reverse stock splits, recapitalizations, stock dividends and the like after the date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i w:val="false"/>
          <w:caps w:val="false"/>
          <w:smallCaps w:val="false"/>
          <w:sz w:val="20"/>
          <w:u w:val="single"/>
        </w:rPr>
        <w:t>Capitalization</w:t>
      </w:r>
      <w:r>
        <w:rPr>
          <w:rFonts w:ascii="Times New Roman;Times;Serif" w:hAnsi="Times New Roman;Times;Serif"/>
          <w:b w:val="false"/>
          <w:i w:val="false"/>
          <w:caps w:val="false"/>
          <w:smallCaps w:val="false"/>
          <w:sz w:val="20"/>
        </w:rPr>
        <w:t>. The capitalization of the Company as of the date hereof is as set forth on Schedule 3.2.1, which Schedule 3.2.1 shall also include the number of shares of Common Stock owned beneficially, and of record, by Affiliates of the Company as of the date hereof. Other than as stated in Schedule 3.2.1,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Schedule 3.2.1, or pursuant to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in Schedule 3.2.1,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Schedule 3.2.1,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is not currently an issuer subject to Rule 144(i) under the Securities Act. The Company has filed Form 10 information at least one year prior to the date hereof.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Since the date of the latest audited financial statements included within the SEC Reports, except as set forth on Schedule 3.2.3,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Schedule 3.2.4,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i w:val="false"/>
          <w:caps w:val="false"/>
          <w:smallCaps w:val="false"/>
          <w:sz w:val="20"/>
          <w:u w:val="single"/>
        </w:rPr>
        <w:t>Action</w:t>
      </w:r>
      <w:r>
        <w:rPr>
          <w:rFonts w:ascii="Times New Roman;Times;Serif" w:hAnsi="Times New Roman;Times;Serif"/>
          <w:b w:val="false"/>
          <w:i w:val="false"/>
          <w:caps w:val="false"/>
          <w:smallCaps w:val="false"/>
          <w:sz w:val="20"/>
        </w:rPr>
        <w:t>”). None of the Actions set forth on Schedule 3.2.4, (i) adversely affects or challenges the legality, validity or enforceability of any of the Transaction Documents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except in the ordinary course of business that would not have a Material Adverse Effect.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3.2.6. </w:t>
      </w:r>
      <w:r>
        <w:rPr>
          <w:rFonts w:ascii="Times New Roman;Times;Serif" w:hAnsi="Times New Roman;Times;Serif"/>
          <w:b/>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3.2.7.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3.2.8. </w:t>
      </w:r>
      <w:r>
        <w:rPr>
          <w:rFonts w:ascii="Times New Roman;Times;Serif" w:hAnsi="Times New Roman;Times;Serif"/>
          <w:b/>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3.2.9. </w:t>
      </w:r>
      <w:r>
        <w:rPr>
          <w:rFonts w:ascii="Times New Roman;Times;Serif" w:hAnsi="Times New Roman;Times;Serif"/>
          <w:b/>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that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Neither the Company nor any of its Subsidiaries has received any written notice of any claim of any sort that has been asserted by anyone adverse to the rights of the Company or its Subsidiaries under any of the leases or subleases or licenses or with respect to the properties mentioned above, or affecting or questioning the rights of the Company or any Subsidiary to the continued possession or use of the leased or subleased or licensed premises or the properties mentioned above, other than such claims which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3.2.10. </w:t>
      </w:r>
      <w:r>
        <w:rPr>
          <w:rFonts w:ascii="Times New Roman;Times;Serif" w:hAnsi="Times New Roman;Times;Serif"/>
          <w:b/>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notice (written or otherwise) that any of, the Intellectual Property Rights has expired, terminated or been abandoned, or is expected to expire or terminate or be abandoned, within two (2) years after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3.2.11. </w:t>
      </w:r>
      <w:r>
        <w:rPr>
          <w:rFonts w:ascii="Times New Roman;Times;Serif" w:hAnsi="Times New Roman;Times;Serif"/>
          <w:b/>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in amount deemed prudent by the Company.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3.2.12. </w:t>
      </w:r>
      <w:r>
        <w:rPr>
          <w:rFonts w:ascii="Times New Roman;Times;Serif" w:hAnsi="Times New Roman;Times;Serif"/>
          <w:b/>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3.2.12, during the past three fiscal years and the subsequent interim period through the date of this Agreement,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3.2.13. </w:t>
      </w:r>
      <w:r>
        <w:rPr>
          <w:rFonts w:ascii="Times New Roman;Times;Serif" w:hAnsi="Times New Roman;Times;Serif"/>
          <w:b/>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set forth on Schedule 3.2.13,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3.2.14. </w:t>
      </w:r>
      <w:r>
        <w:rPr>
          <w:rFonts w:ascii="Times New Roman;Times;Serif" w:hAnsi="Times New Roman;Times;Serif"/>
          <w:b/>
          <w:i w:val="false"/>
          <w:caps w:val="false"/>
          <w:smallCaps w:val="false"/>
          <w:sz w:val="20"/>
          <w:u w:val="single"/>
        </w:rPr>
        <w:t>Certain Fees</w:t>
      </w:r>
      <w:r>
        <w:rPr>
          <w:rFonts w:ascii="Times New Roman;Times;Serif" w:hAnsi="Times New Roman;Times;Serif"/>
          <w:b w:val="false"/>
          <w:i w:val="false"/>
          <w:caps w:val="false"/>
          <w:smallCaps w:val="false"/>
          <w:sz w:val="20"/>
        </w:rPr>
        <w:t>. Except for the fees and expenses of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3.2.14 that may be due in connection with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3.2.15. </w:t>
      </w:r>
      <w:r>
        <w:rPr>
          <w:rFonts w:ascii="Times New Roman;Times;Serif" w:hAnsi="Times New Roman;Times;Serif"/>
          <w:b/>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3.3,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3.2.16. </w:t>
      </w:r>
      <w:r>
        <w:rPr>
          <w:rFonts w:ascii="Times New Roman;Times;Serif" w:hAnsi="Times New Roman;Times;Serif"/>
          <w:b/>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3.2.17. </w:t>
      </w:r>
      <w:r>
        <w:rPr>
          <w:rFonts w:ascii="Times New Roman;Times;Serif" w:hAnsi="Times New Roman;Times;Serif"/>
          <w:b/>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disclosed on Schedule 3.2.17,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3.2.18. </w:t>
      </w:r>
      <w:r>
        <w:rPr>
          <w:rFonts w:ascii="Times New Roman;Times;Serif" w:hAnsi="Times New Roman;Times;Serif"/>
          <w:b/>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3.2.19. </w:t>
      </w:r>
      <w:r>
        <w:rPr>
          <w:rFonts w:ascii="Times New Roman;Times;Serif" w:hAnsi="Times New Roman;Times;Serif"/>
          <w:b/>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3.2.20. </w:t>
      </w:r>
      <w:r>
        <w:rPr>
          <w:rFonts w:ascii="Times New Roman;Times;Serif" w:hAnsi="Times New Roman;Times;Serif"/>
          <w:b/>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3.3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3.2.21. </w:t>
      </w:r>
      <w:r>
        <w:rPr>
          <w:rFonts w:ascii="Times New Roman;Times;Serif" w:hAnsi="Times New Roman;Times;Serif"/>
          <w:b/>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3.3,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stockholder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3.2.22. </w:t>
      </w:r>
      <w:r>
        <w:rPr>
          <w:rFonts w:ascii="Times New Roman;Times;Serif" w:hAnsi="Times New Roman;Times;Serif"/>
          <w:b/>
          <w:i w:val="false"/>
          <w:caps w:val="false"/>
          <w:smallCaps w:val="false"/>
          <w:sz w:val="20"/>
          <w:u w:val="single"/>
        </w:rPr>
        <w:t>Solvency</w:t>
      </w:r>
      <w:r>
        <w:rPr>
          <w:rFonts w:ascii="Times New Roman;Times;Serif" w:hAnsi="Times New Roman;Times;Serif"/>
          <w:b w:val="false"/>
          <w:i w:val="false"/>
          <w:caps w:val="false"/>
          <w:smallCaps w:val="false"/>
          <w:sz w:val="20"/>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after the Closing Date. Schedule 3.2.22 sets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3.2.23. </w:t>
      </w:r>
      <w:r>
        <w:rPr>
          <w:rFonts w:ascii="Times New Roman;Times;Serif" w:hAnsi="Times New Roman;Times;Serif"/>
          <w:b/>
          <w:i w:val="false"/>
          <w:caps w:val="false"/>
          <w:smallCaps w:val="false"/>
          <w:sz w:val="20"/>
          <w:u w:val="single"/>
        </w:rPr>
        <w:t>Tax Status</w:t>
      </w:r>
      <w:r>
        <w:rPr>
          <w:rFonts w:ascii="Times New Roman;Times;Serif" w:hAnsi="Times New Roman;Times;Serif"/>
          <w:b w:val="false"/>
          <w:i w:val="false"/>
          <w:caps w:val="false"/>
          <w:smallCaps w:val="false"/>
          <w:sz w:val="20"/>
        </w:rPr>
        <w:t>. Except as disclosed in Schedule 3.2.23, the Company and its Subsidiaries each (i) has made or filed all material United States federal, state and local income and all foreign income and franchise tax returns, reports and declarations required by any jurisdiction to which it is subject, (ii) has paid all material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3.2.24. </w:t>
      </w:r>
      <w:r>
        <w:rPr>
          <w:rFonts w:ascii="Times New Roman;Times;Serif" w:hAnsi="Times New Roman;Times;Serif"/>
          <w:b/>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3.2.25. </w:t>
      </w:r>
      <w:r>
        <w:rPr>
          <w:rFonts w:ascii="Times New Roman;Times;Serif" w:hAnsi="Times New Roman;Times;Serif"/>
          <w:b/>
          <w:i w:val="false"/>
          <w:caps w:val="false"/>
          <w:smallCaps w:val="false"/>
          <w:sz w:val="20"/>
          <w:u w:val="single"/>
        </w:rPr>
        <w:t>Foreign Corrupt Practices Act</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3.2.26. </w:t>
      </w:r>
      <w:r>
        <w:rPr>
          <w:rFonts w:ascii="Times New Roman;Times;Serif" w:hAnsi="Times New Roman;Times;Serif"/>
          <w:b/>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Bush &amp; Associates CPA LLC, with offices at 9555 South Eastern Avenue, Suite 280, Las Vegas, NV 89123. To the knowledge and belief of the Company, such accounting firm (i) is a registered public accounting firm as required by the Exchange Act and (ii) shall express its opinion with respect to the financial statements to be included in the Company’s Annual Report for the now current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3.2.27. </w:t>
      </w:r>
      <w:r>
        <w:rPr>
          <w:rFonts w:ascii="Times New Roman;Times;Serif" w:hAnsi="Times New Roman;Times;Serif"/>
          <w:b/>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3.2.28. </w:t>
      </w:r>
      <w:r>
        <w:rPr>
          <w:rFonts w:ascii="Times New Roman;Times;Serif" w:hAnsi="Times New Roman;Times;Serif"/>
          <w:b/>
          <w:i w:val="false"/>
          <w:caps w:val="false"/>
          <w:smallCaps w:val="false"/>
          <w:sz w:val="20"/>
          <w:u w:val="single"/>
        </w:rPr>
        <w:t>Acknowledgment Regarding Purchasers’ Purchase of Securities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3.2.29. </w:t>
      </w:r>
      <w:r>
        <w:rPr>
          <w:rFonts w:ascii="Times New Roman;Times;Serif" w:hAnsi="Times New Roman;Times;Serif"/>
          <w:b/>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Notwithstanding anything in this Agreement or elsewhere herein to the contrary (except for Sections 3.3.7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3.2.30. </w:t>
      </w:r>
      <w:r>
        <w:rPr>
          <w:rFonts w:ascii="Times New Roman;Times;Serif" w:hAnsi="Times New Roman;Times;Serif"/>
          <w:b/>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3.2.31. </w:t>
      </w:r>
      <w:r>
        <w:rPr>
          <w:rFonts w:ascii="Times New Roman;Times;Serif" w:hAnsi="Times New Roman;Times;Serif"/>
          <w:b/>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Purchasers shall be deemed a representation and warranty by the Company to the Purchasers as to the matters covered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3.2.32. </w:t>
      </w:r>
      <w:r>
        <w:rPr>
          <w:rFonts w:ascii="Times New Roman;Times;Serif" w:hAnsi="Times New Roman;Times;Serif"/>
          <w:b/>
          <w:i w:val="false"/>
          <w:caps w:val="false"/>
          <w:smallCaps w:val="false"/>
          <w:sz w:val="20"/>
          <w:u w:val="single"/>
        </w:rPr>
        <w:t>D&amp;O Questionnaires</w:t>
      </w:r>
      <w:r>
        <w:rPr>
          <w:rFonts w:ascii="Times New Roman;Times;Serif" w:hAnsi="Times New Roman;Times;Serif"/>
          <w:b w:val="false"/>
          <w:i w:val="false"/>
          <w:caps w:val="false"/>
          <w:smallCaps w:val="false"/>
          <w:sz w:val="20"/>
        </w:rPr>
        <w:t>. To the Company’s knowledge, all information contained in the questionnaires most recently completed by each of the Company’s directors and officers and beneficial owner of 5% or more of the shares of Common Stock or Common Stock Equivalents is true and correct in all respects and the Company has not become aware of any information which would cause the information disclosed in such questionnaires to become inaccurate and incorrect.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3.2.33. </w:t>
      </w:r>
      <w:r>
        <w:rPr>
          <w:rFonts w:ascii="Times New Roman;Times;Serif" w:hAnsi="Times New Roman;Times;Serif"/>
          <w:b/>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if any,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3.2.34. </w:t>
      </w:r>
      <w:r>
        <w:rPr>
          <w:rFonts w:ascii="Times New Roman;Times;Serif" w:hAnsi="Times New Roman;Times;Serif"/>
          <w:b/>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3.2.35. </w:t>
      </w:r>
      <w:r>
        <w:rPr>
          <w:rFonts w:ascii="Times New Roman;Times;Serif" w:hAnsi="Times New Roman;Times;Serif"/>
          <w:b/>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3.2.36. </w:t>
      </w:r>
      <w:r>
        <w:rPr>
          <w:rFonts w:ascii="Times New Roman;Times;Serif" w:hAnsi="Times New Roman;Times;Serif"/>
          <w:b/>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3.2.37. </w:t>
      </w:r>
      <w:r>
        <w:rPr>
          <w:rFonts w:ascii="Times New Roman;Times;Serif" w:hAnsi="Times New Roman;Times;Serif"/>
          <w:b/>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 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3.2.38. </w:t>
      </w:r>
      <w:r>
        <w:rPr>
          <w:rFonts w:ascii="Times New Roman;Times;Serif" w:hAnsi="Times New Roman;Times;Serif"/>
          <w:b/>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3.2.39. </w:t>
      </w:r>
      <w:r>
        <w:rPr>
          <w:rFonts w:ascii="Times New Roman;Times;Serif" w:hAnsi="Times New Roman;Times;Serif"/>
          <w:b/>
          <w:i w:val="false"/>
          <w:caps w:val="false"/>
          <w:smallCaps w:val="false"/>
          <w:sz w:val="20"/>
          <w:u w:val="single"/>
        </w:rPr>
        <w:t>Other Covered Persons</w:t>
      </w:r>
      <w:r>
        <w:rPr>
          <w:rFonts w:ascii="Times New Roman;Times;Serif" w:hAnsi="Times New Roman;Times;Serif"/>
          <w:b w:val="false"/>
          <w:i w:val="false"/>
          <w:caps w:val="false"/>
          <w:smallCaps w:val="false"/>
          <w:sz w:val="20"/>
        </w:rPr>
        <w:t>. Other than the Placement Agent, the Company is not aware of any person (other than any Issuer Covered Person) that has been or will be paid (directly or indirectly) remuneration for solicitation of purchasers in connection with the sale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3.2.40. </w:t>
      </w:r>
      <w:r>
        <w:rPr>
          <w:rFonts w:ascii="Times New Roman;Times;Serif" w:hAnsi="Times New Roman;Times;Serif"/>
          <w:b/>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and the Placement Agent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3.2.41. </w:t>
      </w:r>
      <w:r>
        <w:rPr>
          <w:rFonts w:ascii="Times New Roman;Times;Serif" w:hAnsi="Times New Roman;Times;Serif"/>
          <w:b/>
          <w:i w:val="false"/>
          <w:caps w:val="false"/>
          <w:smallCaps w:val="false"/>
          <w:sz w:val="20"/>
          <w:u w:val="single"/>
        </w:rPr>
        <w:t>Cybersecurity</w:t>
      </w:r>
      <w:r>
        <w:rPr>
          <w:rFonts w:ascii="Times New Roman;Times;Serif" w:hAnsi="Times New Roman;Times;Serif"/>
          <w:b w:val="false"/>
          <w:i w:val="false"/>
          <w:caps w:val="false"/>
          <w:smallCaps w:val="false"/>
          <w:sz w:val="20"/>
        </w:rPr>
        <w:t>. (i) (a)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i w:val="false"/>
          <w:caps w:val="false"/>
          <w:smallCaps w:val="false"/>
          <w:sz w:val="20"/>
          <w:u w:val="single"/>
        </w:rPr>
        <w:t>IT Systems and Data</w:t>
      </w:r>
      <w:r>
        <w:rPr>
          <w:rFonts w:ascii="Times New Roman;Times;Serif" w:hAnsi="Times New Roman;Times;Serif"/>
          <w:b w:val="false"/>
          <w:i w:val="false"/>
          <w:caps w:val="false"/>
          <w:smallCaps w:val="false"/>
          <w:sz w:val="20"/>
        </w:rPr>
        <w:t>”) and (b)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in the case of clauses (i) and (ii) herein,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3.2.42. </w:t>
      </w:r>
      <w:r>
        <w:rPr>
          <w:rFonts w:ascii="Times New Roman;Times;Serif" w:hAnsi="Times New Roman;Times;Serif"/>
          <w:b/>
          <w:i w:val="false"/>
          <w:caps w:val="false"/>
          <w:smallCaps w:val="false"/>
          <w:sz w:val="20"/>
          <w:u w:val="single"/>
        </w:rPr>
        <w:t>Separate and Independent Purchasers</w:t>
      </w:r>
      <w:r>
        <w:rPr>
          <w:rFonts w:ascii="Times New Roman;Times;Serif" w:hAnsi="Times New Roman;Times;Serif"/>
          <w:b w:val="false"/>
          <w:i w:val="false"/>
          <w:caps w:val="false"/>
          <w:smallCaps w:val="false"/>
          <w:sz w:val="20"/>
        </w:rPr>
        <w:t>. The Company further (a) represents and warrants and acknowledges and agrees that, to the knowledge of the Company (i) each Purchaser is participating in the offering of Securities contemplated hereby separately and independently of each other Purchaser, (ii) no Purchaser has communicated directly with any other Purchaser, (iii) all communications by each Purchaser concerning the Transaction Documents and the transactions contemplated thereby and any matters related thereto were solely conducted separately and independently with the Placement Agent without the involvement or inclusion of any other Purchaser and (iv) the Purchasers do not constitute a “group” as that term is used under Section 13(d)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3.3.1. </w:t>
      </w:r>
      <w:r>
        <w:rPr>
          <w:rFonts w:ascii="Times New Roman;Times;Serif" w:hAnsi="Times New Roman;Times;Serif"/>
          <w:b/>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legal, valid and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3.3.2. </w:t>
      </w:r>
      <w:r>
        <w:rPr>
          <w:rFonts w:ascii="Times New Roman;Times;Serif" w:hAnsi="Times New Roman;Times;Serif"/>
          <w:b/>
          <w:i w:val="false"/>
          <w:caps w:val="false"/>
          <w:smallCaps w:val="false"/>
          <w:sz w:val="20"/>
          <w:u w:val="single"/>
        </w:rPr>
        <w:t>Own Account</w:t>
      </w:r>
      <w:r>
        <w:rPr>
          <w:rFonts w:ascii="Times New Roman;Times;Serif" w:hAnsi="Times New Roman;Times;Serif"/>
          <w:b w:val="false"/>
          <w:i w:val="false"/>
          <w:caps w:val="false"/>
          <w:smallCaps w:val="false"/>
          <w:sz w:val="20"/>
        </w:rPr>
        <w:t>. Such Purchaser understands that the Securities are “restricted securities” as defined in Rule 144 and have not been registered under the Securities Act or any applicable state securities law and is acquiring the Securities as principal for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shall not limit such Purchaser’s right to sell the Securities pursuant to a registration statement or otherwise in compliance with applicable federal and state securities laws). Such Purchaser is acquiring the Securities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 </w:t>
      </w:r>
      <w:r>
        <w:rPr>
          <w:rFonts w:ascii="Times New Roman;Times;Serif" w:hAnsi="Times New Roman;Times;Serif"/>
          <w:b/>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Securities, it was, and as of the date hereof it is, and on each date on which it exercises any Warrants, it will be either: (i) an “accredited investor” as defined in Rule 501(a)(1), (a)(2), (a)(3), (a)(7), (a)(8), (a)(9), (a)(12), or (a)(13) under the Securities Act or (ii) a “qualified institutional buyer” as defined in Rule 144A(a)(1) under the Securities Act. Such Purchaser hereby represents that neither such Purchaser nor any of its Rule 506(d) Related Parties (as defined below) is a “bad actor” within the meaning of Rule 506(d) promulgated under the Securities Act. For purposes of this Agreement, “Rule 506(d) Related Party” shall mean a person or entity covered by the “Bad Actor disqualification” provision of Rule 506(d)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3.3.4. </w:t>
      </w:r>
      <w:r>
        <w:rPr>
          <w:rFonts w:ascii="Times New Roman;Times;Serif" w:hAnsi="Times New Roman;Times;Serif"/>
          <w:b/>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3.3.5. </w:t>
      </w:r>
      <w:r>
        <w:rPr>
          <w:rFonts w:ascii="Times New Roman;Times;Serif" w:hAnsi="Times New Roman;Times;Serif"/>
          <w:b/>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to such Purchaser’s knowledge,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3.3.6. </w:t>
      </w:r>
      <w:r>
        <w:rPr>
          <w:rFonts w:ascii="Times New Roman;Times;Serif" w:hAnsi="Times New Roman;Times;Serif"/>
          <w:b/>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and has not been provided to it (other than with respect to the transactions contemplated by the Transaction Documents). In connection with the issuance of the Securities to such Purchaser, neither the Placement Agent nor any of its Affiliates has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3.3.7. </w:t>
      </w:r>
      <w:r>
        <w:rPr>
          <w:rFonts w:ascii="Times New Roman;Times;Serif" w:hAnsi="Times New Roman;Times;Serif"/>
          <w:b/>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3.3.8. </w:t>
      </w:r>
      <w:r>
        <w:rPr>
          <w:rFonts w:ascii="Times New Roman;Times;Serif" w:hAnsi="Times New Roman;Times;Serif"/>
          <w:b/>
          <w:i w:val="false"/>
          <w:caps w:val="false"/>
          <w:smallCaps w:val="false"/>
          <w:sz w:val="20"/>
          <w:u w:val="single"/>
        </w:rPr>
        <w:t>No Intent to Effect a Change of Control</w:t>
      </w:r>
      <w:r>
        <w:rPr>
          <w:rFonts w:ascii="Times New Roman;Times;Serif" w:hAnsi="Times New Roman;Times;Serif"/>
          <w:b w:val="false"/>
          <w:i w:val="false"/>
          <w:caps w:val="false"/>
          <w:smallCaps w:val="false"/>
          <w:sz w:val="20"/>
        </w:rPr>
        <w:t>. Such Purchaser has no present intent to effect a “change of control” of the Company as such term is interpreted and understood under the rules promulgated pursuant to Section 13(d)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3.3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Other Agreements of the Parties</w:t>
            </w:r>
            <w:r>
              <w:rPr>
                <w:rFonts w:ascii="Times New Roman;Times;Serif" w:hAnsi="Times New Roman;Times;Serif"/>
                <w:sz w:val="20"/>
              </w:rPr>
              <w:t>.</w:t>
            </w:r>
          </w:p>
        </w:tc>
      </w:tr>
    </w:tbl>
    <w:p>
      <w:pPr>
        <w:pStyle w:val="TextBody"/>
        <w:bidi w:val="0"/>
        <w:spacing w:before="0" w:after="0"/>
        <w:ind w:left="88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i w:val="false"/>
          <w:caps w:val="false"/>
          <w:smallCaps w:val="false"/>
          <w:sz w:val="20"/>
          <w:u w:val="single"/>
        </w:rPr>
        <w:t>Transfer Restrictions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Securities may only be disposed of in compliance with state and federal securities laws. In connection with any transfer of Securities other than pursuant to an effective registration statement or Rule 144, to the Company or to an Affiliate of a Purchaser or in connection with a pledge as contemplated in Section 4.1.2,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shall have the rights and obligations of a Purchaser under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Each Purchaser agrees to the imprinting, so long as is required by this Section 4.1, of a legend on any of the Securities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7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Certificates evidencing the Note Shares and Warrant Shares shall not contain any legend (including the legend set forth in Section 4.1.2 hereof) (i) following any sale of such Note Shares or Warrant Shares pursuant to Rule 144 (assuming cashless exercise of the Warrants), (ii) if such Note Shares or Warrant Shares are eligible for sale or may be sold under Rule 144 (assuming cashless exercise of the Warrants) without volume or manner-of-sale restrictions, or (iii) if such legend is not required under applicable requirements of the Securities Act (including judicial interpretations and pronouncements issued by the staff of the Commission). The Company shall cause its counsel to issue a legal opinion to the Transfer Agent or the Purchaser if required by the Transfer Agent to effect the removal of the legend hereunder, or if requested by a Purchaser, respectively. If all or any portion of a Warrant is exercised at a time when there is an effective registration statement to cover the resale of the Warrant Shares, if the Note Shares or Warrant Shares may be sold under Rule 144 and the Company is then in compliance with the current public information required under Rule 144 (assuming cashless exercise of the Warrants), or if the Note Shares or Warrant Shares may be sold under Rule 144 without the requirement for the Company to be in compliance with the current public information required under Rule 144 as to such Note Shares or Warrant Shares or if such legend is not otherwise required under applicable requirements of the Securities Act (including judicial interpretations and pronouncements issued by the staff of the Commission), then such Note Shares or Warrant Shares shall be issued free of all legends. The Company agrees that following the Resale Effective Date or at such time as such legend is no longer required under this Section 4.1.3, it will, no later than the earlier of (i) one (1) Trading Day and (ii) the number of Trading Days comprising the Standard Settlement Period (as defined below) following the delivery by a Purchaser to the Company or the Transfer Agent of a certificate (or book-entry notation) representing Note Shares or Warrant Shares, as the case may be, issued with a restrictive legend (such date, the “</w:t>
      </w:r>
      <w:r>
        <w:rPr>
          <w:rFonts w:ascii="Times New Roman;Times;Serif" w:hAnsi="Times New Roman;Times;Serif"/>
          <w:b/>
          <w:i w:val="false"/>
          <w:caps w:val="false"/>
          <w:smallCaps w:val="false"/>
          <w:sz w:val="20"/>
          <w:u w:val="single"/>
        </w:rPr>
        <w:t>Legend Removal Date</w:t>
      </w:r>
      <w:r>
        <w:rPr>
          <w:rFonts w:ascii="Times New Roman;Times;Serif" w:hAnsi="Times New Roman;Times;Serif"/>
          <w:b w:val="false"/>
          <w:i w:val="false"/>
          <w:caps w:val="false"/>
          <w:smallCaps w:val="false"/>
          <w:sz w:val="20"/>
        </w:rPr>
        <w:t>”), at the Company’s sole cost, deliver or cause to be delivered to such Purchaser a certificate representing such Note Shares or Warrant Shares, as the case may be, that is free from all restrictive and other legends. The Company may not make any notation on its records or give instructions to the Transfer Agent that enlarge the restrictions on transfer set forth in this Section 4. The Company agrees that no medallion guarantee (or other type of guarantee or notarization) shall be required to remove a legend from any Note Shares or Warrant Shares, as the case may be. Certificates for Securities subject to legend removal hereunder shall be transmitted by the Transfer Agent to the Purchaser by crediting the account of the Purchaser’s prime broker with the Depository Trust Company System as directed by such Purchaser. As used herein, “Standard Settlement Period” means the standard settlement period, expressed in a number of Trading Days, on the Company’s primary Trading Market with respect to the Common Stock as in effect on the date of delivery of a certificate (or book-entry notation) representing Note Shares or Warrant Shares, as the case may be, issued with a restrictive legend. In addition to such Purchaser’s other available remedies, the Company shall pay to the Purchaser, in cash, as partial liquidated damages and not as a penalty, two percent (2%) of the total of the value of the Note Shares or Warrant Shares for which the removal of the legend is sought (based on the VWAP of the Common Stock on the date such Note Shares or Warrant Shares are submitted to the Transfer Agent) for each full month that said opinion is not delivered after the Legend Removal Date until such certificate is delivered without a legend.</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In addition to such Purchaser’s other available remedies, the Company shall pay to a Purchaser, in cash, (i) as partial liquidated damages and not as a penalty, for each $1,000 of Note Shares or Warrant Shares (based on the VWAP of the Common Stock on the date such Securities are submitted to the Transfer Agent) delivered for removal of the restrictive legend and subject to Section 4.1.3,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Times;Serif" w:hAnsi="Times New Roman;Times;Serif"/>
          <w:b/>
          <w:i w:val="false"/>
          <w:caps w:val="false"/>
          <w:smallCaps w:val="false"/>
          <w:sz w:val="20"/>
          <w:u w:val="single"/>
        </w:rPr>
        <w:t>Buy-In Price</w:t>
      </w:r>
      <w:r>
        <w:rPr>
          <w:rFonts w:ascii="Times New Roman;Times;Serif" w:hAnsi="Times New Roman;Times;Serif"/>
          <w:b w:val="false"/>
          <w:i w:val="false"/>
          <w:caps w:val="false"/>
          <w:smallCaps w:val="false"/>
          <w:sz w:val="20"/>
        </w:rPr>
        <w:t>”) over the product of (A) such number of Note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Note Shares or Warrant Shares (as the case may be) and ending on the date of such delivery and payment under this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Each Purchaser, severally and not jointly with the other Purchasers, agrees with the Company that such Purchaser will sell any Securities pursuant to an exemption from the registration requirements of the Securities Act, and acknowledges that the removal of the restrictive legend from certificates representing Securities as set forth in this Section 4.1 is predicated upon the Company’s reliance upon this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 Until no Purchaser owns any Securities and the Common Warrants have terminated, the Company covenants to maintain the effectiveness of the registration of the Common Stock under Section 12(b) or 12(g) of the Exchange Act and to use reasonable best efforts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 At any time during the period commencing from the six (6) month anniversary of the date hereof and ending at such time that all of the Securities (assuming cashless exercise for the Warrants)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such an issuer in the future, and the Company shall fail to satisfy any condition set forth in Rule 144(i)(2) (a “</w:t>
      </w:r>
      <w:r>
        <w:rPr>
          <w:rFonts w:ascii="Times New Roman;Times;Serif" w:hAnsi="Times New Roman;Times;Serif"/>
          <w:b/>
          <w:i w:val="false"/>
          <w:caps w:val="false"/>
          <w:smallCaps w:val="false"/>
          <w:sz w:val="20"/>
          <w:u w:val="single"/>
        </w:rPr>
        <w:t>Public Information Failure</w:t>
      </w:r>
      <w:r>
        <w:rPr>
          <w:rFonts w:ascii="Times New Roman;Times;Serif" w:hAnsi="Times New Roman;Times;Serif"/>
          <w:b w:val="false"/>
          <w:i w:val="false"/>
          <w:caps w:val="false"/>
          <w:smallCaps w:val="false"/>
          <w:sz w:val="20"/>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aggregate Subscription Amount of such Purchaser’s Securities on the Calendar Day of a Public Information Failure and on every thirtieth (30th) Calendar Day (prorated for periods totaling less than thirty Calendar Days) thereafter until the earlier of (a) the date such Public Information Failure is cured and (b) such time that such public information is no longer required for the Purchasers to transfer the Note Shares and Warrant Shares pursuant to Rule 144. The payments to which a Purchaser shall be entitled pursuant to this Section 4.2.2 are referred to herein as “</w:t>
      </w:r>
      <w:r>
        <w:rPr>
          <w:rFonts w:ascii="Times New Roman;Times;Serif" w:hAnsi="Times New Roman;Times;Serif"/>
          <w:b/>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Public Information Failure Payments shall be paid on the earlier of (i) the last Calendar Day of the calendar month during which such Public Information Failure Payments are incurred and (ii) the third (3rd) Business Day after the event or failure giving rise to the Public Information Failure Payments is cured. If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stockholder approval prior to the closing of such other transaction unless stockholder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within the time required by the Exchange Act, a Current Report on Form 8-K, including the Transaction Documents as exhibits thereto, with the Commission.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(including, without limitation, the Placement Agent).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(including, without limitation, the Placement Agent),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to the extent required by federal securities law in connection with the filing of final Transaction Documents with the Commission and (b) to the extent such disclosure is required by law or Trading Market regulations, in which such cases the Company shall (x) obtain prior advice of competent counsel that such disclosure is required, (y) provide the Purchasers with prior notice of such disclosure permitted under this Section 4.4 and (z) reasonably cooperate with such Purchasers regarding such disclosure.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i w:val="false"/>
          <w:caps w:val="false"/>
          <w:smallCaps w:val="false"/>
          <w:sz w:val="20"/>
          <w:u w:val="single"/>
        </w:rPr>
        <w:t>Stockholder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 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Securities hereunder for general corporate purposes (which for the avoidance of doubt may include acquisitions, in the Company’s discretion), including working capital. The Company shall not use such proceeds: (a) for the satisfaction of any portion of the Company’s debt (other than payment of trade payables in the ordinary course of the Company’s business and prior practices), (b) for the redemption of any shares of Common Stock or Common Stock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i w:val="false"/>
          <w:caps w:val="false"/>
          <w:smallCaps w:val="false"/>
          <w:sz w:val="20"/>
          <w:u w:val="single"/>
        </w:rPr>
        <w:t>Indemnification of each Purchaser</w:t>
      </w:r>
      <w:r>
        <w:rPr>
          <w:rFonts w:ascii="Times New Roman;Times;Serif" w:hAnsi="Times New Roman;Times;Serif"/>
          <w:b w:val="false"/>
          <w:i w:val="false"/>
          <w:caps w:val="false"/>
          <w:smallCaps w:val="false"/>
          <w:sz w:val="20"/>
        </w:rPr>
        <w:t>. Subject to the provisions of this Section 4.8, the Company will indemnify and hold each Purchaser and its directors, officers, stockholders,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stockholders,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such Purchaser Party’s material breach of any of the representations, warranties or covenants made by such Purchaser Party in any Transaction Document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4.8 shall be made by periodic payments of the amount thereof during the course of the investigation, defense, collection, enforcement or action, as and when bills are received or are incurred; provided, however, that if any Purchaser Party is finally judicially determined not to be entitled to indemnification or payment under this Section 4.8,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its best efforts to maintain the listing or quotation of the Common Stock on the Trading Market on which it is currently listed, and concurrently with the Closing, the Company shall apply to list or quote all of the Note Shares and Warrant Shares on such Trading Market and promptly secure the listing of all of the Note Shares and Warrant Shares on such Trading Market. The Company further agrees, if the Company applies to have the Common Stock traded on any other Trading Market, it will then include in such application all of the Note Shares and Warrant Shares, and will take such other action as is necessary to cause all of the Note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i w:val="false"/>
          <w:caps w:val="false"/>
          <w:smallCaps w:val="false"/>
          <w:sz w:val="20"/>
          <w:u w:val="single"/>
        </w:rPr>
        <w:t>Stockholder Approval</w:t>
      </w:r>
      <w:r>
        <w:rPr>
          <w:rFonts w:ascii="Times New Roman;Times;Serif" w:hAnsi="Times New Roman;Times;Serif"/>
          <w:b w:val="false"/>
          <w:i w:val="false"/>
          <w:caps w:val="false"/>
          <w:smallCaps w:val="false"/>
          <w:sz w:val="20"/>
        </w:rPr>
        <w:t>. The Company shall hold a special meeting of stockholders (which may also be at the annual meeting of stockholders) at the earliest practicable date after the date hereof, but in no event later than sixty (60) Calendar Days after the Closing Date for the purpose of obtaining Stockholder Approval (such meeting, the “</w:t>
      </w:r>
      <w:r>
        <w:rPr>
          <w:rFonts w:ascii="Times New Roman;Times;Serif" w:hAnsi="Times New Roman;Times;Serif"/>
          <w:b/>
          <w:i w:val="false"/>
          <w:caps w:val="false"/>
          <w:smallCaps w:val="false"/>
          <w:sz w:val="20"/>
          <w:u w:val="single"/>
        </w:rPr>
        <w:t>Stockholder Approval Meeting</w:t>
      </w:r>
      <w:r>
        <w:rPr>
          <w:rFonts w:ascii="Times New Roman;Times;Serif" w:hAnsi="Times New Roman;Times;Serif"/>
          <w:b w:val="false"/>
          <w:i w:val="false"/>
          <w:caps w:val="false"/>
          <w:smallCaps w:val="false"/>
          <w:sz w:val="20"/>
        </w:rPr>
        <w:t>”), with the recommendation of the Company’s Board of Directors that such proposal be approved, and the Company shall solicit proxies from its stockholders in connection therewith in the same manner as all other management proposals in such proxy statement and all management-appointed proxyholders shall vote their proxies in favor of such proposal. The Company shall use its reasonable best efforts to obtain such Stockholder Approval. The Stockholder Approval Meeting shall not be held between 9:30 a.m. (New York City time) and 4:02 p.m. (New York City time) on any Trading Day, and the Company shall file a Current Report on Form 8-K announcing the voting results of the Stockholder Approval Meeting prior to 9:00 a.m. (New York City time) on the Trading Day immediately following the Stockholder Approval Meeting (i.e., the same Trading Day if the Stockholder Approval Meeting is held prior to 9:30 a.m. (New York City time) on a Trading Day). If the Company does not obtain Stockholder Approval at the first meeting, the Company shall call a meeting every sixty (60) days thereafter to seek Stockholder Approval until the earlier of the date Stockholder Approval is obtained or the Common Warrants are no longer outstanding. Notwithstanding the foregoing, the Company may, in lieu of holding a special meeting of stockholders as aforesaid, obtain the written consent of a majority of its stockholders covering the Stockholder Approval so long as prior to sixty (60) Calendar Days after the date hereof, such written consents are obtained and in accordance with Exchange Act Rule 14c-2 at least twenty (20) Calendar Days shall have transpired after the date on which a written information statement containing the information specified in Schedule 14C detailing such Stockholder Approval shall have been filed with the SEC and delivered to stockholders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agents or Affiliates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Note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(and any lock-up agreements contemplated in the Lock-Up Agreements) except to extend the term of the lock-up period and shall enforce the provisions of each Lock-Up Agreement (and any lock-up agreements contemplated in the Lock-Up Agreements) in accordance with its terms. If any party to a Lock-Up Agreement (and any lock-up agreements contemplated in the Lock-Up Agreements) breaches any provision of a Lock-Up Agreement, the Company shall promptly use its best efforts to seek specific performance of the terms of such Lock-Up Agreement (and any lock-up agreements contemplated in the 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i w:val="false"/>
          <w:caps w:val="false"/>
          <w:smallCaps w:val="false"/>
          <w:sz w:val="20"/>
          <w:u w:val="single"/>
        </w:rPr>
        <w:t>Reservation of Common Stock</w:t>
      </w:r>
      <w:r>
        <w:rPr>
          <w:rFonts w:ascii="Times New Roman;Times;Serif" w:hAnsi="Times New Roman;Times;Serif"/>
          <w:b w:val="false"/>
          <w:i w:val="false"/>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the maximum number of Note Shares issuable upon conversion of the Note and the maximum number of Warrant Shares issuable upon exercise of the Warrants (calculated assuming (i) conversion in full of all outstanding principal of, and all accrued and unpaid interest on, the Note at the Conversion Price (as defined in the Note) and (ii) exercise in full of all of the Warrants at the Exercise Price (as defined in the Warrants), and in any event equal to not less than 300% of such number) (as adjusted for forward and reverse stock splits, recapitalizations, stock dividends and the like after the date hereof). If the Company does not have a sufficient number of shares of Common Stock available to honor the conversion of the Note or the exercise of the Warrants, the Company shall allocate the available number of Note Shares and Warrant Shares on a pro rata basis among all Purchasers converting the Note or exercising Warrants, until such time as the Company has a sufficient number of authorized shares of Common Stock to issue all Note Shares and Warrant Shares in full.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i w:val="false"/>
          <w:caps w:val="false"/>
          <w:smallCaps w:val="false"/>
          <w:sz w:val="20"/>
          <w:u w:val="single"/>
        </w:rPr>
        <w:t>Conversion Procedures</w:t>
      </w:r>
      <w:r>
        <w:rPr>
          <w:rFonts w:ascii="Times New Roman;Times;Serif" w:hAnsi="Times New Roman;Times;Serif"/>
          <w:b w:val="false"/>
          <w:i w:val="false"/>
          <w:caps w:val="false"/>
          <w:smallCaps w:val="false"/>
          <w:sz w:val="20"/>
        </w:rPr>
        <w:t>. The form of Notice of Conversion included in the Note sets forth the totality of the procedures required of the Purchasers in order to convert the Note. No additional legal opinion, other information or instructions shall be required of the Purchasers to convert the Note, and, without limiting the preceding sentence, no ink- original Notice of Conversion shall be required, nor shall any medallion guarantee (or other type of guarantee or notarization) of any Notice of Conversion form be required in order to convert the Note. The Company shall honor conversions of the Note and shall deliver Note Shares in accordance with the terms, conditions and time periods set forth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i w:val="false"/>
          <w:caps w:val="false"/>
          <w:smallCaps w:val="false"/>
          <w:sz w:val="20"/>
          <w:u w:val="single"/>
        </w:rPr>
        <w:t>Exercise Procedures</w:t>
      </w:r>
      <w:r>
        <w:rPr>
          <w:rFonts w:ascii="Times New Roman;Times;Serif" w:hAnsi="Times New Roman;Times;Serif"/>
          <w:b w:val="false"/>
          <w:i w:val="false"/>
          <w:caps w:val="false"/>
          <w:smallCaps w:val="false"/>
          <w:sz w:val="20"/>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pStyle w:val="TextBody"/>
        <w:bidi w:val="0"/>
        <w:spacing w:before="0" w:after="0"/>
        <w:ind w:left="0" w:right="0" w:hanging="0"/>
        <w:jc w:val="left"/>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5.</w:t>
            </w:r>
          </w:p>
        </w:tc>
        <w:tc>
          <w:tcPr>
            <w:tcW w:w="12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Miscellaneous</w:t>
            </w:r>
            <w:r>
              <w:rPr>
                <w:rFonts w:ascii="Times New Roman;Times;Serif" w:hAnsi="Times New Roman;Times;Serif"/>
                <w:sz w:val="20"/>
              </w:rPr>
              <w:t>.</w:t>
            </w:r>
          </w:p>
        </w:tc>
      </w:tr>
    </w:tbl>
    <w:p>
      <w:pPr>
        <w:pStyle w:val="TextBody"/>
        <w:bidi w:val="0"/>
        <w:spacing w:before="0" w:after="0"/>
        <w:ind w:left="880" w:right="0" w:hanging="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same-Calendar Day processing of any instruction letter delivered by the Company and any exercise notice delivered by a Purchaser), stamp taxes and other taxes and duties levied in connection with the delivery of any Securities to the Purchasers.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 the email address as set forth on the signature pages attached hereto at or prior to 5:30 p.m. (New York City time) on a Trading Day, (b) the next Trading Day after the time of transmission, if such notice or communication is delivered via email at the email address as set forth on the signature pages attached hereto on a Calendar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of the Subsidiaries, the Company shall simultaneously file such notice with the Commission pursuant to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hold a majority in interest of the aggregate outstanding principal amount of the Note based on the initial Subscription Amounts hereunder (or, prior to Closing, the Company and each Purchaser) or, in the case of a waiver, by the party against whom enforcement of any such waived provision is sought, provided that if any amendment, modification or waiver disproportionately and adversely impacts a Purchaser (or multiple Purchasers), the consent of such disproportionately impacted Purchaser (or multiple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 shall be the third party beneficiary of the representations and warranties of the Company in Section 3.1 and the representations and warranties of the Purchasers in Section 3.3.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law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and County of New York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If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i w:val="false"/>
          <w:caps w:val="false"/>
          <w:smallCaps w:val="false"/>
          <w:sz w:val="20"/>
          <w:u w:val="single"/>
        </w:rPr>
        <w:t>Replacement of Securities</w:t>
      </w:r>
      <w:r>
        <w:rPr>
          <w:rFonts w:ascii="Times New Roman;Times;Serif" w:hAnsi="Times New Roman;Times;Serif"/>
          <w:b w:val="false"/>
          <w:i w:val="false"/>
          <w:caps w:val="false"/>
          <w:smallCaps w:val="false"/>
          <w:sz w:val="20"/>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All rights and remedies of the Purchasers under the Transaction Documents, at law and in equity, are cumulative and not alternative, and the exercise of any one right or remedy shall not preclude the exercise of any other. Without limiting the foregoing, the failure of the Company to pay any Principal, Interest or other amount when due under the Note or any other Transaction Document shall constitute an immediate Event of Default under the Note, without any requirement of notice, demand or cure period, and each Purchaser shall be entitled to exercise all rights and remedies available to it under the Note, the other Transaction Documents and applicable law, including the right to accelerate all amounts owing thereunder and to recover all costs of collection and enforcement (including reasonable attorneys’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5.17. </w:t>
      </w:r>
      <w:r>
        <w:rPr>
          <w:rFonts w:ascii="Times New Roman;Times;Serif" w:hAnsi="Times New Roman;Times;Serif"/>
          <w:b/>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to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5.18. </w:t>
      </w:r>
      <w:r>
        <w:rPr>
          <w:rFonts w:ascii="Times New Roman;Times;Serif" w:hAnsi="Times New Roman;Times;Serif"/>
          <w:b/>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5.19. </w:t>
      </w:r>
      <w:r>
        <w:rPr>
          <w:rFonts w:ascii="Times New Roman;Times;Serif" w:hAnsi="Times New Roman;Times;Serif"/>
          <w:b/>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Calendar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5.20. </w:t>
      </w:r>
      <w:r>
        <w:rPr>
          <w:rFonts w:ascii="Times New Roman;Times;Serif" w:hAnsi="Times New Roman;Times;Serif"/>
          <w:b/>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5.21. </w:t>
      </w:r>
      <w:r>
        <w:rPr>
          <w:rFonts w:ascii="Times New Roman;Times;Serif" w:hAnsi="Times New Roman;Times;Serif"/>
          <w:b/>
          <w:i w:val="false"/>
          <w:caps w:val="false"/>
          <w:smallCaps w:val="false"/>
          <w:sz w:val="20"/>
          <w:u w:val="single"/>
        </w:rPr>
        <w:t>WAIVER OF JURY TRIAL.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Securities Purchase Agreement Signature Pages Follow]</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Securities Purchase Agreement – Company Signature Page]</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tbl>
      <w:tblPr>
        <w:tblW w:w="4914" w:type="dxa"/>
        <w:jc w:val="left"/>
        <w:tblInd w:w="0" w:type="dxa"/>
        <w:tblLayout w:type="fixed"/>
        <w:tblCellMar>
          <w:top w:w="0" w:type="dxa"/>
          <w:left w:w="0" w:type="dxa"/>
          <w:bottom w:w="0" w:type="dxa"/>
          <w:right w:w="0" w:type="dxa"/>
        </w:tblCellMar>
      </w:tblPr>
      <w:tblGrid>
        <w:gridCol w:w="582"/>
        <w:gridCol w:w="2377"/>
        <w:gridCol w:w="60"/>
        <w:gridCol w:w="1895"/>
      </w:tblGrid>
      <w:tr>
        <w:trPr/>
        <w:tc>
          <w:tcPr>
            <w:tcW w:w="295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BANZAI INTERNATIONAL, INC.</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Address for Notice:</w:t>
            </w:r>
          </w:p>
        </w:tc>
      </w:tr>
      <w:tr>
        <w:trPr/>
        <w:tc>
          <w:tcPr>
            <w:tcW w:w="582" w:type="dxa"/>
            <w:tcBorders/>
            <w:vAlign w:val="center"/>
          </w:tcPr>
          <w:p>
            <w:pPr>
              <w:pStyle w:val="TableContents"/>
              <w:bidi w:val="0"/>
              <w:spacing w:before="0" w:after="283"/>
              <w:jc w:val="left"/>
              <w:rPr/>
            </w:pPr>
            <w:r>
              <w:rPr/>
              <w:t> </w:t>
            </w:r>
          </w:p>
        </w:tc>
        <w:tc>
          <w:tcPr>
            <w:tcW w:w="23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77"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r>
      <w:tr>
        <w:trPr/>
        <w:tc>
          <w:tcPr>
            <w:tcW w:w="5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3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Joseph Davy</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5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37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Securities Purchase Agreement – Investor Signature Page]</w:t>
      </w:r>
    </w:p>
    <w:p>
      <w:pPr>
        <w:pStyle w:val="TextBody"/>
        <w:bidi w:val="0"/>
        <w:spacing w:before="0" w:after="0"/>
        <w:ind w:left="5"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9510" w:type="dxa"/>
        <w:jc w:val="left"/>
        <w:tblInd w:w="0" w:type="dxa"/>
        <w:tblLayout w:type="fixed"/>
        <w:tblCellMar>
          <w:top w:w="0" w:type="dxa"/>
          <w:left w:w="0" w:type="dxa"/>
          <w:bottom w:w="0" w:type="dxa"/>
          <w:right w:w="0" w:type="dxa"/>
        </w:tblCellMar>
      </w:tblPr>
      <w:tblGrid>
        <w:gridCol w:w="7775"/>
        <w:gridCol w:w="320"/>
        <w:gridCol w:w="1415"/>
      </w:tblGrid>
      <w:tr>
        <w:trPr/>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Purchaser:</w:t>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Authorized Signatory of Purchaser:</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Authorized Signatory:</w:t>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r>
              <w:rPr>
                <w:rFonts w:ascii="Times New Roman;Times;Serif" w:hAnsi="Times New Roman;Times;Serif"/>
                <w:sz w:val="20"/>
              </w:rPr>
              <w:t>of Authorized Signatory:</w:t>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Email Address of Authorized Signatory:</w:t>
            </w:r>
          </w:p>
        </w:tc>
        <w:tc>
          <w:tcPr>
            <w:tcW w:w="3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 for Notice to Purchaser:</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 for Delivery of Securities to Purchaser (if not same as address for notice):</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Subscription Amount:</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r>
              <w:rPr>
                <w:rFonts w:ascii="Times New Roman;Times;Serif" w:hAnsi="Times New Roman;Times;Serif"/>
              </w:rPr>
              <w:t>1,500,000</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 (Initial Principal Amount):</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r>
              <w:rPr>
                <w:rFonts w:ascii="Times New Roman;Times;Serif" w:hAnsi="Times New Roman;Times;Serif"/>
                <w:sz w:val="20"/>
              </w:rPr>
              <w:t>2,142,857.14</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Warrants:</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r>
              <w:rPr>
                <w:rFonts w:ascii="Times New Roman;Times;Serif" w:hAnsi="Times New Roman;Times;Serif"/>
                <w:sz w:val="20"/>
              </w:rPr>
              <w:t>779,221</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Beneficial Ownership Blocker:</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r>
              <w:rPr>
                <w:rFonts w:ascii="Times New Roman;Times;Serif" w:hAnsi="Times New Roman;Times;Serif"/>
                <w:sz w:val="20"/>
              </w:rPr>
              <w:t>4.99%</w:t>
            </w:r>
          </w:p>
        </w:tc>
      </w:tr>
      <w:tr>
        <w:trPr/>
        <w:tc>
          <w:tcPr>
            <w:tcW w:w="77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left"/>
              <w:rPr/>
            </w:pPr>
            <w:r>
              <w:rPr/>
              <w:t> </w:t>
            </w:r>
          </w:p>
        </w:tc>
      </w:tr>
      <w:tr>
        <w:trPr/>
        <w:tc>
          <w:tcPr>
            <w:tcW w:w="77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Employer Identification Number:</w:t>
            </w:r>
          </w:p>
        </w:tc>
        <w:tc>
          <w:tcPr>
            <w:tcW w:w="3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1.16.1</w:t>
      </w:r>
    </w:p>
    <w:p>
      <w:pPr>
        <w:pStyle w:val="TextBody"/>
        <w:bidi w:val="0"/>
        <w:spacing w:before="0" w:after="0"/>
        <w:ind w:left="1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PIPE Common Warrant</w:t>
      </w:r>
    </w:p>
    <w:p>
      <w:pPr>
        <w:pStyle w:val="TextBody"/>
        <w:bidi w:val="0"/>
        <w:spacing w:before="0" w:after="0"/>
        <w:ind w:left="5"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1.34</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Lock-Up Agreement</w:t>
      </w:r>
    </w:p>
    <w:p>
      <w:pPr>
        <w:pStyle w:val="TextBody"/>
        <w:bidi w:val="0"/>
        <w:spacing w:before="0" w:after="0"/>
        <w:ind w:left="8"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1.38</w:t>
      </w:r>
    </w:p>
    <w:p>
      <w:pPr>
        <w:pStyle w:val="TextBody"/>
        <w:bidi w:val="0"/>
        <w:spacing w:before="0" w:after="0"/>
        <w:ind w:left="15"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Convertible Promissory Note</w:t>
      </w:r>
    </w:p>
    <w:p>
      <w:pPr>
        <w:pStyle w:val="TextBody"/>
        <w:bidi w:val="0"/>
        <w:spacing w:before="0" w:after="0"/>
        <w:ind w:left="7"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7" w:right="0" w:hanging="0"/>
        <w:jc w:val="center"/>
        <w:rPr>
          <w:caps w:val="false"/>
          <w:smallCaps w:val="false"/>
        </w:rPr>
      </w:pPr>
      <w:bookmarkStart w:id="32" w:name="ex10-2.htm"/>
      <w:bookmarkStart w:id="33" w:name="ksex102"/>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BANZAI INTERNATIONAL, INC. -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Banzai International,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 Ericksen Ave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Suite 250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Bainbridge Island, WA 98110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Banzai International, Inc., a Delaware corporation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u w:val="single"/>
        </w:rPr>
        <w:t>SPA</w:t>
      </w:r>
      <w:r>
        <w:rPr>
          <w:rFonts w:ascii="Times New Roman;Times;Serif" w:hAnsi="Times New Roman;Times;Serif"/>
          <w:b w:val="false"/>
          <w:i w:val="false"/>
          <w:caps w:val="false"/>
          <w:smallCaps w:val="false"/>
          <w:sz w:val="20"/>
        </w:rPr>
        <w:t>”) on September 4, 2026 with each purchaser (each, a “</w:t>
      </w:r>
      <w:r>
        <w:rPr>
          <w:rFonts w:ascii="Times New Roman;Times;Serif" w:hAnsi="Times New Roman;Times;Serif"/>
          <w:b/>
          <w:i w:val="false"/>
          <w:caps w:val="false"/>
          <w:smallCaps w:val="false"/>
          <w:sz w:val="20"/>
          <w:u w:val="single"/>
        </w:rPr>
        <w:t>Purchaser</w:t>
      </w:r>
      <w:r>
        <w:rPr>
          <w:rFonts w:ascii="Times New Roman;Times;Serif" w:hAnsi="Times New Roman;Times;Serif"/>
          <w:b w:val="false"/>
          <w:i w:val="false"/>
          <w:caps w:val="false"/>
          <w:smallCaps w:val="false"/>
          <w:sz w:val="20"/>
        </w:rPr>
        <w:t>”, and collectively “</w:t>
      </w:r>
      <w:r>
        <w:rPr>
          <w:rFonts w:ascii="Times New Roman;Times;Serif" w:hAnsi="Times New Roman;Times;Serif"/>
          <w:b/>
          <w:i w:val="false"/>
          <w:caps w:val="false"/>
          <w:smallCaps w:val="false"/>
          <w:sz w:val="20"/>
          <w:u w:val="single"/>
        </w:rPr>
        <w:t>Purchasers</w:t>
      </w:r>
      <w:r>
        <w:rPr>
          <w:rFonts w:ascii="Times New Roman;Times;Serif" w:hAnsi="Times New Roman;Times;Serif"/>
          <w:b w:val="false"/>
          <w:i w:val="false"/>
          <w:caps w:val="false"/>
          <w:smallCaps w:val="false"/>
          <w:sz w:val="20"/>
        </w:rPr>
        <w:t>”) identified on the signature page of the SPA, providing for the private placement (the “</w:t>
      </w:r>
      <w:r>
        <w:rPr>
          <w:rFonts w:ascii="Times New Roman;Times;Serif" w:hAnsi="Times New Roman;Times;Serif"/>
          <w:b/>
          <w:i w:val="false"/>
          <w:caps w:val="false"/>
          <w:smallCaps w:val="false"/>
          <w:sz w:val="20"/>
          <w:u w:val="single"/>
        </w:rPr>
        <w:t>Transaction</w:t>
      </w:r>
      <w:r>
        <w:rPr>
          <w:rFonts w:ascii="Times New Roman;Times;Serif" w:hAnsi="Times New Roman;Times;Serif"/>
          <w:b w:val="false"/>
          <w:i w:val="false"/>
          <w:caps w:val="false"/>
          <w:smallCaps w:val="false"/>
          <w:sz w:val="20"/>
        </w:rPr>
        <w:t>”) of unsecured convertible promissory notes (the “</w:t>
      </w:r>
      <w:r>
        <w:rPr>
          <w:rFonts w:ascii="Times New Roman;Times;Serif" w:hAnsi="Times New Roman;Times;Serif"/>
          <w:b/>
          <w:i w:val="false"/>
          <w:caps w:val="false"/>
          <w:smallCaps w:val="false"/>
          <w:sz w:val="20"/>
          <w:u w:val="single"/>
        </w:rPr>
        <w:t>Notes</w:t>
      </w:r>
      <w:r>
        <w:rPr>
          <w:rFonts w:ascii="Times New Roman;Times;Serif" w:hAnsi="Times New Roman;Times;Serif"/>
          <w:b w:val="false"/>
          <w:i w:val="false"/>
          <w:caps w:val="false"/>
          <w:smallCaps w:val="false"/>
          <w:sz w:val="20"/>
        </w:rPr>
        <w:t>”), convertible into Class A ordinary shares of Common Stock, $0.0001 par value per share, of the Company (“</w:t>
      </w:r>
      <w:r>
        <w:rPr>
          <w:rFonts w:ascii="Times New Roman;Times;Serif" w:hAnsi="Times New Roman;Times;Serif"/>
          <w:b/>
          <w:i w:val="false"/>
          <w:caps w:val="false"/>
          <w:smallCaps w:val="false"/>
          <w:sz w:val="20"/>
          <w:u w:val="single"/>
        </w:rPr>
        <w:t>Shares</w:t>
      </w:r>
      <w:r>
        <w:rPr>
          <w:rFonts w:ascii="Times New Roman;Times;Serif" w:hAnsi="Times New Roman;Times;Serif"/>
          <w:b w:val="false"/>
          <w:i w:val="false"/>
          <w:caps w:val="false"/>
          <w:smallCaps w:val="false"/>
          <w:sz w:val="20"/>
        </w:rPr>
        <w:t>”) and warrants (“</w:t>
      </w:r>
      <w:r>
        <w:rPr>
          <w:rFonts w:ascii="Times New Roman;Times;Serif" w:hAnsi="Times New Roman;Times;Serif"/>
          <w:b/>
          <w:i w:val="false"/>
          <w:caps w:val="false"/>
          <w:smallCaps w:val="false"/>
          <w:sz w:val="20"/>
          <w:u w:val="single"/>
        </w:rPr>
        <w:t>Warrants</w:t>
      </w:r>
      <w:r>
        <w:rPr>
          <w:rFonts w:ascii="Times New Roman;Times;Serif" w:hAnsi="Times New Roman;Times;Serif"/>
          <w:b w:val="false"/>
          <w:i w:val="false"/>
          <w:caps w:val="false"/>
          <w:smallCaps w:val="false"/>
          <w:sz w:val="20"/>
        </w:rPr>
        <w:t>”) to purchase shares of Common Stock. Capitalized terms used but not defined in this Agreement have the meanings ascribed to them in the SPA.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Company to continue its efforts in connection with the Transaction, the undersigned hereby irrevocably enters into this Lock-Up Agreement (this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and agrees that the undersigned will not, during the period commencing on the date hereof and ending on the date that is ninety (90) calendar days thereafter (the “</w:t>
      </w:r>
      <w:r>
        <w:rPr>
          <w:rFonts w:ascii="Times New Roman;Times;Serif" w:hAnsi="Times New Roman;Times;Serif"/>
          <w:b/>
          <w:i w:val="false"/>
          <w:caps w:val="false"/>
          <w:smallCaps w:val="false"/>
          <w:sz w:val="20"/>
          <w:u w:val="single"/>
        </w:rPr>
        <w:t>Lock-Up Period</w:t>
      </w:r>
      <w:r>
        <w:rPr>
          <w:rFonts w:ascii="Times New Roman;Times;Serif" w:hAnsi="Times New Roman;Times;Serif"/>
          <w:b w:val="false"/>
          <w:i w:val="false"/>
          <w:caps w:val="false"/>
          <w:smallCaps w:val="false"/>
          <w:sz w:val="20"/>
        </w:rPr>
        <w:t>”), (1) offer, pledge, sell, contract to sell, grant, lend, or otherwise transfer or dispose of, directly or indirectly, any Shares or any securities convertible into or exercisable or exchangeable for Shares, whether now owned or hereafter acquired by the undersigned (or any Affiliate (as defined in Rule 405 promulgated under the Securities Act of 1933, as amended) of the undersigned) or with respect to which the undersigned (or any Affiliate of the undersigned) has or hereafter acquires the power of disposition (collectively, the “</w:t>
      </w:r>
      <w:r>
        <w:rPr>
          <w:rFonts w:ascii="Times New Roman;Times;Serif" w:hAnsi="Times New Roman;Times;Serif"/>
          <w:b/>
          <w:i w:val="false"/>
          <w:caps w:val="false"/>
          <w:smallCaps w:val="false"/>
          <w:sz w:val="20"/>
          <w:u w:val="single"/>
        </w:rPr>
        <w:t>Lock-Up Securities</w:t>
      </w:r>
      <w:r>
        <w:rPr>
          <w:rFonts w:ascii="Times New Roman;Times;Serif" w:hAnsi="Times New Roman;Times;Serif"/>
          <w:b w:val="false"/>
          <w:i w:val="false"/>
          <w:caps w:val="false"/>
          <w:smallCaps w:val="false"/>
          <w:sz w:val="20"/>
        </w:rPr>
        <w:t>”); (2) enter into any swap or other arrangement that transfers to another,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make any offer, sale, pledge or disposition, or to enter into any transaction, swap, hedge or other arrangement relating to any Lock-Up Securities.</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Lock-Up Securities in connection with any of the following:</w:t>
      </w:r>
    </w:p>
    <w:p>
      <w:pPr>
        <w:pStyle w:val="TextBody"/>
        <w:bidi w:val="0"/>
        <w:spacing w:before="0" w:after="0"/>
        <w:ind w:left="12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
        <w:gridCol w:w="10069"/>
      </w:tblGrid>
      <w:tr>
        <w:trPr/>
        <w:tc>
          <w:tcPr>
            <w:tcW w:w="1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100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transfers of Lock-Up Securities as a </w:t>
            </w:r>
            <w:r>
              <w:rPr>
                <w:rFonts w:ascii="Times New Roman;Times;Serif" w:hAnsi="Times New Roman;Times;Serif"/>
                <w:i/>
                <w:sz w:val="20"/>
              </w:rPr>
              <w:t xml:space="preserve">bona fide </w:t>
            </w:r>
            <w:r>
              <w:rPr>
                <w:rFonts w:ascii="Times New Roman;Times;Serif" w:hAnsi="Times New Roman;Times;Serif"/>
                <w:sz w:val="20"/>
              </w:rPr>
              <w:t xml:space="preserve">gift, by will or intestacy or to a family member or trust for the benefit of the undersigned (for purposes of this Agreement, “family member” means any relationship by blood, marriage or adoption, not more remote than first cousin) </w:t>
            </w:r>
            <w:r>
              <w:rPr>
                <w:rFonts w:ascii="Times New Roman;Times;Serif" w:hAnsi="Times New Roman;Times;Serif"/>
                <w:sz w:val="20"/>
                <w:u w:val="single"/>
              </w:rPr>
              <w:t>provided</w:t>
            </w:r>
            <w:r>
              <w:rPr>
                <w:rFonts w:ascii="Times New Roman;Times;Serif" w:hAnsi="Times New Roman;Times;Serif"/>
                <w:sz w:val="20"/>
              </w:rPr>
              <w:t xml:space="preserve"> that the transferee agrees to sign and deliver a lock-up agreement substantially in the form of this Agreement for the balance of the Lock-Up Period.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3"/>
        <w:gridCol w:w="10072"/>
      </w:tblGrid>
      <w:tr>
        <w:trPr/>
        <w:tc>
          <w:tcPr>
            <w:tcW w:w="1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transfers of Lock-Up Securities to a charity or educational institution.</w:t>
            </w:r>
          </w:p>
        </w:tc>
      </w:tr>
      <w:tr>
        <w:trPr/>
        <w:tc>
          <w:tcPr>
            <w:tcW w:w="133" w:type="dxa"/>
            <w:tcBorders/>
            <w:vAlign w:val="center"/>
          </w:tcPr>
          <w:p>
            <w:pPr>
              <w:pStyle w:val="TableContents"/>
              <w:bidi w:val="0"/>
              <w:spacing w:before="0" w:after="283"/>
              <w:jc w:val="both"/>
              <w:rPr/>
            </w:pPr>
            <w:r>
              <w:rPr/>
              <w:t> </w:t>
            </w:r>
          </w:p>
        </w:tc>
        <w:tc>
          <w:tcPr>
            <w:tcW w:w="10072"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undersigned is a corporation, partnership, limited liability company or other business entity, (i) any transfers of Lock-Up Securities to another corporation, partnership or other business entity that controls, is controlled by or is under common control with the undersigned or (ii) distributions of Lock-Up Securities to members, partners, stockholders, subsidiaries or Affiliates of the undersigned as of the date of this Agreement, </w:t>
            </w:r>
            <w:r>
              <w:rPr>
                <w:rFonts w:ascii="Times New Roman;Times;Serif" w:hAnsi="Times New Roman;Times;Serif"/>
                <w:sz w:val="20"/>
                <w:u w:val="single"/>
              </w:rPr>
              <w:t>provided</w:t>
            </w:r>
            <w:r>
              <w:rPr>
                <w:rFonts w:ascii="Times New Roman;Times;Serif" w:hAnsi="Times New Roman;Times;Serif"/>
                <w:sz w:val="20"/>
              </w:rPr>
              <w:t xml:space="preserve"> that the transferee agrees to sign and deliver a lock-up agreement substantially in the form of this Agreement for the balance of the Lock-Up Period.</w:t>
            </w:r>
          </w:p>
        </w:tc>
      </w:tr>
      <w:tr>
        <w:trPr/>
        <w:tc>
          <w:tcPr>
            <w:tcW w:w="133" w:type="dxa"/>
            <w:tcBorders/>
            <w:vAlign w:val="center"/>
          </w:tcPr>
          <w:p>
            <w:pPr>
              <w:pStyle w:val="TableContents"/>
              <w:bidi w:val="0"/>
              <w:spacing w:before="0" w:after="283"/>
              <w:jc w:val="both"/>
              <w:rPr/>
            </w:pPr>
            <w:r>
              <w:rPr/>
              <w:t> </w:t>
            </w:r>
          </w:p>
        </w:tc>
        <w:tc>
          <w:tcPr>
            <w:tcW w:w="10072" w:type="dxa"/>
            <w:tcBorders/>
            <w:vAlign w:val="center"/>
          </w:tcPr>
          <w:p>
            <w:pPr>
              <w:pStyle w:val="TableContents"/>
              <w:bidi w:val="0"/>
              <w:spacing w:before="0" w:after="283"/>
              <w:jc w:val="both"/>
              <w:rPr/>
            </w:pPr>
            <w:r>
              <w:rPr/>
              <w:t> </w:t>
            </w:r>
          </w:p>
        </w:tc>
      </w:tr>
      <w:tr>
        <w:trPr/>
        <w:tc>
          <w:tcPr>
            <w:tcW w:w="1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100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if the undersigned is a trust, to a trustee or beneficiary of the trust </w:t>
            </w:r>
            <w:r>
              <w:rPr>
                <w:rFonts w:ascii="Times New Roman;Times;Serif" w:hAnsi="Times New Roman;Times;Serif"/>
                <w:sz w:val="20"/>
                <w:u w:val="single"/>
              </w:rPr>
              <w:t>provided</w:t>
            </w:r>
            <w:r>
              <w:rPr>
                <w:rFonts w:ascii="Times New Roman;Times;Serif" w:hAnsi="Times New Roman;Times;Serif"/>
                <w:sz w:val="20"/>
              </w:rPr>
              <w:t xml:space="preserve"> that in the case of any transfer pursuant to Sections 1, 2, 3 or this section: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any such transfer shall not involve a disposition for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each transferee shall sign and deliver to the Company a lock-up agreement substantially in the form of this Agreement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no filing under Section 13 or Section 16 of the Securities Exchange Act of 1934, as amended (the “</w:t>
      </w:r>
      <w:r>
        <w:rPr>
          <w:rFonts w:ascii="Times New Roman;Times;Serif" w:hAnsi="Times New Roman;Times;Serif"/>
          <w:b/>
          <w:i w:val="false"/>
          <w:caps w:val="false"/>
          <w:smallCaps w:val="false"/>
          <w:sz w:val="20"/>
          <w:u w:val="single"/>
        </w:rPr>
        <w:t>Exchange Act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or other public announcement shall be required or shall be voluntarily made during the Lock-Up Period.</w:t>
      </w:r>
    </w:p>
    <w:p>
      <w:pPr>
        <w:pStyle w:val="TextBody"/>
        <w:bidi w:val="0"/>
        <w:spacing w:before="0" w:after="0"/>
        <w:ind w:left="8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
        <w:gridCol w:w="10076"/>
      </w:tblGrid>
      <w:tr>
        <w:trPr/>
        <w:tc>
          <w:tcPr>
            <w:tcW w:w="1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10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receipt by the undersigned from the Company of Shares upon the vesting of restricted stock awards or stock units or upon the exercise of options to purchase the Shares issued under an equity incentive plan of the Company or an employment arrangement (the “</w:t>
            </w:r>
            <w:r>
              <w:rPr>
                <w:rFonts w:ascii="Times New Roman;Times;Serif" w:hAnsi="Times New Roman;Times;Serif"/>
                <w:b/>
                <w:sz w:val="20"/>
                <w:u w:val="single"/>
              </w:rPr>
              <w:t>Plan Shares</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 xml:space="preserve">or the transfer or withholding of Shares or any securities convertible into Shares to the Company upon a vesting event of the Company’s securities or upon the exercise of options to purchase the Company’s securities, in each case on a “cashless” or “net exercise” basis or to cover tax obligations of the undersigned in connection with such vesting or exercise </w:t>
            </w:r>
            <w:r>
              <w:rPr>
                <w:rFonts w:ascii="Times New Roman;Times;Serif" w:hAnsi="Times New Roman;Times;Serif"/>
                <w:sz w:val="20"/>
                <w:u w:val="single"/>
              </w:rPr>
              <w:t>provided</w:t>
            </w:r>
            <w:r>
              <w:rPr>
                <w:rFonts w:ascii="Times New Roman;Times;Serif" w:hAnsi="Times New Roman;Times;Serif"/>
                <w:sz w:val="20"/>
              </w:rPr>
              <w:t xml:space="preserve"> that if the undersigned is required to file a report under Section 13 or Section 16 of the Exchange Act reporting a reduction in beneficial ownership of Shares during the Lock-Up Period, the undersigned shall include a statement in such schedule or report to the effect that the purpose of such transfer was to cover tax withholding obligations of the undersigned in connection with such vesting or exercise and, </w:t>
            </w:r>
            <w:r>
              <w:rPr>
                <w:rFonts w:ascii="Times New Roman;Times;Serif" w:hAnsi="Times New Roman;Times;Serif"/>
                <w:sz w:val="20"/>
                <w:u w:val="single"/>
              </w:rPr>
              <w:t>provided further</w:t>
            </w:r>
            <w:r>
              <w:rPr>
                <w:rFonts w:ascii="Times New Roman;Times;Serif" w:hAnsi="Times New Roman;Times;Serif"/>
                <w:sz w:val="20"/>
              </w:rPr>
              <w:t xml:space="preserve"> that the Plan Shares shall be subject to the terms of this Agreement.</w:t>
            </w:r>
          </w:p>
        </w:tc>
      </w:tr>
      <w:tr>
        <w:trPr/>
        <w:tc>
          <w:tcPr>
            <w:tcW w:w="129" w:type="dxa"/>
            <w:tcBorders/>
            <w:vAlign w:val="center"/>
          </w:tcPr>
          <w:p>
            <w:pPr>
              <w:pStyle w:val="TableContents"/>
              <w:bidi w:val="0"/>
              <w:spacing w:before="0" w:after="283"/>
              <w:jc w:val="both"/>
              <w:rPr/>
            </w:pPr>
            <w:r>
              <w:rPr/>
              <w:t> </w:t>
            </w:r>
          </w:p>
        </w:tc>
        <w:tc>
          <w:tcPr>
            <w:tcW w:w="10076" w:type="dxa"/>
            <w:tcBorders/>
            <w:vAlign w:val="center"/>
          </w:tcPr>
          <w:p>
            <w:pPr>
              <w:pStyle w:val="TableContents"/>
              <w:bidi w:val="0"/>
              <w:spacing w:before="0" w:after="283"/>
              <w:jc w:val="both"/>
              <w:rPr/>
            </w:pPr>
            <w:r>
              <w:rPr/>
              <w:t> </w:t>
            </w:r>
          </w:p>
        </w:tc>
      </w:tr>
      <w:tr>
        <w:trPr/>
        <w:tc>
          <w:tcPr>
            <w:tcW w:w="1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10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establishment of a trading plan pursuant to Rule 10b5-1 under the Exchange Act for the transfer of Lock-Up Securities </w:t>
            </w:r>
            <w:r>
              <w:rPr>
                <w:rFonts w:ascii="Times New Roman;Times;Serif" w:hAnsi="Times New Roman;Times;Serif"/>
                <w:sz w:val="20"/>
                <w:u w:val="single"/>
              </w:rPr>
              <w:t>provided</w:t>
            </w:r>
            <w:r>
              <w:rPr>
                <w:rFonts w:ascii="Times New Roman;Times;Serif" w:hAnsi="Times New Roman;Times;Serif"/>
                <w:sz w:val="20"/>
              </w:rPr>
              <w:t xml:space="preserve"> that (i) such plan does not provide for the transfer of Lock-Up Securities during the Lock-Up Period and (ii) no filing under Section 13 or Section 16 of the Exchange Act or any other public announcement shall be required or voluntarily made during the Lock-Up Period.</w:t>
            </w:r>
          </w:p>
        </w:tc>
      </w:tr>
      <w:tr>
        <w:trPr/>
        <w:tc>
          <w:tcPr>
            <w:tcW w:w="129" w:type="dxa"/>
            <w:tcBorders/>
            <w:vAlign w:val="center"/>
          </w:tcPr>
          <w:p>
            <w:pPr>
              <w:pStyle w:val="TableContents"/>
              <w:bidi w:val="0"/>
              <w:spacing w:before="0" w:after="283"/>
              <w:jc w:val="both"/>
              <w:rPr/>
            </w:pPr>
            <w:r>
              <w:rPr/>
              <w:t> </w:t>
            </w:r>
          </w:p>
        </w:tc>
        <w:tc>
          <w:tcPr>
            <w:tcW w:w="10076" w:type="dxa"/>
            <w:tcBorders/>
            <w:vAlign w:val="center"/>
          </w:tcPr>
          <w:p>
            <w:pPr>
              <w:pStyle w:val="TableContents"/>
              <w:bidi w:val="0"/>
              <w:spacing w:before="0" w:after="283"/>
              <w:jc w:val="both"/>
              <w:rPr/>
            </w:pPr>
            <w:r>
              <w:rPr/>
              <w:t> </w:t>
            </w:r>
          </w:p>
        </w:tc>
      </w:tr>
      <w:tr>
        <w:trPr/>
        <w:tc>
          <w:tcPr>
            <w:tcW w:w="12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w:t>
            </w:r>
          </w:p>
        </w:tc>
        <w:tc>
          <w:tcPr>
            <w:tcW w:w="1007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transfer of Lock-Up Securities that occurs by operation of law, such as pursuant to a qualified domestic order or in connection with a divorce settlement, </w:t>
            </w:r>
            <w:r>
              <w:rPr>
                <w:rFonts w:ascii="Times New Roman;Times;Serif" w:hAnsi="Times New Roman;Times;Serif"/>
                <w:sz w:val="20"/>
                <w:u w:val="single"/>
              </w:rPr>
              <w:t>provided</w:t>
            </w:r>
            <w:r>
              <w:rPr>
                <w:rFonts w:ascii="Times New Roman;Times;Serif" w:hAnsi="Times New Roman;Times;Serif"/>
                <w:sz w:val="20"/>
              </w:rPr>
              <w:t xml:space="preserve"> that the transferee agrees to sign and deliver a lock-up agreement substantially in the form of this Agreement for the balance of the Lock-Up Period, and </w:t>
            </w:r>
            <w:r>
              <w:rPr>
                <w:rFonts w:ascii="Times New Roman;Times;Serif" w:hAnsi="Times New Roman;Times;Serif"/>
                <w:sz w:val="20"/>
                <w:u w:val="single"/>
              </w:rPr>
              <w:t>provided further</w:t>
            </w:r>
            <w:r>
              <w:rPr>
                <w:rFonts w:ascii="Times New Roman;Times;Serif" w:hAnsi="Times New Roman;Times;Serif"/>
                <w:sz w:val="20"/>
              </w:rPr>
              <w:t xml:space="preserve"> that any filing under Section 13 or Section 16 of the Exchange Act that is required to be made during the Lock-Up Period as a result of such transfer shall include a statement that such transfer has occurred by operation of law; and provided further that competent legal counsel for the Company shall have first advised that such transfer is a mandatory and not voluntary transfer.</w:t>
            </w:r>
          </w:p>
        </w:tc>
      </w:tr>
    </w:tbl>
    <w:p>
      <w:pPr>
        <w:pStyle w:val="TextBody"/>
        <w:bidi w:val="0"/>
        <w:spacing w:before="0" w:after="0"/>
        <w:ind w:left="839" w:right="0" w:hanging="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839"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
        <w:gridCol w:w="10075"/>
      </w:tblGrid>
      <w:tr>
        <w:trPr/>
        <w:tc>
          <w:tcPr>
            <w:tcW w:w="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w:t>
            </w:r>
          </w:p>
        </w:tc>
        <w:tc>
          <w:tcPr>
            <w:tcW w:w="10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transfer of Lock-Up Securities pursuant to a bona fide third party tender offer, merger, consolidation or other similar transaction made to all holders of the Shares involving a change of control (as defined below) of the Company after the closing of the Transaction and approved by the Company’s board of directors; </w:t>
            </w:r>
            <w:r>
              <w:rPr>
                <w:rFonts w:ascii="Times New Roman;Times;Serif" w:hAnsi="Times New Roman;Times;Serif"/>
                <w:sz w:val="20"/>
                <w:u w:val="single"/>
              </w:rPr>
              <w:t>provided</w:t>
            </w:r>
            <w:r>
              <w:rPr>
                <w:rFonts w:ascii="Times New Roman;Times;Serif" w:hAnsi="Times New Roman;Times;Serif"/>
                <w:sz w:val="20"/>
              </w:rPr>
              <w:t xml:space="preserve"> that in the event that the tender offer, merger, consolidation or other such transaction is not completed, the Lock- Up Securities owned by the undersigned shall remain subject to the restrictions contained in this Agreement. A “change of control” shall mean the consummation of any bona fide third party tender offer, merger, amalgamation, consolidation or other similar transaction the result of which is that any “person” (as defined in Section 13(d)(3) of the Exchange Act), or group of persons, becomes the beneficial owner (as defined in Rules 13d-3 and 13d-5 of the Exchange Act) of a majority of total voting power of the voting stock of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also agrees and consents to the entry of stop transfer instructions with the Company’s transfer agent and registrar against the transfer of the undersigned’s Lock-Up Securities except in compliance with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not be amended or otherwise modified in any respect without the written consent of each of the Company and the undersigned. This Agreement shall be governed by and construed in accordance with the law of the State of New York. The undersigned hereby irrevocably submits to the exclusive jurisdiction of the United States District Court sitting in the Southern District of New York and the courts of the State of New York located in the City and County of New York, for the purposes of any suit, action or proceeding arising out of or relating to this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SPA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 The undersigned agrees and understands that this Agreement does not intend to create any relationship between the undersigned and any Purchaser and that no Purchaser is entitled to cast any votes on the matters herein contemplated and that no issuance or sale of the Securities is created or intended by virtue of this Agreement.</w:t>
      </w:r>
    </w:p>
    <w:p>
      <w:pPr>
        <w:pStyle w:val="TextBody"/>
        <w:bidi w:val="0"/>
        <w:spacing w:before="0" w:after="0"/>
        <w:ind w:left="1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is relying upon this Agreement in proceeding toward consummation of the Transaction. The undersigned further understands that this Agreement is irrevocable and shall be binding upon the undersigned’s heirs, legal representative, successors and assigns. This Letter Agreement is intended for the benefit of the parties hereto and their respective successors and permitted assigns and is not for the benefit of, nor may any provisions hereof be enforced by, any other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SPA is not executed by September 4, 2026 or if the SPA (other than the provisions thereof which survive termination) shall terminate or be terminated prior to payment for and delivery of the Shares to be sold thereunder, then this Agreement shall be void and of no further force or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Transaction actually occurs depends on a number of factors, including market conditions. Any Transaction will only be made pursuant to the SPA.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Lock-Up Agreement Signature Page Follows]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[PARA Lock-Up Agreement Signature Page]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1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read and agrees to be bound by the terms of this Agreement dated as of September 4, 2026.</w:t>
      </w:r>
    </w:p>
    <w:p>
      <w:pPr>
        <w:pStyle w:val="TextBody"/>
        <w:bidi w:val="0"/>
        <w:spacing w:before="0" w:after="0"/>
        <w:jc w:val="center"/>
        <w:rPr>
          <w:caps w:val="false"/>
          <w:smallCaps w:val="false"/>
        </w:rPr>
      </w:pPr>
      <w:r>
        <w:rPr>
          <w:caps w:val="false"/>
          <w:smallCaps w:val="false"/>
        </w:rPr>
        <w:t> </w:t>
      </w:r>
    </w:p>
    <w:tbl>
      <w:tblPr>
        <w:tblW w:w="1474" w:type="dxa"/>
        <w:jc w:val="left"/>
        <w:tblInd w:w="0" w:type="dxa"/>
        <w:tblLayout w:type="fixed"/>
        <w:tblCellMar>
          <w:top w:w="0" w:type="dxa"/>
          <w:left w:w="0" w:type="dxa"/>
          <w:bottom w:w="0" w:type="dxa"/>
          <w:right w:w="0" w:type="dxa"/>
        </w:tblCellMar>
      </w:tblPr>
      <w:tblGrid>
        <w:gridCol w:w="75"/>
        <w:gridCol w:w="1294"/>
        <w:gridCol w:w="105"/>
      </w:tblGrid>
      <w:tr>
        <w:trPr/>
        <w:tc>
          <w:tcPr>
            <w:tcW w:w="75"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caps w:val="false"/>
                <w:smallCaps w:val="false"/>
              </w:rPr>
            </w:pPr>
            <w:r>
              <w:rPr>
                <w:caps w:val="false"/>
                <w:smallCaps w:val="false"/>
              </w:rPr>
              <w:t> </w:t>
            </w:r>
          </w:p>
        </w:tc>
        <w:tc>
          <w:tcPr>
            <w:tcW w:w="1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283"/>
              <w:jc w:val="left"/>
              <w:rPr>
                <w:caps w:val="false"/>
                <w:smallCaps w:val="false"/>
              </w:rPr>
            </w:pPr>
            <w:r>
              <w:rPr>
                <w:caps w:val="false"/>
                <w:smallCaps w:val="false"/>
              </w:rPr>
              <w:t> </w:t>
            </w:r>
          </w:p>
        </w:tc>
        <w:tc>
          <w:tcPr>
            <w:tcW w:w="10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294"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tc>
        <w:tc>
          <w:tcPr>
            <w:tcW w:w="105" w:type="dxa"/>
            <w:tcBorders>
              <w:bottom w:val="single" w:sz="8"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53923</Words>
  <Characters>282067</Characters>
  <CharactersWithSpaces>336256</CharactersWithSpaces>
  <Paragraphs>1744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